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charts/chart7.xml" ContentType="application/vnd.openxmlformats-officedocument.drawingml.chart+xml"/>
  <Override PartName="/word/diagrams/drawing1.xml" ContentType="application/vnd.ms-office.drawingml.diagramDrawing+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diagrams/drawing2.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diagrams/layout1.xml" ContentType="application/vnd.openxmlformats-officedocument.drawingml.diagramLayou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word/diagrams/layout2.xml" ContentType="application/vnd.openxmlformats-officedocument.drawingml.diagramLayout+xml"/>
  <Override PartName="/docProps/core.xml" ContentType="application/vnd.openxmlformats-package.core-properties+xml"/>
  <Default Extension="png" ContentType="image/png"/>
  <Override PartName="/word/diagrams/quickStyle1.xml" ContentType="application/vnd.openxmlformats-officedocument.drawingml.diagramStyle+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AF9" w:rsidRDefault="00681AF9" w:rsidP="00FB10B7">
      <w:pPr>
        <w:pStyle w:val="berschrift1"/>
        <w:jc w:val="center"/>
        <w:rPr>
          <w:sz w:val="28"/>
        </w:rPr>
      </w:pPr>
    </w:p>
    <w:p w:rsidR="00681AF9" w:rsidRDefault="00681AF9" w:rsidP="00FB10B7">
      <w:pPr>
        <w:pStyle w:val="berschrift1"/>
        <w:jc w:val="center"/>
        <w:rPr>
          <w:sz w:val="28"/>
        </w:rPr>
      </w:pPr>
    </w:p>
    <w:p w:rsidR="00DA05AB" w:rsidRDefault="00DA05AB" w:rsidP="00454479">
      <w:pPr>
        <w:pStyle w:val="berschrift1"/>
        <w:jc w:val="right"/>
        <w:rPr>
          <w:sz w:val="28"/>
        </w:rPr>
      </w:pPr>
    </w:p>
    <w:p w:rsidR="00DA05AB" w:rsidRDefault="00DA05AB" w:rsidP="00454479">
      <w:pPr>
        <w:pStyle w:val="berschrift1"/>
        <w:jc w:val="right"/>
        <w:rPr>
          <w:sz w:val="28"/>
        </w:rPr>
      </w:pPr>
    </w:p>
    <w:p w:rsidR="005271B4" w:rsidRPr="00FB10B7" w:rsidRDefault="00995CE6" w:rsidP="00454479">
      <w:pPr>
        <w:pStyle w:val="berschrift1"/>
        <w:jc w:val="right"/>
        <w:rPr>
          <w:sz w:val="28"/>
        </w:rPr>
      </w:pPr>
      <w:r w:rsidRPr="002F09C7">
        <w:rPr>
          <w:smallCaps/>
          <w:sz w:val="28"/>
        </w:rPr>
        <w:t>Equality In Housing</w:t>
      </w:r>
      <w:r w:rsidRPr="002F09C7">
        <w:rPr>
          <w:smallCaps/>
          <w:sz w:val="28"/>
        </w:rPr>
        <w:br/>
      </w:r>
      <w:r w:rsidR="00810439" w:rsidRPr="00FB10B7">
        <w:rPr>
          <w:sz w:val="28"/>
        </w:rPr>
        <w:t>Gleichbehandlung am Wohnungsmarkt</w:t>
      </w:r>
    </w:p>
    <w:p w:rsidR="00810439" w:rsidRDefault="00810439" w:rsidP="00454479">
      <w:pPr>
        <w:jc w:val="right"/>
      </w:pPr>
    </w:p>
    <w:p w:rsidR="00454479" w:rsidRDefault="00454479" w:rsidP="00454479">
      <w:pPr>
        <w:jc w:val="right"/>
      </w:pPr>
    </w:p>
    <w:p w:rsidR="00681AF9" w:rsidRPr="008C040E" w:rsidRDefault="00F504A9" w:rsidP="00454479">
      <w:pPr>
        <w:jc w:val="right"/>
        <w:rPr>
          <w:b/>
          <w:sz w:val="24"/>
        </w:rPr>
      </w:pPr>
      <w:r w:rsidRPr="008C040E">
        <w:rPr>
          <w:b/>
          <w:sz w:val="24"/>
        </w:rPr>
        <w:t>Sozialwissenschaftliche Studie im Rahmen des</w:t>
      </w:r>
    </w:p>
    <w:p w:rsidR="00681AF9" w:rsidRPr="00E93A40" w:rsidRDefault="00F504A9" w:rsidP="00454479">
      <w:pPr>
        <w:jc w:val="right"/>
        <w:rPr>
          <w:b/>
          <w:sz w:val="24"/>
          <w:lang w:val="de-AT"/>
        </w:rPr>
      </w:pPr>
      <w:r w:rsidRPr="00E93A40">
        <w:rPr>
          <w:b/>
          <w:sz w:val="24"/>
          <w:lang w:val="de-AT"/>
        </w:rPr>
        <w:t>PROGRESS-Projekts „Equality in Housing”</w:t>
      </w:r>
    </w:p>
    <w:p w:rsidR="00681AF9" w:rsidRPr="00E93A40" w:rsidRDefault="00681AF9" w:rsidP="00454479">
      <w:pPr>
        <w:jc w:val="right"/>
        <w:rPr>
          <w:b/>
          <w:sz w:val="24"/>
          <w:lang w:val="de-AT"/>
        </w:rPr>
      </w:pPr>
    </w:p>
    <w:p w:rsidR="00681AF9" w:rsidRPr="00E93A40" w:rsidRDefault="00681AF9" w:rsidP="00454479">
      <w:pPr>
        <w:jc w:val="right"/>
        <w:rPr>
          <w:b/>
          <w:sz w:val="24"/>
          <w:lang w:val="de-AT"/>
        </w:rPr>
      </w:pPr>
    </w:p>
    <w:p w:rsidR="00F504A9" w:rsidRDefault="00454479" w:rsidP="00454479">
      <w:pPr>
        <w:jc w:val="right"/>
        <w:rPr>
          <w:b/>
          <w:sz w:val="24"/>
        </w:rPr>
      </w:pPr>
      <w:r>
        <w:rPr>
          <w:b/>
          <w:sz w:val="24"/>
        </w:rPr>
        <w:t xml:space="preserve">verfasst von </w:t>
      </w:r>
      <w:r w:rsidR="00681AF9" w:rsidRPr="008C040E">
        <w:rPr>
          <w:b/>
          <w:sz w:val="24"/>
        </w:rPr>
        <w:t>Heinz Schoibl</w:t>
      </w:r>
    </w:p>
    <w:p w:rsidR="00F504A9" w:rsidRDefault="00F504A9" w:rsidP="00454479">
      <w:pPr>
        <w:jc w:val="right"/>
        <w:rPr>
          <w:b/>
          <w:sz w:val="24"/>
        </w:rPr>
      </w:pPr>
    </w:p>
    <w:p w:rsidR="00454479" w:rsidRPr="008C040E" w:rsidRDefault="00454479" w:rsidP="00454479">
      <w:pPr>
        <w:jc w:val="right"/>
        <w:rPr>
          <w:b/>
          <w:sz w:val="24"/>
          <w:lang w:eastAsia="en-US"/>
        </w:rPr>
      </w:pPr>
    </w:p>
    <w:p w:rsidR="00810439" w:rsidRDefault="00F504A9" w:rsidP="00454479">
      <w:pPr>
        <w:jc w:val="right"/>
        <w:rPr>
          <w:b/>
          <w:sz w:val="24"/>
        </w:rPr>
      </w:pPr>
      <w:r w:rsidRPr="008C040E">
        <w:rPr>
          <w:b/>
          <w:sz w:val="24"/>
        </w:rPr>
        <w:t>Salzburg, Mai</w:t>
      </w:r>
      <w:r w:rsidR="00681AF9" w:rsidRPr="008C040E">
        <w:rPr>
          <w:b/>
          <w:sz w:val="24"/>
        </w:rPr>
        <w:t xml:space="preserve"> 2011</w:t>
      </w:r>
    </w:p>
    <w:p w:rsidR="00DA05AB" w:rsidRDefault="00DA05AB" w:rsidP="008C040E">
      <w:pPr>
        <w:jc w:val="center"/>
        <w:rPr>
          <w:b/>
          <w:sz w:val="24"/>
        </w:rPr>
      </w:pPr>
    </w:p>
    <w:p w:rsidR="00DA05AB" w:rsidRPr="008C040E" w:rsidRDefault="00DA05AB" w:rsidP="008C040E">
      <w:pPr>
        <w:jc w:val="center"/>
        <w:rPr>
          <w:b/>
          <w:sz w:val="24"/>
        </w:rPr>
      </w:pPr>
    </w:p>
    <w:p w:rsidR="00681AF9" w:rsidRDefault="00681AF9">
      <w:pPr>
        <w:spacing w:before="180" w:after="240" w:line="336" w:lineRule="auto"/>
        <w:jc w:val="center"/>
      </w:pPr>
      <w:r>
        <w:br w:type="page"/>
      </w:r>
    </w:p>
    <w:p w:rsidR="00E376B6" w:rsidRPr="008934E3" w:rsidRDefault="00E376B6" w:rsidP="00E376B6">
      <w:r>
        <w:lastRenderedPageBreak/>
        <w:t>EQUALITY IN HOUSING ist ein Projekt zur Förderung der Gleichbehandlung am österreich</w:t>
      </w:r>
      <w:r>
        <w:t>i</w:t>
      </w:r>
      <w:r>
        <w:t xml:space="preserve">schen Wohnungsmarkt. Es </w:t>
      </w:r>
      <w:r w:rsidRPr="00AA34FA">
        <w:rPr>
          <w:lang w:val="de-AT"/>
        </w:rPr>
        <w:t xml:space="preserve">wird </w:t>
      </w:r>
      <w:r>
        <w:rPr>
          <w:lang w:val="de-AT"/>
        </w:rPr>
        <w:t>von der Volkshilfe Österreich als projektverantwortlicher Partnerin gemeinsam mit dem Klagsverband und der Bundesarbeitsgemeinschaft Wohnung</w:t>
      </w:r>
      <w:r>
        <w:rPr>
          <w:lang w:val="de-AT"/>
        </w:rPr>
        <w:t>s</w:t>
      </w:r>
      <w:r>
        <w:rPr>
          <w:lang w:val="de-AT"/>
        </w:rPr>
        <w:t xml:space="preserve">losenhilfe – BAWO als operative Partnerinnen durchgeführt. </w:t>
      </w:r>
      <w:r w:rsidR="008934E3" w:rsidRPr="008934E3">
        <w:t>Das Projekt Equality in Housing wird vom Bundesministerium für Arbeit, Soziales und Konsumentenschutz, dem Bundeskan</w:t>
      </w:r>
      <w:r w:rsidR="008934E3" w:rsidRPr="008934E3">
        <w:t>z</w:t>
      </w:r>
      <w:r w:rsidR="008934E3" w:rsidRPr="008934E3">
        <w:t>leramt und dem Land Wien aus Mitteln der Wohnbauforschung kofinanziert.</w:t>
      </w:r>
    </w:p>
    <w:p w:rsidR="00F504A9" w:rsidRPr="00056557" w:rsidRDefault="00F504A9" w:rsidP="00056557">
      <w:pPr>
        <w:spacing w:before="100" w:beforeAutospacing="1" w:after="100" w:afterAutospacing="1"/>
        <w:rPr>
          <w:rFonts w:cs="Tahoma"/>
          <w:szCs w:val="22"/>
        </w:rPr>
      </w:pPr>
      <w:r w:rsidRPr="00056557">
        <w:rPr>
          <w:rFonts w:cs="Tahoma"/>
          <w:szCs w:val="22"/>
        </w:rPr>
        <w:t>Diese Veröffentlichung wird unterstützt durch das Programm der EU für Beschäftigung und Soziale Solidarität – PROGRESS (2007-2013).</w:t>
      </w:r>
      <w:r w:rsidR="00DA05AB" w:rsidRPr="00056557">
        <w:rPr>
          <w:rFonts w:cs="Tahoma"/>
          <w:szCs w:val="22"/>
        </w:rPr>
        <w:t xml:space="preserve"> </w:t>
      </w:r>
      <w:r w:rsidRPr="00056557">
        <w:rPr>
          <w:rFonts w:cs="Tahoma"/>
          <w:szCs w:val="22"/>
        </w:rPr>
        <w:t>Dieses Programm wird von der Europäischen Kommission umgesetzt. Es wurde zu dem Zweck geschaffen, einen finanziellen Beitrag zur Verwirklichung der Ziele der Europäischen Union in den Bereichen Beschäftigung, Soziales und Chancengleichheit</w:t>
      </w:r>
      <w:r w:rsidR="00056557">
        <w:rPr>
          <w:rFonts w:cs="Tahoma"/>
          <w:szCs w:val="22"/>
        </w:rPr>
        <w:t xml:space="preserve"> zu gewährleisten</w:t>
      </w:r>
      <w:r w:rsidRPr="00056557">
        <w:rPr>
          <w:rFonts w:cs="Tahoma"/>
          <w:szCs w:val="22"/>
        </w:rPr>
        <w:t>. Dieses auf sieben Jahre angelegte Programm rich</w:t>
      </w:r>
      <w:r w:rsidR="00575C27">
        <w:rPr>
          <w:rFonts w:cs="Tahoma"/>
          <w:szCs w:val="22"/>
        </w:rPr>
        <w:softHyphen/>
      </w:r>
      <w:r w:rsidRPr="00056557">
        <w:rPr>
          <w:rFonts w:cs="Tahoma"/>
          <w:szCs w:val="22"/>
        </w:rPr>
        <w:t>tet sich an alle maßgeblichen Akteur</w:t>
      </w:r>
      <w:r w:rsidR="00DA05AB" w:rsidRPr="00056557">
        <w:rPr>
          <w:rFonts w:cs="Tahoma"/>
          <w:szCs w:val="22"/>
        </w:rPr>
        <w:t>Innen</w:t>
      </w:r>
      <w:r w:rsidRPr="00056557">
        <w:rPr>
          <w:rFonts w:cs="Tahoma"/>
          <w:szCs w:val="22"/>
        </w:rPr>
        <w:t xml:space="preserve"> in den Mitgliedstaaten</w:t>
      </w:r>
      <w:r w:rsidR="00DA05AB" w:rsidRPr="00056557">
        <w:rPr>
          <w:rFonts w:cs="Tahoma"/>
          <w:szCs w:val="22"/>
        </w:rPr>
        <w:t xml:space="preserve"> der EU</w:t>
      </w:r>
      <w:r w:rsidRPr="00056557">
        <w:rPr>
          <w:rFonts w:cs="Tahoma"/>
          <w:szCs w:val="22"/>
        </w:rPr>
        <w:t>, der EFTA, dem EWR sowie den Beitritts- und Kandidatenländern, die an der Gestaltung geeigneter und e</w:t>
      </w:r>
      <w:r w:rsidRPr="00056557">
        <w:rPr>
          <w:rFonts w:cs="Tahoma"/>
          <w:szCs w:val="22"/>
        </w:rPr>
        <w:t>f</w:t>
      </w:r>
      <w:r w:rsidRPr="00056557">
        <w:rPr>
          <w:rFonts w:cs="Tahoma"/>
          <w:szCs w:val="22"/>
        </w:rPr>
        <w:t>fektiver Rechtsvorschriften und Strategien im Bereich Beschäftigung und Soziales mitwirken können.</w:t>
      </w:r>
    </w:p>
    <w:p w:rsidR="00F504A9" w:rsidRPr="00056557" w:rsidRDefault="00F504A9" w:rsidP="00056557">
      <w:pPr>
        <w:spacing w:before="100" w:beforeAutospacing="1" w:after="100" w:afterAutospacing="1"/>
        <w:rPr>
          <w:rFonts w:cs="Tahoma"/>
          <w:color w:val="0000FF"/>
          <w:szCs w:val="22"/>
        </w:rPr>
      </w:pPr>
      <w:r w:rsidRPr="00056557">
        <w:rPr>
          <w:rFonts w:cs="Tahoma"/>
          <w:noProof/>
          <w:szCs w:val="22"/>
        </w:rPr>
        <w:t>Weitere Informationen unter</w:t>
      </w:r>
      <w:r w:rsidRPr="00056557">
        <w:rPr>
          <w:rFonts w:cs="Tahoma"/>
          <w:szCs w:val="22"/>
        </w:rPr>
        <w:t xml:space="preserve">: </w:t>
      </w:r>
      <w:r w:rsidRPr="00056557">
        <w:rPr>
          <w:rFonts w:cs="Tahoma"/>
          <w:color w:val="0000FF"/>
          <w:szCs w:val="22"/>
        </w:rPr>
        <w:t>http://ec.europa.eu/progress</w:t>
      </w:r>
    </w:p>
    <w:p w:rsidR="00F504A9" w:rsidRPr="00056557" w:rsidRDefault="00F504A9" w:rsidP="00056557">
      <w:pPr>
        <w:rPr>
          <w:rFonts w:cs="Tahoma"/>
          <w:szCs w:val="22"/>
        </w:rPr>
      </w:pPr>
      <w:r w:rsidRPr="00056557">
        <w:rPr>
          <w:rFonts w:cs="Tahoma"/>
          <w:noProof/>
          <w:szCs w:val="22"/>
        </w:rPr>
        <w:t>Die in dieser Veröffentlichung enthaltenen Informationen geben nicht notwendigerweise die Auffassung der Europäischen Kommission wieder.</w:t>
      </w:r>
    </w:p>
    <w:p w:rsidR="00F504A9" w:rsidRDefault="00F504A9" w:rsidP="00F504A9">
      <w:r>
        <w:rPr>
          <w:noProof/>
          <w:lang w:val="de-AT" w:eastAsia="de-AT"/>
        </w:rPr>
        <w:drawing>
          <wp:inline distT="0" distB="0" distL="0" distR="0">
            <wp:extent cx="3747770" cy="1390650"/>
            <wp:effectExtent l="19050" t="0" r="5080" b="0"/>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747770" cy="1390650"/>
                    </a:xfrm>
                    <a:prstGeom prst="rect">
                      <a:avLst/>
                    </a:prstGeom>
                    <a:noFill/>
                    <a:ln w="9525">
                      <a:noFill/>
                      <a:miter lim="800000"/>
                      <a:headEnd/>
                      <a:tailEnd/>
                    </a:ln>
                  </pic:spPr>
                </pic:pic>
              </a:graphicData>
            </a:graphic>
          </wp:inline>
        </w:drawing>
      </w:r>
      <w:r>
        <w:rPr>
          <w:noProof/>
          <w:lang w:val="de-AT" w:eastAsia="de-AT"/>
        </w:rPr>
        <w:drawing>
          <wp:inline distT="0" distB="0" distL="0" distR="0">
            <wp:extent cx="1847850" cy="1107440"/>
            <wp:effectExtent l="1905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847850" cy="1107440"/>
                    </a:xfrm>
                    <a:prstGeom prst="rect">
                      <a:avLst/>
                    </a:prstGeom>
                    <a:noFill/>
                    <a:ln w="9525">
                      <a:noFill/>
                      <a:miter lim="800000"/>
                      <a:headEnd/>
                      <a:tailEnd/>
                    </a:ln>
                  </pic:spPr>
                </pic:pic>
              </a:graphicData>
            </a:graphic>
          </wp:inline>
        </w:drawing>
      </w:r>
      <w:r w:rsidR="001A4B1C">
        <w:br/>
      </w:r>
    </w:p>
    <w:p w:rsidR="00E93A40" w:rsidRDefault="00E93A40" w:rsidP="00E93A40">
      <w:pPr>
        <w:jc w:val="center"/>
      </w:pPr>
      <w:r>
        <w:rPr>
          <w:noProof/>
          <w:lang w:val="de-AT" w:eastAsia="de-AT"/>
        </w:rPr>
        <w:drawing>
          <wp:inline distT="0" distB="0" distL="0" distR="0">
            <wp:extent cx="2505075" cy="199390"/>
            <wp:effectExtent l="19050" t="0" r="9525" b="0"/>
            <wp:docPr id="4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505075" cy="199390"/>
                    </a:xfrm>
                    <a:prstGeom prst="rect">
                      <a:avLst/>
                    </a:prstGeom>
                    <a:noFill/>
                    <a:ln w="9525">
                      <a:noFill/>
                      <a:miter lim="800000"/>
                      <a:headEnd/>
                      <a:tailEnd/>
                    </a:ln>
                  </pic:spPr>
                </pic:pic>
              </a:graphicData>
            </a:graphic>
          </wp:inline>
        </w:drawing>
      </w:r>
    </w:p>
    <w:p w:rsidR="00E376B6" w:rsidRPr="00E376B6" w:rsidRDefault="00E376B6" w:rsidP="00E376B6">
      <w:pPr>
        <w:rPr>
          <w:rFonts w:cs="Tahoma"/>
          <w:b/>
          <w:sz w:val="20"/>
          <w:szCs w:val="20"/>
          <w:lang w:val="de-AT"/>
        </w:rPr>
      </w:pPr>
      <w:r w:rsidRPr="00E376B6">
        <w:rPr>
          <w:rFonts w:cs="Tahoma"/>
          <w:b/>
          <w:sz w:val="20"/>
          <w:szCs w:val="20"/>
          <w:lang w:val="de-AT"/>
        </w:rPr>
        <w:t>Impressum:</w:t>
      </w:r>
    </w:p>
    <w:p w:rsidR="00E376B6" w:rsidRPr="00E376B6" w:rsidRDefault="00E376B6" w:rsidP="00E376B6">
      <w:pPr>
        <w:rPr>
          <w:rFonts w:cs="Tahoma"/>
          <w:sz w:val="20"/>
          <w:szCs w:val="20"/>
          <w:lang w:val="de-AT"/>
        </w:rPr>
      </w:pPr>
      <w:r w:rsidRPr="00E376B6">
        <w:rPr>
          <w:rFonts w:cs="Tahoma"/>
          <w:b/>
          <w:sz w:val="20"/>
          <w:szCs w:val="20"/>
          <w:lang w:val="de-AT"/>
        </w:rPr>
        <w:t>Herausgeberin:</w:t>
      </w:r>
      <w:r w:rsidR="001A4B1C">
        <w:rPr>
          <w:rFonts w:cs="Tahoma"/>
          <w:sz w:val="20"/>
          <w:szCs w:val="20"/>
          <w:lang w:val="de-AT"/>
        </w:rPr>
        <w:t xml:space="preserve"> Volkshilfe Österreich</w:t>
      </w:r>
      <w:r w:rsidRPr="00E376B6">
        <w:rPr>
          <w:rFonts w:cs="Tahoma"/>
          <w:sz w:val="20"/>
          <w:szCs w:val="20"/>
          <w:lang w:val="de-AT"/>
        </w:rPr>
        <w:t xml:space="preserve"> </w:t>
      </w:r>
      <w:r w:rsidR="001A4B1C">
        <w:rPr>
          <w:rFonts w:cs="Tahoma"/>
          <w:sz w:val="20"/>
          <w:szCs w:val="20"/>
          <w:lang w:val="de-AT"/>
        </w:rPr>
        <w:br/>
      </w:r>
      <w:r w:rsidRPr="00E376B6">
        <w:rPr>
          <w:rFonts w:cs="Tahoma"/>
          <w:sz w:val="20"/>
          <w:szCs w:val="20"/>
          <w:lang w:val="de-AT"/>
        </w:rPr>
        <w:t>Erich F</w:t>
      </w:r>
      <w:r w:rsidR="001A4B1C">
        <w:rPr>
          <w:rFonts w:cs="Tahoma"/>
          <w:sz w:val="20"/>
          <w:szCs w:val="20"/>
          <w:lang w:val="de-AT"/>
        </w:rPr>
        <w:t>enninger, Bundesgeschäftsführer,</w:t>
      </w:r>
      <w:r w:rsidRPr="00E376B6">
        <w:rPr>
          <w:rFonts w:cs="Tahoma"/>
          <w:sz w:val="20"/>
          <w:szCs w:val="20"/>
          <w:lang w:val="de-AT"/>
        </w:rPr>
        <w:t xml:space="preserve"> </w:t>
      </w:r>
      <w:r w:rsidR="001A4B1C" w:rsidRPr="00E376B6">
        <w:rPr>
          <w:rFonts w:cs="Tahoma"/>
          <w:sz w:val="20"/>
          <w:szCs w:val="20"/>
          <w:lang w:val="de-AT"/>
        </w:rPr>
        <w:t>1010 Wien</w:t>
      </w:r>
      <w:r w:rsidRPr="00E376B6">
        <w:rPr>
          <w:rFonts w:cs="Tahoma"/>
          <w:sz w:val="20"/>
          <w:szCs w:val="20"/>
          <w:lang w:val="de-AT"/>
        </w:rPr>
        <w:t xml:space="preserve">, Auerspergstraße 4, </w:t>
      </w:r>
      <w:hyperlink r:id="rId11" w:history="1">
        <w:r w:rsidRPr="00E376B6">
          <w:rPr>
            <w:rStyle w:val="Hyperlink"/>
            <w:rFonts w:cs="Tahoma"/>
            <w:sz w:val="20"/>
            <w:szCs w:val="20"/>
            <w:lang w:val="de-AT"/>
          </w:rPr>
          <w:t>office@volkshilfe.at</w:t>
        </w:r>
      </w:hyperlink>
    </w:p>
    <w:p w:rsidR="00E376B6" w:rsidRPr="00E376B6" w:rsidRDefault="00E376B6" w:rsidP="00E376B6">
      <w:pPr>
        <w:rPr>
          <w:rFonts w:cs="Tahoma"/>
          <w:sz w:val="20"/>
          <w:szCs w:val="20"/>
          <w:lang w:val="de-AT"/>
        </w:rPr>
      </w:pPr>
      <w:r w:rsidRPr="00E376B6">
        <w:rPr>
          <w:rFonts w:cs="Tahoma"/>
          <w:b/>
          <w:sz w:val="20"/>
          <w:szCs w:val="20"/>
          <w:lang w:val="de-AT"/>
        </w:rPr>
        <w:t>Projektkoordination:</w:t>
      </w:r>
      <w:r w:rsidRPr="00E376B6">
        <w:rPr>
          <w:rFonts w:cs="Tahoma"/>
          <w:sz w:val="20"/>
          <w:szCs w:val="20"/>
          <w:lang w:val="de-AT"/>
        </w:rPr>
        <w:t xml:space="preserve"> Volkshilfe Österreich</w:t>
      </w:r>
      <w:r w:rsidR="001A4B1C">
        <w:rPr>
          <w:rFonts w:cs="Tahoma"/>
          <w:sz w:val="20"/>
          <w:szCs w:val="20"/>
          <w:lang w:val="de-AT"/>
        </w:rPr>
        <w:br/>
      </w:r>
      <w:r w:rsidRPr="00E376B6">
        <w:rPr>
          <w:rFonts w:cs="Tahoma"/>
          <w:sz w:val="20"/>
          <w:szCs w:val="20"/>
          <w:lang w:val="de-AT"/>
        </w:rPr>
        <w:t xml:space="preserve">Christian Perl, </w:t>
      </w:r>
      <w:hyperlink r:id="rId12" w:history="1">
        <w:r w:rsidRPr="00E376B6">
          <w:rPr>
            <w:rStyle w:val="Hyperlink"/>
            <w:rFonts w:cs="Tahoma"/>
            <w:sz w:val="20"/>
            <w:szCs w:val="20"/>
            <w:lang w:val="de-AT"/>
          </w:rPr>
          <w:t>christian.perl@volkshilfe.at</w:t>
        </w:r>
      </w:hyperlink>
      <w:r w:rsidRPr="00E376B6">
        <w:rPr>
          <w:rFonts w:cs="Tahoma"/>
          <w:sz w:val="20"/>
          <w:szCs w:val="20"/>
          <w:lang w:val="de-AT"/>
        </w:rPr>
        <w:t xml:space="preserve">, +43/ 676/ 83 402 254  </w:t>
      </w:r>
    </w:p>
    <w:p w:rsidR="00E376B6" w:rsidRPr="00E376B6" w:rsidRDefault="00E376B6" w:rsidP="00E376B6">
      <w:pPr>
        <w:rPr>
          <w:rFonts w:cs="Tahoma"/>
        </w:rPr>
      </w:pPr>
      <w:r w:rsidRPr="00E376B6">
        <w:rPr>
          <w:rFonts w:cs="Tahoma"/>
          <w:b/>
          <w:sz w:val="20"/>
          <w:szCs w:val="20"/>
          <w:lang w:val="de-AT"/>
        </w:rPr>
        <w:t>Studienautor:</w:t>
      </w:r>
      <w:r w:rsidRPr="00E376B6">
        <w:rPr>
          <w:rFonts w:cs="Tahoma"/>
          <w:sz w:val="20"/>
          <w:szCs w:val="20"/>
          <w:lang w:val="de-AT"/>
        </w:rPr>
        <w:t xml:space="preserve"> Heinz Schoibl, Helix – Forschung und Beratung, </w:t>
      </w:r>
      <w:hyperlink r:id="rId13" w:history="1">
        <w:r w:rsidR="00600A73" w:rsidRPr="003F23B4">
          <w:rPr>
            <w:rStyle w:val="Hyperlink"/>
            <w:rFonts w:cs="Tahoma"/>
            <w:sz w:val="20"/>
            <w:szCs w:val="20"/>
            <w:lang w:val="de-AT"/>
          </w:rPr>
          <w:t>heinz.schoibl@helixaustria.com</w:t>
        </w:r>
      </w:hyperlink>
      <w:r w:rsidR="00600A73">
        <w:rPr>
          <w:rFonts w:cs="Tahoma"/>
          <w:sz w:val="20"/>
          <w:szCs w:val="20"/>
          <w:lang w:val="de-AT"/>
        </w:rPr>
        <w:t xml:space="preserve"> </w:t>
      </w:r>
    </w:p>
    <w:p w:rsidR="00681AF9" w:rsidRDefault="00681AF9" w:rsidP="008934E3">
      <w:pPr>
        <w:jc w:val="both"/>
        <w:rPr>
          <w:b/>
        </w:rPr>
      </w:pPr>
      <w:r w:rsidRPr="008C040E">
        <w:rPr>
          <w:b/>
        </w:rPr>
        <w:lastRenderedPageBreak/>
        <w:t>Gliederung</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7087"/>
        <w:gridCol w:w="1024"/>
      </w:tblGrid>
      <w:tr w:rsidR="002A426C" w:rsidTr="00686BB5">
        <w:tc>
          <w:tcPr>
            <w:tcW w:w="1101" w:type="dxa"/>
          </w:tcPr>
          <w:p w:rsidR="002A426C" w:rsidRDefault="002A426C" w:rsidP="00686BB5">
            <w:pPr>
              <w:spacing w:before="60" w:after="60" w:line="240" w:lineRule="auto"/>
            </w:pPr>
          </w:p>
        </w:tc>
        <w:tc>
          <w:tcPr>
            <w:tcW w:w="7087" w:type="dxa"/>
          </w:tcPr>
          <w:p w:rsidR="002A426C" w:rsidRDefault="002A426C" w:rsidP="00686BB5">
            <w:pPr>
              <w:spacing w:before="60" w:after="60" w:line="240" w:lineRule="auto"/>
              <w:jc w:val="left"/>
            </w:pPr>
            <w:r>
              <w:t>Einleitung</w:t>
            </w:r>
          </w:p>
        </w:tc>
        <w:tc>
          <w:tcPr>
            <w:tcW w:w="1024" w:type="dxa"/>
            <w:vAlign w:val="center"/>
          </w:tcPr>
          <w:p w:rsidR="002A426C" w:rsidRDefault="002A426C" w:rsidP="00686BB5">
            <w:pPr>
              <w:spacing w:before="60" w:after="60" w:line="240" w:lineRule="auto"/>
              <w:jc w:val="right"/>
            </w:pPr>
            <w:r>
              <w:t>5</w:t>
            </w:r>
          </w:p>
        </w:tc>
      </w:tr>
      <w:tr w:rsidR="002A426C" w:rsidTr="00686BB5">
        <w:tc>
          <w:tcPr>
            <w:tcW w:w="1101" w:type="dxa"/>
          </w:tcPr>
          <w:p w:rsidR="002A426C" w:rsidRDefault="002A426C" w:rsidP="00686BB5">
            <w:pPr>
              <w:spacing w:before="60" w:after="60" w:line="240" w:lineRule="auto"/>
            </w:pPr>
          </w:p>
        </w:tc>
        <w:tc>
          <w:tcPr>
            <w:tcW w:w="7087" w:type="dxa"/>
          </w:tcPr>
          <w:p w:rsidR="002A426C" w:rsidRDefault="002A426C" w:rsidP="00686BB5">
            <w:pPr>
              <w:spacing w:before="60" w:after="60" w:line="240" w:lineRule="auto"/>
            </w:pPr>
          </w:p>
        </w:tc>
        <w:tc>
          <w:tcPr>
            <w:tcW w:w="1024" w:type="dxa"/>
            <w:vAlign w:val="center"/>
          </w:tcPr>
          <w:p w:rsidR="002A426C" w:rsidRDefault="002A426C" w:rsidP="00686BB5">
            <w:pPr>
              <w:spacing w:before="60" w:after="60" w:line="240" w:lineRule="auto"/>
              <w:jc w:val="right"/>
            </w:pPr>
          </w:p>
        </w:tc>
      </w:tr>
      <w:tr w:rsidR="002A426C" w:rsidTr="00686BB5">
        <w:tc>
          <w:tcPr>
            <w:tcW w:w="1101" w:type="dxa"/>
          </w:tcPr>
          <w:p w:rsidR="002A426C" w:rsidRDefault="002A426C" w:rsidP="00686BB5">
            <w:pPr>
              <w:spacing w:before="60" w:after="60" w:line="240" w:lineRule="auto"/>
              <w:jc w:val="left"/>
            </w:pPr>
          </w:p>
        </w:tc>
        <w:tc>
          <w:tcPr>
            <w:tcW w:w="7087" w:type="dxa"/>
          </w:tcPr>
          <w:p w:rsidR="002A426C" w:rsidRDefault="002A426C" w:rsidP="00686BB5">
            <w:pPr>
              <w:spacing w:before="60" w:after="60" w:line="240" w:lineRule="auto"/>
              <w:jc w:val="left"/>
            </w:pPr>
            <w:r w:rsidRPr="004F3AF7">
              <w:rPr>
                <w:rFonts w:eastAsia="Calibri"/>
                <w:lang w:eastAsia="en-US"/>
              </w:rPr>
              <w:t>Die Ergebnisse der sozialwissenschaftlichen Studie im Überblick</w:t>
            </w:r>
          </w:p>
        </w:tc>
        <w:tc>
          <w:tcPr>
            <w:tcW w:w="1024" w:type="dxa"/>
            <w:vAlign w:val="center"/>
          </w:tcPr>
          <w:p w:rsidR="002A426C" w:rsidRDefault="002A426C" w:rsidP="00686BB5">
            <w:pPr>
              <w:spacing w:before="60" w:after="60" w:line="240" w:lineRule="auto"/>
              <w:jc w:val="right"/>
            </w:pPr>
            <w:r>
              <w:t>7</w:t>
            </w:r>
          </w:p>
        </w:tc>
      </w:tr>
      <w:tr w:rsidR="002A426C" w:rsidTr="00686BB5">
        <w:tc>
          <w:tcPr>
            <w:tcW w:w="1101" w:type="dxa"/>
          </w:tcPr>
          <w:p w:rsidR="002A426C" w:rsidRDefault="002A426C" w:rsidP="00686BB5">
            <w:pPr>
              <w:spacing w:before="60" w:after="60" w:line="240" w:lineRule="auto"/>
            </w:pPr>
          </w:p>
        </w:tc>
        <w:tc>
          <w:tcPr>
            <w:tcW w:w="7087" w:type="dxa"/>
          </w:tcPr>
          <w:p w:rsidR="002A426C" w:rsidRPr="004F3AF7" w:rsidRDefault="002A426C" w:rsidP="00686BB5">
            <w:pPr>
              <w:spacing w:before="60" w:after="60" w:line="240" w:lineRule="auto"/>
              <w:rPr>
                <w:rFonts w:eastAsia="Calibri"/>
                <w:lang w:eastAsia="en-US"/>
              </w:rPr>
            </w:pPr>
          </w:p>
        </w:tc>
        <w:tc>
          <w:tcPr>
            <w:tcW w:w="1024" w:type="dxa"/>
            <w:vAlign w:val="center"/>
          </w:tcPr>
          <w:p w:rsidR="002A426C" w:rsidRDefault="002A426C" w:rsidP="00686BB5">
            <w:pPr>
              <w:spacing w:before="60" w:after="60" w:line="240" w:lineRule="auto"/>
              <w:jc w:val="right"/>
            </w:pPr>
          </w:p>
        </w:tc>
      </w:tr>
      <w:tr w:rsidR="002A426C" w:rsidTr="00686BB5">
        <w:tc>
          <w:tcPr>
            <w:tcW w:w="1101" w:type="dxa"/>
          </w:tcPr>
          <w:p w:rsidR="002A426C" w:rsidRDefault="002A426C" w:rsidP="00686BB5">
            <w:pPr>
              <w:spacing w:before="60" w:after="60" w:line="240" w:lineRule="auto"/>
              <w:jc w:val="left"/>
            </w:pPr>
            <w:r>
              <w:t>1.</w:t>
            </w:r>
          </w:p>
        </w:tc>
        <w:tc>
          <w:tcPr>
            <w:tcW w:w="7087" w:type="dxa"/>
          </w:tcPr>
          <w:p w:rsidR="002A426C" w:rsidRDefault="002A426C" w:rsidP="00686BB5">
            <w:pPr>
              <w:spacing w:before="60" w:after="60" w:line="240" w:lineRule="auto"/>
              <w:jc w:val="left"/>
            </w:pPr>
            <w:r>
              <w:t xml:space="preserve">Gleichbehandlung – ein Thema für die Wohnpolitik </w:t>
            </w:r>
          </w:p>
        </w:tc>
        <w:tc>
          <w:tcPr>
            <w:tcW w:w="1024" w:type="dxa"/>
            <w:vAlign w:val="center"/>
          </w:tcPr>
          <w:p w:rsidR="002A426C" w:rsidRDefault="005D2E03" w:rsidP="00686BB5">
            <w:pPr>
              <w:spacing w:before="60" w:after="60" w:line="240" w:lineRule="auto"/>
              <w:jc w:val="right"/>
            </w:pPr>
            <w:r>
              <w:t>22</w:t>
            </w:r>
          </w:p>
        </w:tc>
      </w:tr>
      <w:tr w:rsidR="002A426C" w:rsidTr="00686BB5">
        <w:tc>
          <w:tcPr>
            <w:tcW w:w="1101" w:type="dxa"/>
          </w:tcPr>
          <w:p w:rsidR="002A426C" w:rsidRDefault="002A426C" w:rsidP="00686BB5">
            <w:pPr>
              <w:spacing w:before="60" w:after="60" w:line="240" w:lineRule="auto"/>
            </w:pPr>
            <w:r>
              <w:t>1.1</w:t>
            </w:r>
          </w:p>
        </w:tc>
        <w:tc>
          <w:tcPr>
            <w:tcW w:w="7087" w:type="dxa"/>
          </w:tcPr>
          <w:p w:rsidR="002A426C" w:rsidRDefault="002A426C" w:rsidP="00686BB5">
            <w:pPr>
              <w:spacing w:before="60" w:after="60" w:line="240" w:lineRule="auto"/>
              <w:jc w:val="left"/>
            </w:pPr>
            <w:r>
              <w:rPr>
                <w:lang w:eastAsia="en-US"/>
              </w:rPr>
              <w:t>Anmerkungen zur Ausgangssituation</w:t>
            </w:r>
          </w:p>
        </w:tc>
        <w:tc>
          <w:tcPr>
            <w:tcW w:w="1024" w:type="dxa"/>
            <w:vAlign w:val="center"/>
          </w:tcPr>
          <w:p w:rsidR="002A426C" w:rsidRDefault="005D2E03" w:rsidP="00686BB5">
            <w:pPr>
              <w:spacing w:before="60" w:after="60" w:line="240" w:lineRule="auto"/>
              <w:jc w:val="right"/>
            </w:pPr>
            <w:r>
              <w:t>2</w:t>
            </w:r>
            <w:r w:rsidR="009109AF">
              <w:t>2</w:t>
            </w:r>
          </w:p>
        </w:tc>
      </w:tr>
      <w:tr w:rsidR="002A426C" w:rsidTr="00686BB5">
        <w:tc>
          <w:tcPr>
            <w:tcW w:w="1101" w:type="dxa"/>
          </w:tcPr>
          <w:p w:rsidR="002A426C" w:rsidRDefault="002A426C" w:rsidP="00686BB5">
            <w:pPr>
              <w:spacing w:before="60" w:after="60" w:line="240" w:lineRule="auto"/>
            </w:pPr>
            <w:r>
              <w:t>1.2</w:t>
            </w:r>
          </w:p>
        </w:tc>
        <w:tc>
          <w:tcPr>
            <w:tcW w:w="7087" w:type="dxa"/>
          </w:tcPr>
          <w:p w:rsidR="002A426C" w:rsidRDefault="002A426C" w:rsidP="00686BB5">
            <w:pPr>
              <w:spacing w:before="60" w:after="60" w:line="240" w:lineRule="auto"/>
              <w:jc w:val="left"/>
            </w:pPr>
            <w:r>
              <w:rPr>
                <w:lang w:eastAsia="en-US"/>
              </w:rPr>
              <w:t>Hohe Relevanz der Fragestellung</w:t>
            </w:r>
          </w:p>
        </w:tc>
        <w:tc>
          <w:tcPr>
            <w:tcW w:w="1024" w:type="dxa"/>
            <w:vAlign w:val="center"/>
          </w:tcPr>
          <w:p w:rsidR="002A426C" w:rsidRDefault="002A426C" w:rsidP="00686BB5">
            <w:pPr>
              <w:spacing w:before="60" w:after="60" w:line="240" w:lineRule="auto"/>
              <w:jc w:val="right"/>
            </w:pPr>
            <w:r>
              <w:t>24</w:t>
            </w:r>
          </w:p>
        </w:tc>
      </w:tr>
      <w:tr w:rsidR="002A426C" w:rsidTr="00686BB5">
        <w:tc>
          <w:tcPr>
            <w:tcW w:w="1101" w:type="dxa"/>
          </w:tcPr>
          <w:p w:rsidR="002A426C" w:rsidRDefault="002A426C" w:rsidP="00686BB5">
            <w:pPr>
              <w:spacing w:before="60" w:after="60" w:line="240" w:lineRule="auto"/>
            </w:pPr>
            <w:r>
              <w:t>1.3</w:t>
            </w:r>
          </w:p>
        </w:tc>
        <w:tc>
          <w:tcPr>
            <w:tcW w:w="7087" w:type="dxa"/>
          </w:tcPr>
          <w:p w:rsidR="002A426C" w:rsidRDefault="002A426C" w:rsidP="00686BB5">
            <w:pPr>
              <w:spacing w:before="60" w:after="60" w:line="240" w:lineRule="auto"/>
              <w:jc w:val="left"/>
              <w:rPr>
                <w:lang w:eastAsia="en-US"/>
              </w:rPr>
            </w:pPr>
            <w:r>
              <w:rPr>
                <w:lang w:eastAsia="en-US"/>
              </w:rPr>
              <w:t>Vergabevolumen am öffentlichen Wohnungsmarkt</w:t>
            </w:r>
          </w:p>
        </w:tc>
        <w:tc>
          <w:tcPr>
            <w:tcW w:w="1024" w:type="dxa"/>
            <w:vAlign w:val="center"/>
          </w:tcPr>
          <w:p w:rsidR="002A426C" w:rsidRDefault="002A426C" w:rsidP="00686BB5">
            <w:pPr>
              <w:spacing w:before="60" w:after="60" w:line="240" w:lineRule="auto"/>
              <w:jc w:val="right"/>
            </w:pPr>
            <w:r>
              <w:t>26</w:t>
            </w:r>
          </w:p>
        </w:tc>
      </w:tr>
      <w:tr w:rsidR="002A426C" w:rsidTr="00686BB5">
        <w:tc>
          <w:tcPr>
            <w:tcW w:w="1101" w:type="dxa"/>
          </w:tcPr>
          <w:p w:rsidR="002A426C" w:rsidRDefault="002A426C" w:rsidP="00686BB5">
            <w:pPr>
              <w:spacing w:before="60" w:after="60" w:line="240" w:lineRule="auto"/>
            </w:pPr>
            <w:r>
              <w:t>1.4</w:t>
            </w:r>
          </w:p>
        </w:tc>
        <w:tc>
          <w:tcPr>
            <w:tcW w:w="7087" w:type="dxa"/>
          </w:tcPr>
          <w:p w:rsidR="002A426C" w:rsidRDefault="002A426C" w:rsidP="00686BB5">
            <w:pPr>
              <w:spacing w:before="60" w:after="60" w:line="240" w:lineRule="auto"/>
              <w:jc w:val="left"/>
            </w:pPr>
            <w:r>
              <w:rPr>
                <w:lang w:eastAsia="en-US"/>
              </w:rPr>
              <w:t>Wohnbevölkerung im öffentlichen Wohnungsmarktsegment</w:t>
            </w:r>
          </w:p>
        </w:tc>
        <w:tc>
          <w:tcPr>
            <w:tcW w:w="1024" w:type="dxa"/>
            <w:vAlign w:val="center"/>
          </w:tcPr>
          <w:p w:rsidR="002A426C" w:rsidRDefault="002A426C" w:rsidP="00686BB5">
            <w:pPr>
              <w:spacing w:before="60" w:after="60" w:line="240" w:lineRule="auto"/>
              <w:jc w:val="right"/>
            </w:pPr>
            <w:r>
              <w:t>28</w:t>
            </w:r>
          </w:p>
        </w:tc>
      </w:tr>
      <w:tr w:rsidR="002A426C" w:rsidTr="00686BB5">
        <w:tc>
          <w:tcPr>
            <w:tcW w:w="1101" w:type="dxa"/>
          </w:tcPr>
          <w:p w:rsidR="002A426C" w:rsidRDefault="002A426C" w:rsidP="00686BB5">
            <w:pPr>
              <w:spacing w:before="60" w:after="60" w:line="240" w:lineRule="auto"/>
              <w:jc w:val="right"/>
            </w:pPr>
            <w:r>
              <w:t>1.4.1</w:t>
            </w:r>
          </w:p>
        </w:tc>
        <w:tc>
          <w:tcPr>
            <w:tcW w:w="7087" w:type="dxa"/>
          </w:tcPr>
          <w:p w:rsidR="002A426C" w:rsidRDefault="002A426C" w:rsidP="00686BB5">
            <w:pPr>
              <w:spacing w:before="60" w:after="60" w:line="240" w:lineRule="auto"/>
              <w:jc w:val="left"/>
              <w:rPr>
                <w:lang w:eastAsia="en-US"/>
              </w:rPr>
            </w:pPr>
            <w:r>
              <w:rPr>
                <w:lang w:eastAsia="en-US"/>
              </w:rPr>
              <w:t>Verhältnis nach Staatsbürgerschaft</w:t>
            </w:r>
          </w:p>
        </w:tc>
        <w:tc>
          <w:tcPr>
            <w:tcW w:w="1024" w:type="dxa"/>
            <w:vAlign w:val="center"/>
          </w:tcPr>
          <w:p w:rsidR="002A426C" w:rsidRDefault="002A426C" w:rsidP="00686BB5">
            <w:pPr>
              <w:spacing w:before="60" w:after="60" w:line="240" w:lineRule="auto"/>
              <w:jc w:val="right"/>
            </w:pPr>
            <w:r>
              <w:t>28</w:t>
            </w:r>
          </w:p>
        </w:tc>
      </w:tr>
      <w:tr w:rsidR="002A426C" w:rsidTr="00686BB5">
        <w:tc>
          <w:tcPr>
            <w:tcW w:w="1101" w:type="dxa"/>
          </w:tcPr>
          <w:p w:rsidR="002A426C" w:rsidRDefault="002A426C" w:rsidP="00686BB5">
            <w:pPr>
              <w:spacing w:before="60" w:after="60" w:line="240" w:lineRule="auto"/>
              <w:jc w:val="right"/>
            </w:pPr>
            <w:r>
              <w:t>1.4.2</w:t>
            </w:r>
          </w:p>
        </w:tc>
        <w:tc>
          <w:tcPr>
            <w:tcW w:w="7087" w:type="dxa"/>
          </w:tcPr>
          <w:p w:rsidR="002A426C" w:rsidRDefault="002A426C" w:rsidP="00686BB5">
            <w:pPr>
              <w:spacing w:before="60" w:after="60" w:line="240" w:lineRule="auto"/>
              <w:jc w:val="left"/>
            </w:pPr>
            <w:r>
              <w:rPr>
                <w:lang w:eastAsia="en-US"/>
              </w:rPr>
              <w:t>Unterscheidung nach muttersprachlichem Hintergrund</w:t>
            </w:r>
          </w:p>
        </w:tc>
        <w:tc>
          <w:tcPr>
            <w:tcW w:w="1024" w:type="dxa"/>
            <w:vAlign w:val="center"/>
          </w:tcPr>
          <w:p w:rsidR="002A426C" w:rsidRDefault="005D2E03" w:rsidP="00686BB5">
            <w:pPr>
              <w:spacing w:before="60" w:after="60" w:line="240" w:lineRule="auto"/>
              <w:jc w:val="right"/>
            </w:pPr>
            <w:r>
              <w:t>30</w:t>
            </w:r>
          </w:p>
        </w:tc>
      </w:tr>
      <w:tr w:rsidR="002A426C" w:rsidTr="00686BB5">
        <w:tc>
          <w:tcPr>
            <w:tcW w:w="1101" w:type="dxa"/>
          </w:tcPr>
          <w:p w:rsidR="002A426C" w:rsidRDefault="002A426C" w:rsidP="00686BB5">
            <w:pPr>
              <w:spacing w:before="60" w:after="60" w:line="240" w:lineRule="auto"/>
              <w:jc w:val="right"/>
            </w:pPr>
            <w:r>
              <w:t>1.4.3</w:t>
            </w:r>
          </w:p>
        </w:tc>
        <w:tc>
          <w:tcPr>
            <w:tcW w:w="7087" w:type="dxa"/>
          </w:tcPr>
          <w:p w:rsidR="002A426C" w:rsidRDefault="002A426C" w:rsidP="00686BB5">
            <w:pPr>
              <w:spacing w:before="60" w:after="60" w:line="240" w:lineRule="auto"/>
              <w:jc w:val="left"/>
            </w:pPr>
            <w:r>
              <w:rPr>
                <w:lang w:eastAsia="en-US"/>
              </w:rPr>
              <w:t>MigrantInnen der ersten Generation (nicht in Österreich geboren)</w:t>
            </w:r>
          </w:p>
        </w:tc>
        <w:tc>
          <w:tcPr>
            <w:tcW w:w="1024" w:type="dxa"/>
            <w:vAlign w:val="center"/>
          </w:tcPr>
          <w:p w:rsidR="002A426C" w:rsidRDefault="002A426C" w:rsidP="00686BB5">
            <w:pPr>
              <w:spacing w:before="60" w:after="60" w:line="240" w:lineRule="auto"/>
              <w:jc w:val="right"/>
            </w:pPr>
            <w:r>
              <w:t>30</w:t>
            </w:r>
          </w:p>
        </w:tc>
      </w:tr>
      <w:tr w:rsidR="002A426C" w:rsidTr="00686BB5">
        <w:tc>
          <w:tcPr>
            <w:tcW w:w="1101" w:type="dxa"/>
          </w:tcPr>
          <w:p w:rsidR="002A426C" w:rsidRDefault="002A426C" w:rsidP="00686BB5">
            <w:pPr>
              <w:spacing w:before="60" w:after="60" w:line="240" w:lineRule="auto"/>
              <w:jc w:val="right"/>
            </w:pPr>
          </w:p>
        </w:tc>
        <w:tc>
          <w:tcPr>
            <w:tcW w:w="7087" w:type="dxa"/>
          </w:tcPr>
          <w:p w:rsidR="002A426C" w:rsidRDefault="002A426C" w:rsidP="00686BB5">
            <w:pPr>
              <w:spacing w:before="60" w:after="60" w:line="240" w:lineRule="auto"/>
              <w:rPr>
                <w:lang w:eastAsia="en-US"/>
              </w:rPr>
            </w:pPr>
          </w:p>
        </w:tc>
        <w:tc>
          <w:tcPr>
            <w:tcW w:w="1024" w:type="dxa"/>
            <w:vAlign w:val="center"/>
          </w:tcPr>
          <w:p w:rsidR="002A426C" w:rsidRDefault="002A426C" w:rsidP="00686BB5">
            <w:pPr>
              <w:spacing w:before="60" w:after="60" w:line="240" w:lineRule="auto"/>
              <w:jc w:val="right"/>
            </w:pPr>
          </w:p>
        </w:tc>
      </w:tr>
      <w:tr w:rsidR="002A426C" w:rsidTr="00686BB5">
        <w:tc>
          <w:tcPr>
            <w:tcW w:w="1101" w:type="dxa"/>
          </w:tcPr>
          <w:p w:rsidR="002A426C" w:rsidRDefault="002A426C" w:rsidP="00686BB5">
            <w:pPr>
              <w:spacing w:before="60" w:after="60" w:line="240" w:lineRule="auto"/>
              <w:jc w:val="left"/>
            </w:pPr>
            <w:r>
              <w:t>2.</w:t>
            </w:r>
          </w:p>
        </w:tc>
        <w:tc>
          <w:tcPr>
            <w:tcW w:w="7087" w:type="dxa"/>
          </w:tcPr>
          <w:p w:rsidR="002A426C" w:rsidRDefault="002A426C" w:rsidP="00686BB5">
            <w:pPr>
              <w:spacing w:before="60" w:after="60" w:line="240" w:lineRule="auto"/>
              <w:jc w:val="left"/>
            </w:pPr>
            <w:r>
              <w:rPr>
                <w:lang w:eastAsia="en-US"/>
              </w:rPr>
              <w:t>Diskriminierung von Nicht-ÖsterreicherInnen auf dem Wohnungsmarkt</w:t>
            </w:r>
          </w:p>
        </w:tc>
        <w:tc>
          <w:tcPr>
            <w:tcW w:w="1024" w:type="dxa"/>
            <w:vAlign w:val="center"/>
          </w:tcPr>
          <w:p w:rsidR="002A426C" w:rsidRDefault="002A426C" w:rsidP="00686BB5">
            <w:pPr>
              <w:spacing w:before="60" w:after="60" w:line="240" w:lineRule="auto"/>
              <w:jc w:val="right"/>
            </w:pPr>
            <w:r>
              <w:t>32</w:t>
            </w:r>
          </w:p>
        </w:tc>
      </w:tr>
      <w:tr w:rsidR="002A426C" w:rsidTr="00686BB5">
        <w:tc>
          <w:tcPr>
            <w:tcW w:w="1101" w:type="dxa"/>
          </w:tcPr>
          <w:p w:rsidR="002A426C" w:rsidRPr="00EF2AE1" w:rsidRDefault="002A426C" w:rsidP="00686BB5">
            <w:pPr>
              <w:spacing w:before="60" w:after="60" w:line="240" w:lineRule="auto"/>
            </w:pPr>
            <w:r>
              <w:t>2.1</w:t>
            </w:r>
          </w:p>
        </w:tc>
        <w:tc>
          <w:tcPr>
            <w:tcW w:w="7087" w:type="dxa"/>
          </w:tcPr>
          <w:p w:rsidR="002A426C" w:rsidRDefault="002A426C" w:rsidP="00686BB5">
            <w:pPr>
              <w:spacing w:before="60" w:after="60" w:line="240" w:lineRule="auto"/>
              <w:jc w:val="left"/>
              <w:rPr>
                <w:lang w:eastAsia="en-US"/>
              </w:rPr>
            </w:pPr>
            <w:r>
              <w:t>Sensibilität und Einschätzung von gesetzlichen Bestimmungen und administrativen Vorgaben nach Art der Einrichtung</w:t>
            </w:r>
          </w:p>
        </w:tc>
        <w:tc>
          <w:tcPr>
            <w:tcW w:w="1024" w:type="dxa"/>
            <w:vAlign w:val="center"/>
          </w:tcPr>
          <w:p w:rsidR="002A426C" w:rsidRDefault="002A426C" w:rsidP="00686BB5">
            <w:pPr>
              <w:spacing w:before="60" w:after="60" w:line="240" w:lineRule="auto"/>
              <w:jc w:val="right"/>
            </w:pPr>
            <w:r>
              <w:t>34</w:t>
            </w:r>
          </w:p>
        </w:tc>
      </w:tr>
      <w:tr w:rsidR="002A426C" w:rsidTr="00686BB5">
        <w:tc>
          <w:tcPr>
            <w:tcW w:w="1101" w:type="dxa"/>
          </w:tcPr>
          <w:p w:rsidR="002A426C" w:rsidRDefault="002A426C" w:rsidP="00686BB5">
            <w:pPr>
              <w:spacing w:before="60" w:after="60" w:line="240" w:lineRule="auto"/>
            </w:pPr>
            <w:r>
              <w:t>2.2</w:t>
            </w:r>
          </w:p>
        </w:tc>
        <w:tc>
          <w:tcPr>
            <w:tcW w:w="7087" w:type="dxa"/>
          </w:tcPr>
          <w:p w:rsidR="002A426C" w:rsidRDefault="002A426C" w:rsidP="00686BB5">
            <w:pPr>
              <w:spacing w:before="60" w:after="60" w:line="240" w:lineRule="auto"/>
              <w:jc w:val="left"/>
            </w:pPr>
            <w:r>
              <w:t>Gleichbehandlung / Diskriminierung in regionaler Hinsicht</w:t>
            </w:r>
          </w:p>
        </w:tc>
        <w:tc>
          <w:tcPr>
            <w:tcW w:w="1024" w:type="dxa"/>
            <w:vAlign w:val="center"/>
          </w:tcPr>
          <w:p w:rsidR="002A426C" w:rsidRDefault="002A426C" w:rsidP="00686BB5">
            <w:pPr>
              <w:spacing w:before="60" w:after="60" w:line="240" w:lineRule="auto"/>
              <w:jc w:val="right"/>
            </w:pPr>
            <w:r>
              <w:t>35</w:t>
            </w:r>
          </w:p>
        </w:tc>
      </w:tr>
      <w:tr w:rsidR="002A426C" w:rsidTr="00686BB5">
        <w:tc>
          <w:tcPr>
            <w:tcW w:w="1101" w:type="dxa"/>
          </w:tcPr>
          <w:p w:rsidR="002A426C" w:rsidRDefault="002A426C" w:rsidP="00686BB5">
            <w:pPr>
              <w:spacing w:before="60" w:after="60" w:line="240" w:lineRule="auto"/>
            </w:pPr>
            <w:r>
              <w:t>2.3</w:t>
            </w:r>
          </w:p>
        </w:tc>
        <w:tc>
          <w:tcPr>
            <w:tcW w:w="7087" w:type="dxa"/>
          </w:tcPr>
          <w:p w:rsidR="002A426C" w:rsidRDefault="002A426C" w:rsidP="00686BB5">
            <w:pPr>
              <w:spacing w:before="60" w:after="60" w:line="240" w:lineRule="auto"/>
              <w:jc w:val="left"/>
            </w:pPr>
            <w:r>
              <w:rPr>
                <w:lang w:eastAsia="en-US"/>
              </w:rPr>
              <w:t>Vergabe öffentlichen Wohnraums</w:t>
            </w:r>
          </w:p>
        </w:tc>
        <w:tc>
          <w:tcPr>
            <w:tcW w:w="1024" w:type="dxa"/>
            <w:vAlign w:val="center"/>
          </w:tcPr>
          <w:p w:rsidR="002A426C" w:rsidRDefault="002A426C" w:rsidP="00686BB5">
            <w:pPr>
              <w:spacing w:before="60" w:after="60" w:line="240" w:lineRule="auto"/>
              <w:jc w:val="right"/>
            </w:pPr>
            <w:r>
              <w:t>38</w:t>
            </w:r>
          </w:p>
        </w:tc>
      </w:tr>
      <w:tr w:rsidR="002A426C" w:rsidTr="00686BB5">
        <w:tc>
          <w:tcPr>
            <w:tcW w:w="1101" w:type="dxa"/>
          </w:tcPr>
          <w:p w:rsidR="002A426C" w:rsidRDefault="002A426C" w:rsidP="00686BB5">
            <w:pPr>
              <w:spacing w:before="60" w:after="60" w:line="240" w:lineRule="auto"/>
              <w:jc w:val="right"/>
            </w:pPr>
            <w:r>
              <w:t>2.3.1</w:t>
            </w:r>
          </w:p>
        </w:tc>
        <w:tc>
          <w:tcPr>
            <w:tcW w:w="7087" w:type="dxa"/>
          </w:tcPr>
          <w:p w:rsidR="002A426C" w:rsidRPr="009218CD" w:rsidRDefault="002A426C" w:rsidP="00686BB5">
            <w:pPr>
              <w:spacing w:before="60" w:after="60" w:line="240" w:lineRule="auto"/>
              <w:jc w:val="left"/>
              <w:rPr>
                <w:smallCaps/>
              </w:rPr>
            </w:pPr>
            <w:r>
              <w:t>Zugang zu öffentlichem Wohnraum nach Art der Einrichtung</w:t>
            </w:r>
          </w:p>
        </w:tc>
        <w:tc>
          <w:tcPr>
            <w:tcW w:w="1024" w:type="dxa"/>
            <w:vAlign w:val="center"/>
          </w:tcPr>
          <w:p w:rsidR="002A426C" w:rsidRDefault="002A426C" w:rsidP="00686BB5">
            <w:pPr>
              <w:spacing w:before="60" w:after="60" w:line="240" w:lineRule="auto"/>
              <w:jc w:val="right"/>
            </w:pPr>
            <w:r>
              <w:t>39</w:t>
            </w:r>
          </w:p>
        </w:tc>
      </w:tr>
      <w:tr w:rsidR="002A426C" w:rsidTr="00686BB5">
        <w:tc>
          <w:tcPr>
            <w:tcW w:w="1101" w:type="dxa"/>
          </w:tcPr>
          <w:p w:rsidR="002A426C" w:rsidRDefault="002A426C" w:rsidP="00686BB5">
            <w:pPr>
              <w:spacing w:before="60" w:after="60" w:line="240" w:lineRule="auto"/>
              <w:jc w:val="right"/>
            </w:pPr>
            <w:r>
              <w:t>2.3.2</w:t>
            </w:r>
          </w:p>
        </w:tc>
        <w:tc>
          <w:tcPr>
            <w:tcW w:w="7087" w:type="dxa"/>
          </w:tcPr>
          <w:p w:rsidR="002A426C" w:rsidRDefault="002A426C" w:rsidP="00686BB5">
            <w:pPr>
              <w:spacing w:before="60" w:after="60" w:line="240" w:lineRule="auto"/>
              <w:jc w:val="left"/>
            </w:pPr>
            <w:r>
              <w:rPr>
                <w:lang w:eastAsia="en-US"/>
              </w:rPr>
              <w:t xml:space="preserve">Zugang zu öffentlichem Wohnraum – regionale / kommunale </w:t>
            </w:r>
            <w:r w:rsidR="00334975">
              <w:rPr>
                <w:lang w:eastAsia="en-US"/>
              </w:rPr>
              <w:br/>
            </w:r>
            <w:r>
              <w:rPr>
                <w:lang w:eastAsia="en-US"/>
              </w:rPr>
              <w:t>Fallbeispiele</w:t>
            </w:r>
          </w:p>
        </w:tc>
        <w:tc>
          <w:tcPr>
            <w:tcW w:w="1024" w:type="dxa"/>
            <w:vAlign w:val="center"/>
          </w:tcPr>
          <w:p w:rsidR="002A426C" w:rsidRDefault="002A426C" w:rsidP="00686BB5">
            <w:pPr>
              <w:spacing w:before="60" w:after="60" w:line="240" w:lineRule="auto"/>
              <w:jc w:val="right"/>
            </w:pPr>
            <w:r>
              <w:t>41</w:t>
            </w:r>
          </w:p>
        </w:tc>
      </w:tr>
      <w:tr w:rsidR="002A426C" w:rsidTr="00686BB5">
        <w:tc>
          <w:tcPr>
            <w:tcW w:w="1101" w:type="dxa"/>
          </w:tcPr>
          <w:p w:rsidR="002A426C" w:rsidRDefault="002A426C" w:rsidP="00686BB5">
            <w:pPr>
              <w:spacing w:before="60" w:after="60" w:line="240" w:lineRule="auto"/>
            </w:pPr>
            <w:r>
              <w:t>2.4</w:t>
            </w:r>
          </w:p>
        </w:tc>
        <w:tc>
          <w:tcPr>
            <w:tcW w:w="7087" w:type="dxa"/>
          </w:tcPr>
          <w:p w:rsidR="002A426C" w:rsidRDefault="002A426C" w:rsidP="00686BB5">
            <w:pPr>
              <w:spacing w:before="60" w:after="60" w:line="240" w:lineRule="auto"/>
              <w:jc w:val="left"/>
            </w:pPr>
            <w:r>
              <w:t>Faktoren, die bei der Wohnungsvergabe an Nicht-ÖsterreicherInnen berücksichtigt werden</w:t>
            </w:r>
          </w:p>
        </w:tc>
        <w:tc>
          <w:tcPr>
            <w:tcW w:w="1024" w:type="dxa"/>
            <w:vAlign w:val="center"/>
          </w:tcPr>
          <w:p w:rsidR="002A426C" w:rsidRDefault="002A426C" w:rsidP="00847FE5">
            <w:pPr>
              <w:spacing w:before="60" w:after="60" w:line="240" w:lineRule="auto"/>
              <w:jc w:val="right"/>
            </w:pPr>
            <w:r>
              <w:t>4</w:t>
            </w:r>
            <w:r w:rsidR="00847FE5">
              <w:t>8</w:t>
            </w:r>
          </w:p>
        </w:tc>
      </w:tr>
      <w:tr w:rsidR="002A426C" w:rsidTr="00686BB5">
        <w:tc>
          <w:tcPr>
            <w:tcW w:w="1101" w:type="dxa"/>
          </w:tcPr>
          <w:p w:rsidR="002A426C" w:rsidRDefault="002A426C" w:rsidP="00686BB5">
            <w:pPr>
              <w:spacing w:before="60" w:after="60" w:line="240" w:lineRule="auto"/>
              <w:jc w:val="right"/>
            </w:pPr>
            <w:r>
              <w:t>2.4.1</w:t>
            </w:r>
          </w:p>
        </w:tc>
        <w:tc>
          <w:tcPr>
            <w:tcW w:w="7087" w:type="dxa"/>
          </w:tcPr>
          <w:p w:rsidR="002A426C" w:rsidRDefault="002A426C" w:rsidP="00686BB5">
            <w:pPr>
              <w:spacing w:before="60" w:after="60" w:line="240" w:lineRule="auto"/>
              <w:jc w:val="left"/>
            </w:pPr>
            <w:r>
              <w:t>Kenntnis der deutschen Sprache</w:t>
            </w:r>
          </w:p>
        </w:tc>
        <w:tc>
          <w:tcPr>
            <w:tcW w:w="1024" w:type="dxa"/>
            <w:vAlign w:val="center"/>
          </w:tcPr>
          <w:p w:rsidR="002A426C" w:rsidRDefault="009D702E" w:rsidP="00686BB5">
            <w:pPr>
              <w:spacing w:before="60" w:after="60" w:line="240" w:lineRule="auto"/>
              <w:jc w:val="right"/>
            </w:pPr>
            <w:r>
              <w:t>50</w:t>
            </w:r>
          </w:p>
        </w:tc>
      </w:tr>
      <w:tr w:rsidR="002A426C" w:rsidTr="00686BB5">
        <w:tc>
          <w:tcPr>
            <w:tcW w:w="1101" w:type="dxa"/>
          </w:tcPr>
          <w:p w:rsidR="002A426C" w:rsidRDefault="002A426C" w:rsidP="00686BB5">
            <w:pPr>
              <w:spacing w:before="60" w:after="60" w:line="240" w:lineRule="auto"/>
              <w:jc w:val="right"/>
            </w:pPr>
            <w:r>
              <w:t>2.4.2</w:t>
            </w:r>
          </w:p>
        </w:tc>
        <w:tc>
          <w:tcPr>
            <w:tcW w:w="7087" w:type="dxa"/>
          </w:tcPr>
          <w:p w:rsidR="002A426C" w:rsidRDefault="002A426C" w:rsidP="00686BB5">
            <w:pPr>
              <w:spacing w:before="60" w:after="60" w:line="240" w:lineRule="auto"/>
              <w:jc w:val="left"/>
            </w:pPr>
            <w:r>
              <w:t>Kriterium der ethnischen Mischung</w:t>
            </w:r>
          </w:p>
        </w:tc>
        <w:tc>
          <w:tcPr>
            <w:tcW w:w="1024" w:type="dxa"/>
            <w:vAlign w:val="center"/>
          </w:tcPr>
          <w:p w:rsidR="002A426C" w:rsidRDefault="009D702E" w:rsidP="00686BB5">
            <w:pPr>
              <w:spacing w:before="60" w:after="60" w:line="240" w:lineRule="auto"/>
              <w:jc w:val="right"/>
            </w:pPr>
            <w:r>
              <w:t>52</w:t>
            </w:r>
          </w:p>
        </w:tc>
      </w:tr>
      <w:tr w:rsidR="002A426C" w:rsidTr="00686BB5">
        <w:tc>
          <w:tcPr>
            <w:tcW w:w="1101" w:type="dxa"/>
          </w:tcPr>
          <w:p w:rsidR="002A426C" w:rsidRDefault="002A426C" w:rsidP="00686BB5">
            <w:pPr>
              <w:spacing w:before="60" w:after="60" w:line="240" w:lineRule="auto"/>
              <w:jc w:val="right"/>
            </w:pPr>
            <w:r>
              <w:t>2.4.3</w:t>
            </w:r>
          </w:p>
        </w:tc>
        <w:tc>
          <w:tcPr>
            <w:tcW w:w="7087" w:type="dxa"/>
          </w:tcPr>
          <w:p w:rsidR="002A426C" w:rsidRDefault="002A426C" w:rsidP="00686BB5">
            <w:pPr>
              <w:spacing w:before="60" w:after="60" w:line="240" w:lineRule="auto"/>
              <w:jc w:val="left"/>
            </w:pPr>
            <w:r>
              <w:t>Ethnisierung von sozialen Spannungen und Konflikten</w:t>
            </w:r>
          </w:p>
        </w:tc>
        <w:tc>
          <w:tcPr>
            <w:tcW w:w="1024" w:type="dxa"/>
            <w:vAlign w:val="center"/>
          </w:tcPr>
          <w:p w:rsidR="002A426C" w:rsidRDefault="009D702E" w:rsidP="00686BB5">
            <w:pPr>
              <w:spacing w:before="60" w:after="60" w:line="240" w:lineRule="auto"/>
              <w:jc w:val="right"/>
            </w:pPr>
            <w:r>
              <w:t>54</w:t>
            </w:r>
          </w:p>
        </w:tc>
      </w:tr>
      <w:tr w:rsidR="002A426C" w:rsidTr="00686BB5">
        <w:tc>
          <w:tcPr>
            <w:tcW w:w="1101" w:type="dxa"/>
          </w:tcPr>
          <w:p w:rsidR="002A426C" w:rsidRDefault="002A426C" w:rsidP="009109AF">
            <w:pPr>
              <w:spacing w:before="60" w:after="60" w:line="240" w:lineRule="auto"/>
              <w:jc w:val="right"/>
            </w:pPr>
            <w:r>
              <w:t>2.4.</w:t>
            </w:r>
            <w:r w:rsidR="009109AF">
              <w:t>4</w:t>
            </w:r>
          </w:p>
        </w:tc>
        <w:tc>
          <w:tcPr>
            <w:tcW w:w="7087" w:type="dxa"/>
          </w:tcPr>
          <w:p w:rsidR="002A426C" w:rsidRDefault="002A426C" w:rsidP="00686BB5">
            <w:pPr>
              <w:spacing w:before="60" w:after="60" w:line="240" w:lineRule="auto"/>
              <w:jc w:val="left"/>
            </w:pPr>
            <w:r>
              <w:t>Positive Diskriminierung von Personen mit Migrationshintergrund</w:t>
            </w:r>
          </w:p>
        </w:tc>
        <w:tc>
          <w:tcPr>
            <w:tcW w:w="1024" w:type="dxa"/>
            <w:vAlign w:val="center"/>
          </w:tcPr>
          <w:p w:rsidR="002A426C" w:rsidRDefault="009D702E" w:rsidP="00686BB5">
            <w:pPr>
              <w:spacing w:before="60" w:after="60" w:line="240" w:lineRule="auto"/>
              <w:jc w:val="right"/>
            </w:pPr>
            <w:r>
              <w:t>55</w:t>
            </w:r>
          </w:p>
        </w:tc>
      </w:tr>
      <w:tr w:rsidR="002A426C" w:rsidTr="00686BB5">
        <w:tc>
          <w:tcPr>
            <w:tcW w:w="1101" w:type="dxa"/>
          </w:tcPr>
          <w:p w:rsidR="002A426C" w:rsidRDefault="002A426C" w:rsidP="00686BB5">
            <w:pPr>
              <w:spacing w:before="60" w:after="60" w:line="240" w:lineRule="auto"/>
            </w:pPr>
            <w:r>
              <w:t>2.5</w:t>
            </w:r>
          </w:p>
        </w:tc>
        <w:tc>
          <w:tcPr>
            <w:tcW w:w="7087" w:type="dxa"/>
          </w:tcPr>
          <w:p w:rsidR="002A426C" w:rsidRDefault="002A426C" w:rsidP="00686BB5">
            <w:pPr>
              <w:spacing w:before="60" w:after="60" w:line="240" w:lineRule="auto"/>
              <w:jc w:val="left"/>
            </w:pPr>
            <w:r>
              <w:t xml:space="preserve">Vorsorgen für Wohnversorgung, Beratung und Betreuung </w:t>
            </w:r>
            <w:r w:rsidR="00334975">
              <w:br/>
            </w:r>
            <w:r>
              <w:t>von Nicht-ÖsterreicherInnen</w:t>
            </w:r>
          </w:p>
        </w:tc>
        <w:tc>
          <w:tcPr>
            <w:tcW w:w="1024" w:type="dxa"/>
            <w:vAlign w:val="center"/>
          </w:tcPr>
          <w:p w:rsidR="002A426C" w:rsidRDefault="009D702E" w:rsidP="00686BB5">
            <w:pPr>
              <w:spacing w:before="60" w:after="60" w:line="240" w:lineRule="auto"/>
              <w:jc w:val="right"/>
            </w:pPr>
            <w:r>
              <w:t>56</w:t>
            </w:r>
          </w:p>
        </w:tc>
      </w:tr>
      <w:tr w:rsidR="002A426C" w:rsidTr="00686BB5">
        <w:tc>
          <w:tcPr>
            <w:tcW w:w="1101" w:type="dxa"/>
          </w:tcPr>
          <w:p w:rsidR="002A426C" w:rsidRDefault="002A426C" w:rsidP="00686BB5">
            <w:pPr>
              <w:spacing w:before="60" w:after="60" w:line="240" w:lineRule="auto"/>
              <w:jc w:val="right"/>
            </w:pPr>
            <w:r>
              <w:t>2.5.1</w:t>
            </w:r>
          </w:p>
        </w:tc>
        <w:tc>
          <w:tcPr>
            <w:tcW w:w="7087" w:type="dxa"/>
          </w:tcPr>
          <w:p w:rsidR="002A426C" w:rsidRDefault="002A426C" w:rsidP="00686BB5">
            <w:pPr>
              <w:spacing w:before="60" w:after="60" w:line="240" w:lineRule="auto"/>
              <w:jc w:val="left"/>
            </w:pPr>
            <w:r>
              <w:t>Vorsorgen nach Art der Einrichtung</w:t>
            </w:r>
          </w:p>
        </w:tc>
        <w:tc>
          <w:tcPr>
            <w:tcW w:w="1024" w:type="dxa"/>
            <w:vAlign w:val="center"/>
          </w:tcPr>
          <w:p w:rsidR="002A426C" w:rsidRDefault="009D702E" w:rsidP="00686BB5">
            <w:pPr>
              <w:spacing w:before="60" w:after="60" w:line="240" w:lineRule="auto"/>
              <w:jc w:val="right"/>
            </w:pPr>
            <w:r>
              <w:t>57</w:t>
            </w:r>
          </w:p>
        </w:tc>
      </w:tr>
      <w:tr w:rsidR="002A426C" w:rsidTr="00686BB5">
        <w:tc>
          <w:tcPr>
            <w:tcW w:w="1101" w:type="dxa"/>
          </w:tcPr>
          <w:p w:rsidR="002A426C" w:rsidRDefault="002A426C" w:rsidP="00686BB5">
            <w:pPr>
              <w:spacing w:before="60" w:after="60" w:line="240" w:lineRule="auto"/>
              <w:jc w:val="right"/>
            </w:pPr>
            <w:r>
              <w:t>2.5.2</w:t>
            </w:r>
          </w:p>
        </w:tc>
        <w:tc>
          <w:tcPr>
            <w:tcW w:w="7087" w:type="dxa"/>
          </w:tcPr>
          <w:p w:rsidR="002A426C" w:rsidRDefault="002A426C" w:rsidP="00686BB5">
            <w:pPr>
              <w:spacing w:before="60" w:after="60" w:line="240" w:lineRule="auto"/>
              <w:jc w:val="left"/>
            </w:pPr>
            <w:r>
              <w:t>Regionale Unterschiede hinsichtlich spezifischer Vorsorgen</w:t>
            </w:r>
          </w:p>
        </w:tc>
        <w:tc>
          <w:tcPr>
            <w:tcW w:w="1024" w:type="dxa"/>
            <w:vAlign w:val="center"/>
          </w:tcPr>
          <w:p w:rsidR="002A426C" w:rsidRDefault="009D702E" w:rsidP="00686BB5">
            <w:pPr>
              <w:spacing w:before="60" w:after="60" w:line="240" w:lineRule="auto"/>
              <w:jc w:val="right"/>
            </w:pPr>
            <w:r>
              <w:t>59</w:t>
            </w:r>
          </w:p>
        </w:tc>
      </w:tr>
      <w:tr w:rsidR="002A426C" w:rsidTr="00686BB5">
        <w:tc>
          <w:tcPr>
            <w:tcW w:w="1101" w:type="dxa"/>
          </w:tcPr>
          <w:p w:rsidR="002A426C" w:rsidRDefault="002A426C" w:rsidP="00686BB5">
            <w:pPr>
              <w:spacing w:before="60" w:after="60" w:line="240" w:lineRule="auto"/>
            </w:pPr>
            <w:r>
              <w:t>2.6</w:t>
            </w:r>
          </w:p>
        </w:tc>
        <w:tc>
          <w:tcPr>
            <w:tcW w:w="7087" w:type="dxa"/>
          </w:tcPr>
          <w:p w:rsidR="002A426C" w:rsidRDefault="002A426C" w:rsidP="00686BB5">
            <w:pPr>
              <w:spacing w:before="60" w:after="60" w:line="240" w:lineRule="auto"/>
              <w:jc w:val="left"/>
            </w:pPr>
            <w:r>
              <w:t xml:space="preserve">Berücksichtigung der aktuellen Wohn- und Lebenssituation </w:t>
            </w:r>
            <w:r w:rsidR="00334975">
              <w:br/>
            </w:r>
            <w:r>
              <w:t>der WohnungswerberInnen</w:t>
            </w:r>
          </w:p>
        </w:tc>
        <w:tc>
          <w:tcPr>
            <w:tcW w:w="1024" w:type="dxa"/>
            <w:vAlign w:val="center"/>
          </w:tcPr>
          <w:p w:rsidR="002A426C" w:rsidRDefault="009D702E" w:rsidP="00686BB5">
            <w:pPr>
              <w:spacing w:before="60" w:after="60" w:line="240" w:lineRule="auto"/>
              <w:jc w:val="right"/>
            </w:pPr>
            <w:r>
              <w:t>61</w:t>
            </w:r>
          </w:p>
        </w:tc>
      </w:tr>
      <w:tr w:rsidR="002A426C" w:rsidTr="00686BB5">
        <w:tc>
          <w:tcPr>
            <w:tcW w:w="1101" w:type="dxa"/>
          </w:tcPr>
          <w:p w:rsidR="002A426C" w:rsidRDefault="002A426C" w:rsidP="00686BB5">
            <w:pPr>
              <w:spacing w:before="60" w:after="60" w:line="240" w:lineRule="auto"/>
            </w:pPr>
            <w:r>
              <w:t>2.7</w:t>
            </w:r>
          </w:p>
        </w:tc>
        <w:tc>
          <w:tcPr>
            <w:tcW w:w="7087" w:type="dxa"/>
          </w:tcPr>
          <w:p w:rsidR="002A426C" w:rsidRDefault="002A426C" w:rsidP="00686BB5">
            <w:pPr>
              <w:spacing w:before="60" w:after="60" w:line="240" w:lineRule="auto"/>
              <w:jc w:val="left"/>
            </w:pPr>
            <w:r>
              <w:t>Vergabekriterien in unterschiedlichen Wohnungsmarktsegmenten</w:t>
            </w:r>
          </w:p>
        </w:tc>
        <w:tc>
          <w:tcPr>
            <w:tcW w:w="1024" w:type="dxa"/>
            <w:vAlign w:val="center"/>
          </w:tcPr>
          <w:p w:rsidR="002A426C" w:rsidRDefault="009D702E" w:rsidP="00686BB5">
            <w:pPr>
              <w:spacing w:before="60" w:after="60" w:line="240" w:lineRule="auto"/>
              <w:jc w:val="right"/>
            </w:pPr>
            <w:r>
              <w:t>64</w:t>
            </w:r>
          </w:p>
        </w:tc>
      </w:tr>
      <w:tr w:rsidR="002A426C" w:rsidTr="00686BB5">
        <w:tc>
          <w:tcPr>
            <w:tcW w:w="1101" w:type="dxa"/>
          </w:tcPr>
          <w:p w:rsidR="002A426C" w:rsidRDefault="002A426C" w:rsidP="00686BB5">
            <w:pPr>
              <w:spacing w:before="60" w:after="60" w:line="240" w:lineRule="auto"/>
            </w:pPr>
          </w:p>
        </w:tc>
        <w:tc>
          <w:tcPr>
            <w:tcW w:w="7087" w:type="dxa"/>
          </w:tcPr>
          <w:p w:rsidR="002A426C" w:rsidRDefault="002A426C" w:rsidP="00686BB5">
            <w:pPr>
              <w:spacing w:before="60" w:after="60" w:line="240" w:lineRule="auto"/>
            </w:pPr>
          </w:p>
        </w:tc>
        <w:tc>
          <w:tcPr>
            <w:tcW w:w="1024" w:type="dxa"/>
            <w:vAlign w:val="center"/>
          </w:tcPr>
          <w:p w:rsidR="002A426C" w:rsidRDefault="002A426C" w:rsidP="00686BB5">
            <w:pPr>
              <w:spacing w:before="60" w:after="60" w:line="240" w:lineRule="auto"/>
              <w:jc w:val="right"/>
            </w:pPr>
          </w:p>
        </w:tc>
      </w:tr>
    </w:tbl>
    <w:p w:rsidR="009D702E" w:rsidRDefault="009D702E">
      <w:r>
        <w:br w:type="page"/>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7087"/>
        <w:gridCol w:w="1024"/>
      </w:tblGrid>
      <w:tr w:rsidR="002A426C" w:rsidTr="00686BB5">
        <w:tc>
          <w:tcPr>
            <w:tcW w:w="1101" w:type="dxa"/>
          </w:tcPr>
          <w:p w:rsidR="002A426C" w:rsidRDefault="002A426C" w:rsidP="00686BB5">
            <w:pPr>
              <w:spacing w:before="60" w:after="60" w:line="240" w:lineRule="auto"/>
              <w:jc w:val="left"/>
            </w:pPr>
            <w:r>
              <w:lastRenderedPageBreak/>
              <w:t>3.</w:t>
            </w:r>
          </w:p>
        </w:tc>
        <w:tc>
          <w:tcPr>
            <w:tcW w:w="7087" w:type="dxa"/>
          </w:tcPr>
          <w:p w:rsidR="002A426C" w:rsidRDefault="002A426C" w:rsidP="00686BB5">
            <w:pPr>
              <w:spacing w:before="60" w:after="60" w:line="240" w:lineRule="auto"/>
              <w:jc w:val="left"/>
            </w:pPr>
            <w:r>
              <w:t xml:space="preserve">Leitlinien und Zielvorgaben für die Gleichbehandlung </w:t>
            </w:r>
          </w:p>
        </w:tc>
        <w:tc>
          <w:tcPr>
            <w:tcW w:w="1024" w:type="dxa"/>
            <w:vAlign w:val="center"/>
          </w:tcPr>
          <w:p w:rsidR="002A426C" w:rsidRDefault="009D702E" w:rsidP="00686BB5">
            <w:pPr>
              <w:spacing w:before="60" w:after="60" w:line="240" w:lineRule="auto"/>
              <w:jc w:val="right"/>
            </w:pPr>
            <w:r>
              <w:t>69</w:t>
            </w:r>
          </w:p>
        </w:tc>
      </w:tr>
      <w:tr w:rsidR="002A426C" w:rsidTr="00686BB5">
        <w:tc>
          <w:tcPr>
            <w:tcW w:w="1101" w:type="dxa"/>
          </w:tcPr>
          <w:p w:rsidR="002A426C" w:rsidRDefault="002A426C" w:rsidP="00686BB5">
            <w:pPr>
              <w:spacing w:before="60" w:after="60" w:line="240" w:lineRule="auto"/>
            </w:pPr>
            <w:r>
              <w:t>3.1</w:t>
            </w:r>
          </w:p>
        </w:tc>
        <w:tc>
          <w:tcPr>
            <w:tcW w:w="7087" w:type="dxa"/>
          </w:tcPr>
          <w:p w:rsidR="002A426C" w:rsidRDefault="002A426C" w:rsidP="00686BB5">
            <w:pPr>
              <w:spacing w:before="60" w:after="60" w:line="240" w:lineRule="auto"/>
              <w:jc w:val="left"/>
            </w:pPr>
            <w:r>
              <w:t>Unterschiedliche Leitbilder und Zielvorstellungen nach Einrichtungsart</w:t>
            </w:r>
          </w:p>
        </w:tc>
        <w:tc>
          <w:tcPr>
            <w:tcW w:w="1024" w:type="dxa"/>
            <w:vAlign w:val="center"/>
          </w:tcPr>
          <w:p w:rsidR="002A426C" w:rsidRDefault="009D702E" w:rsidP="00686BB5">
            <w:pPr>
              <w:spacing w:before="60" w:after="60" w:line="240" w:lineRule="auto"/>
              <w:jc w:val="right"/>
            </w:pPr>
            <w:r>
              <w:t>71</w:t>
            </w:r>
          </w:p>
        </w:tc>
      </w:tr>
      <w:tr w:rsidR="002A426C" w:rsidTr="00686BB5">
        <w:tc>
          <w:tcPr>
            <w:tcW w:w="1101" w:type="dxa"/>
          </w:tcPr>
          <w:p w:rsidR="002A426C" w:rsidRDefault="002A426C" w:rsidP="00686BB5">
            <w:pPr>
              <w:spacing w:before="60" w:after="60" w:line="240" w:lineRule="auto"/>
            </w:pPr>
            <w:r>
              <w:t>3.2</w:t>
            </w:r>
          </w:p>
        </w:tc>
        <w:tc>
          <w:tcPr>
            <w:tcW w:w="7087" w:type="dxa"/>
          </w:tcPr>
          <w:p w:rsidR="002A426C" w:rsidRDefault="002A426C" w:rsidP="00686BB5">
            <w:pPr>
              <w:spacing w:before="60" w:after="60" w:line="240" w:lineRule="auto"/>
              <w:jc w:val="left"/>
            </w:pPr>
            <w:r>
              <w:t>Regionale Ausprägungen von Leitbildern und Zielvorstellungen</w:t>
            </w:r>
          </w:p>
        </w:tc>
        <w:tc>
          <w:tcPr>
            <w:tcW w:w="1024" w:type="dxa"/>
            <w:vAlign w:val="center"/>
          </w:tcPr>
          <w:p w:rsidR="002A426C" w:rsidRDefault="009D702E" w:rsidP="00686BB5">
            <w:pPr>
              <w:spacing w:before="60" w:after="60" w:line="240" w:lineRule="auto"/>
              <w:jc w:val="right"/>
            </w:pPr>
            <w:r>
              <w:t>77</w:t>
            </w:r>
          </w:p>
        </w:tc>
      </w:tr>
      <w:tr w:rsidR="002A426C" w:rsidTr="00686BB5">
        <w:tc>
          <w:tcPr>
            <w:tcW w:w="1101" w:type="dxa"/>
          </w:tcPr>
          <w:p w:rsidR="002A426C" w:rsidRDefault="002A426C" w:rsidP="00686BB5">
            <w:pPr>
              <w:spacing w:before="60" w:after="60" w:line="240" w:lineRule="auto"/>
            </w:pPr>
            <w:r>
              <w:t>3.3</w:t>
            </w:r>
          </w:p>
        </w:tc>
        <w:tc>
          <w:tcPr>
            <w:tcW w:w="7087" w:type="dxa"/>
          </w:tcPr>
          <w:p w:rsidR="002A426C" w:rsidRDefault="002A426C" w:rsidP="00686BB5">
            <w:pPr>
              <w:spacing w:before="60" w:after="60" w:line="240" w:lineRule="auto"/>
              <w:jc w:val="left"/>
            </w:pPr>
            <w:r>
              <w:t>Spezielle Vorsorgen oder Projektschienen für die Wohnversorgung bestimmter Zielgruppen im eigenen Wirkungsbereich</w:t>
            </w:r>
          </w:p>
        </w:tc>
        <w:tc>
          <w:tcPr>
            <w:tcW w:w="1024" w:type="dxa"/>
            <w:vAlign w:val="center"/>
          </w:tcPr>
          <w:p w:rsidR="002A426C" w:rsidRDefault="009D702E" w:rsidP="00686BB5">
            <w:pPr>
              <w:spacing w:before="60" w:after="60" w:line="240" w:lineRule="auto"/>
              <w:jc w:val="right"/>
            </w:pPr>
            <w:r>
              <w:t>80</w:t>
            </w:r>
          </w:p>
        </w:tc>
      </w:tr>
      <w:tr w:rsidR="002A426C" w:rsidTr="00686BB5">
        <w:tc>
          <w:tcPr>
            <w:tcW w:w="1101" w:type="dxa"/>
          </w:tcPr>
          <w:p w:rsidR="002A426C" w:rsidRDefault="002A426C" w:rsidP="00686BB5">
            <w:pPr>
              <w:spacing w:before="60" w:after="60" w:line="240" w:lineRule="auto"/>
            </w:pPr>
          </w:p>
        </w:tc>
        <w:tc>
          <w:tcPr>
            <w:tcW w:w="7087" w:type="dxa"/>
          </w:tcPr>
          <w:p w:rsidR="002A426C" w:rsidRDefault="002A426C" w:rsidP="00686BB5">
            <w:pPr>
              <w:spacing w:before="60" w:after="60" w:line="240" w:lineRule="auto"/>
            </w:pPr>
          </w:p>
        </w:tc>
        <w:tc>
          <w:tcPr>
            <w:tcW w:w="1024" w:type="dxa"/>
            <w:vAlign w:val="center"/>
          </w:tcPr>
          <w:p w:rsidR="002A426C" w:rsidRDefault="002A426C" w:rsidP="00686BB5">
            <w:pPr>
              <w:spacing w:before="60" w:after="60" w:line="240" w:lineRule="auto"/>
              <w:jc w:val="right"/>
            </w:pPr>
          </w:p>
        </w:tc>
      </w:tr>
      <w:tr w:rsidR="002A426C" w:rsidTr="00686BB5">
        <w:tc>
          <w:tcPr>
            <w:tcW w:w="1101" w:type="dxa"/>
          </w:tcPr>
          <w:p w:rsidR="002A426C" w:rsidRDefault="002A426C" w:rsidP="00686BB5">
            <w:pPr>
              <w:spacing w:before="60" w:after="60" w:line="240" w:lineRule="auto"/>
              <w:jc w:val="left"/>
            </w:pPr>
            <w:r>
              <w:t>4.</w:t>
            </w:r>
          </w:p>
        </w:tc>
        <w:tc>
          <w:tcPr>
            <w:tcW w:w="7087" w:type="dxa"/>
          </w:tcPr>
          <w:p w:rsidR="002A426C" w:rsidRDefault="002A426C" w:rsidP="00686BB5">
            <w:pPr>
              <w:spacing w:before="60" w:after="60" w:line="240" w:lineRule="auto"/>
              <w:jc w:val="left"/>
            </w:pPr>
            <w:r>
              <w:t>Administrative Vergabepraxis</w:t>
            </w:r>
          </w:p>
        </w:tc>
        <w:tc>
          <w:tcPr>
            <w:tcW w:w="1024" w:type="dxa"/>
            <w:vAlign w:val="center"/>
          </w:tcPr>
          <w:p w:rsidR="002A426C" w:rsidRDefault="009D702E" w:rsidP="00686BB5">
            <w:pPr>
              <w:spacing w:before="60" w:after="60" w:line="240" w:lineRule="auto"/>
              <w:jc w:val="right"/>
            </w:pPr>
            <w:r>
              <w:t>84</w:t>
            </w:r>
          </w:p>
        </w:tc>
      </w:tr>
      <w:tr w:rsidR="002A426C" w:rsidTr="00686BB5">
        <w:tc>
          <w:tcPr>
            <w:tcW w:w="1101" w:type="dxa"/>
          </w:tcPr>
          <w:p w:rsidR="002A426C" w:rsidRDefault="002A426C" w:rsidP="00686BB5">
            <w:pPr>
              <w:spacing w:before="60" w:after="60" w:line="240" w:lineRule="auto"/>
            </w:pPr>
            <w:r>
              <w:t>4.1</w:t>
            </w:r>
          </w:p>
        </w:tc>
        <w:tc>
          <w:tcPr>
            <w:tcW w:w="7087" w:type="dxa"/>
          </w:tcPr>
          <w:p w:rsidR="002A426C" w:rsidRDefault="002A426C" w:rsidP="00686BB5">
            <w:pPr>
              <w:spacing w:before="60" w:after="60" w:line="240" w:lineRule="auto"/>
              <w:jc w:val="left"/>
            </w:pPr>
            <w:r>
              <w:t>Bewertung der administrativen Praxis nach Einrichtungsart</w:t>
            </w:r>
          </w:p>
        </w:tc>
        <w:tc>
          <w:tcPr>
            <w:tcW w:w="1024" w:type="dxa"/>
            <w:vAlign w:val="center"/>
          </w:tcPr>
          <w:p w:rsidR="002A426C" w:rsidRDefault="009D702E" w:rsidP="00686BB5">
            <w:pPr>
              <w:spacing w:before="60" w:after="60" w:line="240" w:lineRule="auto"/>
              <w:jc w:val="right"/>
            </w:pPr>
            <w:r>
              <w:t>85</w:t>
            </w:r>
          </w:p>
        </w:tc>
      </w:tr>
      <w:tr w:rsidR="002A426C" w:rsidTr="00686BB5">
        <w:tc>
          <w:tcPr>
            <w:tcW w:w="1101" w:type="dxa"/>
          </w:tcPr>
          <w:p w:rsidR="002A426C" w:rsidRDefault="002A426C" w:rsidP="00686BB5">
            <w:pPr>
              <w:spacing w:before="60" w:after="60" w:line="240" w:lineRule="auto"/>
            </w:pPr>
            <w:r>
              <w:t>4.2</w:t>
            </w:r>
          </w:p>
        </w:tc>
        <w:tc>
          <w:tcPr>
            <w:tcW w:w="7087" w:type="dxa"/>
          </w:tcPr>
          <w:p w:rsidR="002A426C" w:rsidRDefault="002A426C" w:rsidP="00686BB5">
            <w:pPr>
              <w:spacing w:before="60" w:after="60" w:line="240" w:lineRule="auto"/>
              <w:jc w:val="left"/>
            </w:pPr>
            <w:r>
              <w:t>Regionale Unterschiede in der Bewertung der Vergabepraxis</w:t>
            </w:r>
          </w:p>
        </w:tc>
        <w:tc>
          <w:tcPr>
            <w:tcW w:w="1024" w:type="dxa"/>
            <w:vAlign w:val="center"/>
          </w:tcPr>
          <w:p w:rsidR="002A426C" w:rsidRDefault="009D702E" w:rsidP="00686BB5">
            <w:pPr>
              <w:spacing w:before="60" w:after="60" w:line="240" w:lineRule="auto"/>
              <w:jc w:val="right"/>
            </w:pPr>
            <w:r>
              <w:t>89</w:t>
            </w:r>
          </w:p>
        </w:tc>
      </w:tr>
      <w:tr w:rsidR="002A426C" w:rsidTr="00686BB5">
        <w:tc>
          <w:tcPr>
            <w:tcW w:w="1101" w:type="dxa"/>
          </w:tcPr>
          <w:p w:rsidR="002A426C" w:rsidRDefault="002A426C" w:rsidP="00686BB5">
            <w:pPr>
              <w:spacing w:before="60" w:after="60" w:line="240" w:lineRule="auto"/>
              <w:jc w:val="right"/>
            </w:pPr>
          </w:p>
        </w:tc>
        <w:tc>
          <w:tcPr>
            <w:tcW w:w="7087" w:type="dxa"/>
          </w:tcPr>
          <w:p w:rsidR="002A426C" w:rsidRDefault="002A426C" w:rsidP="00686BB5">
            <w:pPr>
              <w:spacing w:before="60" w:after="60" w:line="240" w:lineRule="auto"/>
            </w:pPr>
          </w:p>
        </w:tc>
        <w:tc>
          <w:tcPr>
            <w:tcW w:w="1024" w:type="dxa"/>
            <w:vAlign w:val="center"/>
          </w:tcPr>
          <w:p w:rsidR="002A426C" w:rsidRDefault="002A426C" w:rsidP="00686BB5">
            <w:pPr>
              <w:spacing w:before="60" w:after="60" w:line="240" w:lineRule="auto"/>
              <w:jc w:val="right"/>
            </w:pPr>
          </w:p>
        </w:tc>
      </w:tr>
      <w:tr w:rsidR="002A426C" w:rsidTr="00686BB5">
        <w:tc>
          <w:tcPr>
            <w:tcW w:w="1101" w:type="dxa"/>
          </w:tcPr>
          <w:p w:rsidR="002A426C" w:rsidRDefault="002A426C" w:rsidP="00686BB5">
            <w:pPr>
              <w:spacing w:before="60" w:after="60" w:line="240" w:lineRule="auto"/>
              <w:jc w:val="left"/>
            </w:pPr>
            <w:r>
              <w:t>5.</w:t>
            </w:r>
          </w:p>
        </w:tc>
        <w:tc>
          <w:tcPr>
            <w:tcW w:w="7087" w:type="dxa"/>
          </w:tcPr>
          <w:p w:rsidR="002A426C" w:rsidRDefault="002A426C" w:rsidP="00686BB5">
            <w:pPr>
              <w:spacing w:before="60" w:after="60" w:line="240" w:lineRule="auto"/>
              <w:jc w:val="left"/>
            </w:pPr>
            <w:r>
              <w:t xml:space="preserve">Bedarf und Perspektiven bezüglich weitergehender Vorsorgen </w:t>
            </w:r>
          </w:p>
        </w:tc>
        <w:tc>
          <w:tcPr>
            <w:tcW w:w="1024" w:type="dxa"/>
            <w:vAlign w:val="center"/>
          </w:tcPr>
          <w:p w:rsidR="002A426C" w:rsidRDefault="009D702E" w:rsidP="00686BB5">
            <w:pPr>
              <w:spacing w:before="60" w:after="60" w:line="240" w:lineRule="auto"/>
              <w:jc w:val="right"/>
            </w:pPr>
            <w:r>
              <w:t>91</w:t>
            </w:r>
          </w:p>
        </w:tc>
      </w:tr>
      <w:tr w:rsidR="002A426C" w:rsidTr="00686BB5">
        <w:tc>
          <w:tcPr>
            <w:tcW w:w="1101" w:type="dxa"/>
          </w:tcPr>
          <w:p w:rsidR="002A426C" w:rsidRDefault="002A426C" w:rsidP="00686BB5">
            <w:pPr>
              <w:spacing w:before="60" w:after="60" w:line="240" w:lineRule="auto"/>
            </w:pPr>
            <w:r>
              <w:t>5.1</w:t>
            </w:r>
          </w:p>
        </w:tc>
        <w:tc>
          <w:tcPr>
            <w:tcW w:w="7087" w:type="dxa"/>
          </w:tcPr>
          <w:p w:rsidR="002A426C" w:rsidRDefault="002A426C" w:rsidP="00686BB5">
            <w:pPr>
              <w:spacing w:before="60" w:after="60" w:line="240" w:lineRule="auto"/>
              <w:jc w:val="left"/>
            </w:pPr>
            <w:r>
              <w:t xml:space="preserve">Maßnahmenvorschläge je nach Einrichtungsart </w:t>
            </w:r>
          </w:p>
        </w:tc>
        <w:tc>
          <w:tcPr>
            <w:tcW w:w="1024" w:type="dxa"/>
            <w:vAlign w:val="center"/>
          </w:tcPr>
          <w:p w:rsidR="002A426C" w:rsidRDefault="009D702E" w:rsidP="00686BB5">
            <w:pPr>
              <w:spacing w:before="60" w:after="60" w:line="240" w:lineRule="auto"/>
              <w:jc w:val="right"/>
            </w:pPr>
            <w:r>
              <w:t>93</w:t>
            </w:r>
          </w:p>
        </w:tc>
      </w:tr>
      <w:tr w:rsidR="002A426C" w:rsidTr="00686BB5">
        <w:tc>
          <w:tcPr>
            <w:tcW w:w="1101" w:type="dxa"/>
          </w:tcPr>
          <w:p w:rsidR="002A426C" w:rsidRDefault="002A426C" w:rsidP="00686BB5">
            <w:pPr>
              <w:spacing w:before="60" w:after="60" w:line="240" w:lineRule="auto"/>
            </w:pPr>
            <w:r>
              <w:t>5.2</w:t>
            </w:r>
          </w:p>
        </w:tc>
        <w:tc>
          <w:tcPr>
            <w:tcW w:w="7087" w:type="dxa"/>
          </w:tcPr>
          <w:p w:rsidR="002A426C" w:rsidRDefault="002A426C" w:rsidP="00686BB5">
            <w:pPr>
              <w:spacing w:before="60" w:after="60" w:line="240" w:lineRule="auto"/>
              <w:jc w:val="left"/>
            </w:pPr>
            <w:r>
              <w:t>Regionale Schwerpunkte und Modelle für ergänzende Maßnahmen</w:t>
            </w:r>
          </w:p>
        </w:tc>
        <w:tc>
          <w:tcPr>
            <w:tcW w:w="1024" w:type="dxa"/>
            <w:vAlign w:val="center"/>
          </w:tcPr>
          <w:p w:rsidR="002A426C" w:rsidRDefault="009D702E" w:rsidP="00686BB5">
            <w:pPr>
              <w:spacing w:before="60" w:after="60" w:line="240" w:lineRule="auto"/>
              <w:jc w:val="right"/>
            </w:pPr>
            <w:r>
              <w:t>94</w:t>
            </w:r>
          </w:p>
        </w:tc>
      </w:tr>
      <w:tr w:rsidR="002A426C" w:rsidTr="00686BB5">
        <w:tc>
          <w:tcPr>
            <w:tcW w:w="1101" w:type="dxa"/>
          </w:tcPr>
          <w:p w:rsidR="002A426C" w:rsidRDefault="002A426C" w:rsidP="00686BB5">
            <w:pPr>
              <w:spacing w:before="60" w:after="60" w:line="240" w:lineRule="auto"/>
            </w:pPr>
            <w:r>
              <w:t>5.3</w:t>
            </w:r>
          </w:p>
        </w:tc>
        <w:tc>
          <w:tcPr>
            <w:tcW w:w="7087" w:type="dxa"/>
          </w:tcPr>
          <w:p w:rsidR="002A426C" w:rsidRDefault="002A426C" w:rsidP="00686BB5">
            <w:pPr>
              <w:spacing w:before="60" w:after="60" w:line="240" w:lineRule="auto"/>
              <w:jc w:val="left"/>
            </w:pPr>
            <w:r>
              <w:t>Vergabeschienen für Haushalte mit besonderen Belastungen</w:t>
            </w:r>
          </w:p>
        </w:tc>
        <w:tc>
          <w:tcPr>
            <w:tcW w:w="1024" w:type="dxa"/>
            <w:vAlign w:val="center"/>
          </w:tcPr>
          <w:p w:rsidR="002A426C" w:rsidRDefault="009D702E" w:rsidP="00686BB5">
            <w:pPr>
              <w:spacing w:before="60" w:after="60" w:line="240" w:lineRule="auto"/>
              <w:jc w:val="right"/>
            </w:pPr>
            <w:r>
              <w:t>96</w:t>
            </w:r>
          </w:p>
        </w:tc>
      </w:tr>
      <w:tr w:rsidR="002A426C" w:rsidTr="00686BB5">
        <w:tc>
          <w:tcPr>
            <w:tcW w:w="1101" w:type="dxa"/>
          </w:tcPr>
          <w:p w:rsidR="002A426C" w:rsidRDefault="002A426C" w:rsidP="00686BB5">
            <w:pPr>
              <w:spacing w:before="60" w:after="60" w:line="240" w:lineRule="auto"/>
              <w:jc w:val="right"/>
            </w:pPr>
            <w:r>
              <w:t>5.3.1</w:t>
            </w:r>
          </w:p>
        </w:tc>
        <w:tc>
          <w:tcPr>
            <w:tcW w:w="7087" w:type="dxa"/>
          </w:tcPr>
          <w:p w:rsidR="002A426C" w:rsidRDefault="002A426C" w:rsidP="00686BB5">
            <w:pPr>
              <w:spacing w:before="60" w:after="60" w:line="240" w:lineRule="auto"/>
              <w:jc w:val="left"/>
            </w:pPr>
            <w:r>
              <w:t>Einschätzung der Maßnahmen aus dem Blickwinkel der Einrichtungen</w:t>
            </w:r>
          </w:p>
        </w:tc>
        <w:tc>
          <w:tcPr>
            <w:tcW w:w="1024" w:type="dxa"/>
            <w:vAlign w:val="center"/>
          </w:tcPr>
          <w:p w:rsidR="002A426C" w:rsidRPr="003F4A81" w:rsidRDefault="002A426C" w:rsidP="00686BB5">
            <w:pPr>
              <w:spacing w:before="60" w:after="60" w:line="240" w:lineRule="auto"/>
              <w:jc w:val="right"/>
            </w:pPr>
            <w:r>
              <w:t>9</w:t>
            </w:r>
            <w:r w:rsidR="009D702E">
              <w:t>7</w:t>
            </w:r>
          </w:p>
        </w:tc>
      </w:tr>
      <w:tr w:rsidR="002A426C" w:rsidTr="00686BB5">
        <w:tc>
          <w:tcPr>
            <w:tcW w:w="1101" w:type="dxa"/>
          </w:tcPr>
          <w:p w:rsidR="002A426C" w:rsidRDefault="002A426C" w:rsidP="00686BB5">
            <w:pPr>
              <w:spacing w:before="60" w:after="60" w:line="240" w:lineRule="auto"/>
              <w:jc w:val="right"/>
            </w:pPr>
            <w:r>
              <w:t>5.3.2</w:t>
            </w:r>
          </w:p>
        </w:tc>
        <w:tc>
          <w:tcPr>
            <w:tcW w:w="7087" w:type="dxa"/>
          </w:tcPr>
          <w:p w:rsidR="002A426C" w:rsidRDefault="002A426C" w:rsidP="00686BB5">
            <w:pPr>
              <w:spacing w:before="60" w:after="60" w:line="240" w:lineRule="auto"/>
              <w:jc w:val="left"/>
            </w:pPr>
            <w:r>
              <w:t xml:space="preserve">Regionale Modelle für die Einrichtung von Wohnkontingenten </w:t>
            </w:r>
          </w:p>
        </w:tc>
        <w:tc>
          <w:tcPr>
            <w:tcW w:w="1024" w:type="dxa"/>
            <w:vAlign w:val="center"/>
          </w:tcPr>
          <w:p w:rsidR="002A426C" w:rsidRPr="003F4A81" w:rsidRDefault="002A426C" w:rsidP="00686BB5">
            <w:pPr>
              <w:spacing w:before="60" w:after="60" w:line="240" w:lineRule="auto"/>
              <w:jc w:val="right"/>
            </w:pPr>
            <w:r>
              <w:t>9</w:t>
            </w:r>
            <w:r w:rsidR="009D702E">
              <w:t>8</w:t>
            </w:r>
          </w:p>
        </w:tc>
      </w:tr>
      <w:tr w:rsidR="002A426C" w:rsidTr="00686BB5">
        <w:tc>
          <w:tcPr>
            <w:tcW w:w="1101" w:type="dxa"/>
          </w:tcPr>
          <w:p w:rsidR="002A426C" w:rsidRDefault="002A426C" w:rsidP="00686BB5">
            <w:pPr>
              <w:spacing w:before="60" w:after="60" w:line="240" w:lineRule="auto"/>
            </w:pPr>
            <w:r>
              <w:t>5.4</w:t>
            </w:r>
          </w:p>
        </w:tc>
        <w:tc>
          <w:tcPr>
            <w:tcW w:w="7087" w:type="dxa"/>
          </w:tcPr>
          <w:p w:rsidR="002A426C" w:rsidRDefault="002A426C" w:rsidP="00686BB5">
            <w:pPr>
              <w:spacing w:before="60" w:after="60" w:line="240" w:lineRule="auto"/>
              <w:jc w:val="left"/>
            </w:pPr>
            <w:r>
              <w:t>Vorkehrungen zur Vermeidung von (ethnischer etc.) Diskriminierung</w:t>
            </w:r>
          </w:p>
        </w:tc>
        <w:tc>
          <w:tcPr>
            <w:tcW w:w="1024" w:type="dxa"/>
            <w:vAlign w:val="center"/>
          </w:tcPr>
          <w:p w:rsidR="002A426C" w:rsidRDefault="009D702E" w:rsidP="00686BB5">
            <w:pPr>
              <w:spacing w:before="60" w:after="60" w:line="240" w:lineRule="auto"/>
              <w:jc w:val="right"/>
            </w:pPr>
            <w:r>
              <w:t>98</w:t>
            </w:r>
          </w:p>
        </w:tc>
      </w:tr>
      <w:tr w:rsidR="002A426C" w:rsidTr="00686BB5">
        <w:tc>
          <w:tcPr>
            <w:tcW w:w="1101" w:type="dxa"/>
          </w:tcPr>
          <w:p w:rsidR="002A426C" w:rsidRDefault="002A426C" w:rsidP="00686BB5">
            <w:pPr>
              <w:spacing w:before="60" w:after="60" w:line="240" w:lineRule="auto"/>
              <w:jc w:val="right"/>
            </w:pPr>
            <w:r>
              <w:t>5.4.1</w:t>
            </w:r>
          </w:p>
        </w:tc>
        <w:tc>
          <w:tcPr>
            <w:tcW w:w="7087" w:type="dxa"/>
          </w:tcPr>
          <w:p w:rsidR="002A426C" w:rsidRPr="0057119C" w:rsidRDefault="002A426C" w:rsidP="00686BB5">
            <w:pPr>
              <w:spacing w:before="60" w:after="60" w:line="240" w:lineRule="auto"/>
              <w:jc w:val="left"/>
            </w:pPr>
            <w:r w:rsidRPr="0057119C">
              <w:t>Weitergehende Vorsorgen nach der Art der Einrichtung</w:t>
            </w:r>
          </w:p>
        </w:tc>
        <w:tc>
          <w:tcPr>
            <w:tcW w:w="1024" w:type="dxa"/>
            <w:vAlign w:val="center"/>
          </w:tcPr>
          <w:p w:rsidR="002A426C" w:rsidRDefault="009D702E" w:rsidP="00686BB5">
            <w:pPr>
              <w:spacing w:before="60" w:after="60" w:line="240" w:lineRule="auto"/>
              <w:jc w:val="right"/>
            </w:pPr>
            <w:r>
              <w:t>100</w:t>
            </w:r>
          </w:p>
        </w:tc>
      </w:tr>
      <w:tr w:rsidR="002A426C" w:rsidTr="00686BB5">
        <w:tc>
          <w:tcPr>
            <w:tcW w:w="1101" w:type="dxa"/>
          </w:tcPr>
          <w:p w:rsidR="002A426C" w:rsidRDefault="002A426C" w:rsidP="00686BB5">
            <w:pPr>
              <w:spacing w:before="60" w:after="60" w:line="240" w:lineRule="auto"/>
              <w:jc w:val="right"/>
            </w:pPr>
            <w:r>
              <w:t>5.4.2</w:t>
            </w:r>
          </w:p>
        </w:tc>
        <w:tc>
          <w:tcPr>
            <w:tcW w:w="7087" w:type="dxa"/>
          </w:tcPr>
          <w:p w:rsidR="002A426C" w:rsidRPr="0057119C" w:rsidRDefault="002A426C" w:rsidP="00686BB5">
            <w:pPr>
              <w:spacing w:before="60" w:after="60" w:line="240" w:lineRule="auto"/>
              <w:jc w:val="left"/>
            </w:pPr>
            <w:r w:rsidRPr="0057119C">
              <w:t>Perspektiven für regionale Maßnahmenschwerpunkte</w:t>
            </w:r>
          </w:p>
        </w:tc>
        <w:tc>
          <w:tcPr>
            <w:tcW w:w="1024" w:type="dxa"/>
            <w:vAlign w:val="center"/>
          </w:tcPr>
          <w:p w:rsidR="002A426C" w:rsidRDefault="009D702E" w:rsidP="00686BB5">
            <w:pPr>
              <w:spacing w:before="60" w:after="60" w:line="240" w:lineRule="auto"/>
              <w:jc w:val="right"/>
            </w:pPr>
            <w:r>
              <w:t>101</w:t>
            </w:r>
          </w:p>
        </w:tc>
      </w:tr>
      <w:tr w:rsidR="002A426C" w:rsidTr="00686BB5">
        <w:tc>
          <w:tcPr>
            <w:tcW w:w="1101" w:type="dxa"/>
          </w:tcPr>
          <w:p w:rsidR="002A426C" w:rsidRDefault="002A426C" w:rsidP="00686BB5">
            <w:pPr>
              <w:spacing w:before="60" w:after="60" w:line="240" w:lineRule="auto"/>
            </w:pPr>
            <w:r>
              <w:t>5.5</w:t>
            </w:r>
          </w:p>
        </w:tc>
        <w:tc>
          <w:tcPr>
            <w:tcW w:w="7087" w:type="dxa"/>
          </w:tcPr>
          <w:p w:rsidR="002A426C" w:rsidRDefault="002A426C" w:rsidP="00686BB5">
            <w:pPr>
              <w:spacing w:before="60" w:after="60" w:line="240" w:lineRule="auto"/>
              <w:jc w:val="left"/>
            </w:pPr>
            <w:r>
              <w:t>Aktualität des Themas „Equality in Housing“</w:t>
            </w:r>
          </w:p>
        </w:tc>
        <w:tc>
          <w:tcPr>
            <w:tcW w:w="1024" w:type="dxa"/>
            <w:vAlign w:val="center"/>
          </w:tcPr>
          <w:p w:rsidR="002A426C" w:rsidRDefault="009D702E" w:rsidP="00686BB5">
            <w:pPr>
              <w:spacing w:before="60" w:after="60" w:line="240" w:lineRule="auto"/>
              <w:jc w:val="right"/>
            </w:pPr>
            <w:r>
              <w:t>103</w:t>
            </w:r>
          </w:p>
        </w:tc>
      </w:tr>
      <w:tr w:rsidR="002A426C" w:rsidTr="00686BB5">
        <w:tc>
          <w:tcPr>
            <w:tcW w:w="1101" w:type="dxa"/>
          </w:tcPr>
          <w:p w:rsidR="002A426C" w:rsidRDefault="002A426C" w:rsidP="00686BB5">
            <w:pPr>
              <w:spacing w:before="60" w:after="60" w:line="240" w:lineRule="auto"/>
              <w:jc w:val="right"/>
            </w:pPr>
            <w:r>
              <w:t>5.5.1</w:t>
            </w:r>
          </w:p>
        </w:tc>
        <w:tc>
          <w:tcPr>
            <w:tcW w:w="7087" w:type="dxa"/>
          </w:tcPr>
          <w:p w:rsidR="002A426C" w:rsidRDefault="002A426C" w:rsidP="00686BB5">
            <w:pPr>
              <w:spacing w:before="60" w:after="60" w:line="240" w:lineRule="auto"/>
              <w:jc w:val="left"/>
            </w:pPr>
            <w:r>
              <w:t>Große Übereinstimmung zwischen den Einrichtungen</w:t>
            </w:r>
          </w:p>
        </w:tc>
        <w:tc>
          <w:tcPr>
            <w:tcW w:w="1024" w:type="dxa"/>
            <w:vAlign w:val="center"/>
          </w:tcPr>
          <w:p w:rsidR="002A426C" w:rsidRDefault="009D702E" w:rsidP="00686BB5">
            <w:pPr>
              <w:spacing w:before="60" w:after="60" w:line="240" w:lineRule="auto"/>
              <w:jc w:val="right"/>
            </w:pPr>
            <w:r>
              <w:t>105</w:t>
            </w:r>
          </w:p>
        </w:tc>
      </w:tr>
      <w:tr w:rsidR="002A426C" w:rsidTr="00686BB5">
        <w:tc>
          <w:tcPr>
            <w:tcW w:w="1101" w:type="dxa"/>
          </w:tcPr>
          <w:p w:rsidR="002A426C" w:rsidRDefault="002A426C" w:rsidP="00686BB5">
            <w:pPr>
              <w:spacing w:before="60" w:after="60" w:line="240" w:lineRule="auto"/>
            </w:pPr>
          </w:p>
        </w:tc>
        <w:tc>
          <w:tcPr>
            <w:tcW w:w="7087" w:type="dxa"/>
          </w:tcPr>
          <w:p w:rsidR="002A426C" w:rsidRPr="003F4A81" w:rsidRDefault="002A426C" w:rsidP="00686BB5">
            <w:pPr>
              <w:spacing w:before="60" w:after="60" w:line="240" w:lineRule="auto"/>
            </w:pPr>
          </w:p>
        </w:tc>
        <w:tc>
          <w:tcPr>
            <w:tcW w:w="1024" w:type="dxa"/>
            <w:vAlign w:val="center"/>
          </w:tcPr>
          <w:p w:rsidR="002A426C" w:rsidRDefault="002A426C" w:rsidP="00686BB5">
            <w:pPr>
              <w:spacing w:before="60" w:after="60" w:line="240" w:lineRule="auto"/>
              <w:jc w:val="right"/>
            </w:pPr>
          </w:p>
        </w:tc>
      </w:tr>
      <w:tr w:rsidR="002A426C" w:rsidTr="00686BB5">
        <w:tc>
          <w:tcPr>
            <w:tcW w:w="1101" w:type="dxa"/>
          </w:tcPr>
          <w:p w:rsidR="002A426C" w:rsidRDefault="002A426C" w:rsidP="00686BB5">
            <w:pPr>
              <w:spacing w:before="60" w:after="60" w:line="240" w:lineRule="auto"/>
              <w:jc w:val="left"/>
            </w:pPr>
            <w:r>
              <w:t>6.</w:t>
            </w:r>
          </w:p>
        </w:tc>
        <w:tc>
          <w:tcPr>
            <w:tcW w:w="7087" w:type="dxa"/>
          </w:tcPr>
          <w:p w:rsidR="002A426C" w:rsidRDefault="002A426C" w:rsidP="00686BB5">
            <w:pPr>
              <w:spacing w:before="60" w:after="60" w:line="240" w:lineRule="auto"/>
              <w:jc w:val="left"/>
            </w:pPr>
            <w:r>
              <w:t>Beispiele für gute Praxis und Maßnahmenempfehlungen</w:t>
            </w:r>
          </w:p>
        </w:tc>
        <w:tc>
          <w:tcPr>
            <w:tcW w:w="1024" w:type="dxa"/>
            <w:vAlign w:val="center"/>
          </w:tcPr>
          <w:p w:rsidR="002A426C" w:rsidRDefault="009D702E" w:rsidP="00686BB5">
            <w:pPr>
              <w:spacing w:before="60" w:after="60" w:line="240" w:lineRule="auto"/>
              <w:jc w:val="right"/>
            </w:pPr>
            <w:r>
              <w:t>106</w:t>
            </w:r>
          </w:p>
        </w:tc>
      </w:tr>
      <w:tr w:rsidR="002A426C" w:rsidTr="00686BB5">
        <w:tc>
          <w:tcPr>
            <w:tcW w:w="1101" w:type="dxa"/>
          </w:tcPr>
          <w:p w:rsidR="002A426C" w:rsidRDefault="002A426C" w:rsidP="00686BB5">
            <w:pPr>
              <w:spacing w:before="60" w:after="60" w:line="240" w:lineRule="auto"/>
            </w:pPr>
            <w:r>
              <w:t>6.1</w:t>
            </w:r>
          </w:p>
        </w:tc>
        <w:tc>
          <w:tcPr>
            <w:tcW w:w="7087" w:type="dxa"/>
          </w:tcPr>
          <w:p w:rsidR="002A426C" w:rsidRDefault="00FC51A2" w:rsidP="00FC51A2">
            <w:pPr>
              <w:spacing w:before="60" w:after="60" w:line="240" w:lineRule="auto"/>
              <w:jc w:val="left"/>
            </w:pPr>
            <w:r>
              <w:rPr>
                <w:lang w:eastAsia="en-US"/>
              </w:rPr>
              <w:t>Bekämpfung von Armut und sozialer Ausgrenzung</w:t>
            </w:r>
          </w:p>
        </w:tc>
        <w:tc>
          <w:tcPr>
            <w:tcW w:w="1024" w:type="dxa"/>
            <w:vAlign w:val="center"/>
          </w:tcPr>
          <w:p w:rsidR="002A426C" w:rsidRDefault="002A1C00" w:rsidP="00686BB5">
            <w:pPr>
              <w:spacing w:before="60" w:after="60" w:line="240" w:lineRule="auto"/>
              <w:jc w:val="right"/>
            </w:pPr>
            <w:r>
              <w:t>10</w:t>
            </w:r>
            <w:r w:rsidR="009D702E">
              <w:t>7</w:t>
            </w:r>
          </w:p>
        </w:tc>
      </w:tr>
      <w:tr w:rsidR="002A426C" w:rsidTr="00686BB5">
        <w:tc>
          <w:tcPr>
            <w:tcW w:w="1101" w:type="dxa"/>
          </w:tcPr>
          <w:p w:rsidR="002A426C" w:rsidRDefault="002A426C" w:rsidP="00686BB5">
            <w:pPr>
              <w:spacing w:before="60" w:after="60" w:line="240" w:lineRule="auto"/>
            </w:pPr>
            <w:r>
              <w:t>6.2</w:t>
            </w:r>
          </w:p>
        </w:tc>
        <w:tc>
          <w:tcPr>
            <w:tcW w:w="7087" w:type="dxa"/>
          </w:tcPr>
          <w:p w:rsidR="002A426C" w:rsidRDefault="00FC51A2" w:rsidP="00FC51A2">
            <w:pPr>
              <w:spacing w:before="60" w:after="60" w:line="240" w:lineRule="auto"/>
              <w:jc w:val="left"/>
            </w:pPr>
            <w:r>
              <w:t xml:space="preserve">Bekämpfung von Diskriminierung und (ethnischer) Ausgrenzung </w:t>
            </w:r>
            <w:r w:rsidR="00334975">
              <w:br/>
            </w:r>
            <w:r>
              <w:t>bei der Vergabe von öffentlichem Wohnraum</w:t>
            </w:r>
          </w:p>
        </w:tc>
        <w:tc>
          <w:tcPr>
            <w:tcW w:w="1024" w:type="dxa"/>
            <w:vAlign w:val="center"/>
          </w:tcPr>
          <w:p w:rsidR="002A426C" w:rsidRDefault="003B6DD6" w:rsidP="00686BB5">
            <w:pPr>
              <w:spacing w:before="60" w:after="60" w:line="240" w:lineRule="auto"/>
              <w:jc w:val="right"/>
            </w:pPr>
            <w:r>
              <w:t>10</w:t>
            </w:r>
            <w:r w:rsidR="009D702E">
              <w:t>9</w:t>
            </w:r>
          </w:p>
        </w:tc>
      </w:tr>
      <w:tr w:rsidR="00FC51A2" w:rsidTr="00686BB5">
        <w:tc>
          <w:tcPr>
            <w:tcW w:w="1101" w:type="dxa"/>
          </w:tcPr>
          <w:p w:rsidR="00FC51A2" w:rsidRDefault="00FC51A2" w:rsidP="00686BB5">
            <w:pPr>
              <w:spacing w:before="60" w:after="60" w:line="240" w:lineRule="auto"/>
            </w:pPr>
            <w:r>
              <w:t>6.3</w:t>
            </w:r>
          </w:p>
        </w:tc>
        <w:tc>
          <w:tcPr>
            <w:tcW w:w="7087" w:type="dxa"/>
          </w:tcPr>
          <w:p w:rsidR="00FC51A2" w:rsidRDefault="00FC51A2" w:rsidP="00FC51A2">
            <w:pPr>
              <w:spacing w:before="60" w:after="60" w:line="240" w:lineRule="auto"/>
              <w:jc w:val="left"/>
            </w:pPr>
            <w:r>
              <w:t>Förderung von Integration und Zusammenleben</w:t>
            </w:r>
          </w:p>
        </w:tc>
        <w:tc>
          <w:tcPr>
            <w:tcW w:w="1024" w:type="dxa"/>
            <w:vAlign w:val="center"/>
          </w:tcPr>
          <w:p w:rsidR="00FC51A2" w:rsidRDefault="003B6DD6" w:rsidP="00686BB5">
            <w:pPr>
              <w:spacing w:before="60" w:after="60" w:line="240" w:lineRule="auto"/>
              <w:jc w:val="right"/>
            </w:pPr>
            <w:r>
              <w:t>1</w:t>
            </w:r>
            <w:r w:rsidR="009D702E">
              <w:t>10</w:t>
            </w:r>
          </w:p>
        </w:tc>
      </w:tr>
      <w:tr w:rsidR="002A426C" w:rsidTr="00686BB5">
        <w:tc>
          <w:tcPr>
            <w:tcW w:w="1101" w:type="dxa"/>
          </w:tcPr>
          <w:p w:rsidR="002A426C" w:rsidRDefault="002A426C" w:rsidP="00686BB5">
            <w:pPr>
              <w:spacing w:before="60" w:after="60" w:line="240" w:lineRule="auto"/>
            </w:pPr>
          </w:p>
        </w:tc>
        <w:tc>
          <w:tcPr>
            <w:tcW w:w="7087" w:type="dxa"/>
          </w:tcPr>
          <w:p w:rsidR="002A426C" w:rsidRDefault="002A426C" w:rsidP="00686BB5">
            <w:pPr>
              <w:spacing w:before="60" w:after="60" w:line="240" w:lineRule="auto"/>
            </w:pPr>
          </w:p>
        </w:tc>
        <w:tc>
          <w:tcPr>
            <w:tcW w:w="1024" w:type="dxa"/>
            <w:vAlign w:val="center"/>
          </w:tcPr>
          <w:p w:rsidR="002A426C" w:rsidRDefault="002A426C" w:rsidP="00686BB5">
            <w:pPr>
              <w:spacing w:before="60" w:after="60" w:line="240" w:lineRule="auto"/>
              <w:jc w:val="right"/>
            </w:pPr>
          </w:p>
        </w:tc>
      </w:tr>
      <w:tr w:rsidR="002A426C" w:rsidRPr="00E81B6F" w:rsidTr="00686BB5">
        <w:tc>
          <w:tcPr>
            <w:tcW w:w="1101" w:type="dxa"/>
          </w:tcPr>
          <w:p w:rsidR="002A426C" w:rsidRDefault="002A426C" w:rsidP="00686BB5">
            <w:pPr>
              <w:spacing w:before="60" w:after="60" w:line="240" w:lineRule="auto"/>
              <w:jc w:val="left"/>
            </w:pPr>
            <w:r>
              <w:t>7.</w:t>
            </w:r>
          </w:p>
        </w:tc>
        <w:tc>
          <w:tcPr>
            <w:tcW w:w="7087" w:type="dxa"/>
          </w:tcPr>
          <w:p w:rsidR="002A426C" w:rsidRDefault="002A426C" w:rsidP="00686BB5">
            <w:pPr>
              <w:spacing w:before="60" w:after="60" w:line="240" w:lineRule="auto"/>
              <w:jc w:val="left"/>
            </w:pPr>
            <w:r>
              <w:t>Verwendete Literatur und Materialien, weiterführende Links</w:t>
            </w:r>
          </w:p>
        </w:tc>
        <w:tc>
          <w:tcPr>
            <w:tcW w:w="1024" w:type="dxa"/>
            <w:vAlign w:val="center"/>
          </w:tcPr>
          <w:p w:rsidR="002A426C" w:rsidRDefault="003B6DD6" w:rsidP="002A1C00">
            <w:pPr>
              <w:spacing w:before="60" w:after="60" w:line="240" w:lineRule="auto"/>
              <w:jc w:val="right"/>
            </w:pPr>
            <w:r>
              <w:t>1</w:t>
            </w:r>
            <w:r w:rsidR="002A1C00">
              <w:t>1</w:t>
            </w:r>
            <w:r w:rsidR="009D702E">
              <w:t>2</w:t>
            </w:r>
          </w:p>
        </w:tc>
      </w:tr>
      <w:tr w:rsidR="002A426C" w:rsidRPr="00E81B6F" w:rsidTr="00686BB5">
        <w:tc>
          <w:tcPr>
            <w:tcW w:w="1101" w:type="dxa"/>
          </w:tcPr>
          <w:p w:rsidR="002A426C" w:rsidRDefault="002A426C" w:rsidP="00686BB5">
            <w:pPr>
              <w:spacing w:before="60" w:after="60" w:line="240" w:lineRule="auto"/>
            </w:pPr>
          </w:p>
        </w:tc>
        <w:tc>
          <w:tcPr>
            <w:tcW w:w="7087" w:type="dxa"/>
          </w:tcPr>
          <w:p w:rsidR="002A426C" w:rsidRDefault="002A426C" w:rsidP="00686BB5">
            <w:pPr>
              <w:spacing w:before="60" w:after="60" w:line="240" w:lineRule="auto"/>
            </w:pPr>
          </w:p>
        </w:tc>
        <w:tc>
          <w:tcPr>
            <w:tcW w:w="1024" w:type="dxa"/>
            <w:vAlign w:val="center"/>
          </w:tcPr>
          <w:p w:rsidR="002A426C" w:rsidRDefault="002A426C" w:rsidP="00686BB5">
            <w:pPr>
              <w:spacing w:before="60" w:after="60" w:line="240" w:lineRule="auto"/>
              <w:jc w:val="right"/>
            </w:pPr>
          </w:p>
        </w:tc>
      </w:tr>
      <w:tr w:rsidR="002A426C" w:rsidTr="00686BB5">
        <w:tc>
          <w:tcPr>
            <w:tcW w:w="1101" w:type="dxa"/>
          </w:tcPr>
          <w:p w:rsidR="002A426C" w:rsidRDefault="002A426C" w:rsidP="00686BB5">
            <w:pPr>
              <w:spacing w:before="60" w:after="60" w:line="240" w:lineRule="auto"/>
              <w:jc w:val="left"/>
            </w:pPr>
            <w:r>
              <w:t>8.</w:t>
            </w:r>
          </w:p>
        </w:tc>
        <w:tc>
          <w:tcPr>
            <w:tcW w:w="7087" w:type="dxa"/>
          </w:tcPr>
          <w:p w:rsidR="002A426C" w:rsidRDefault="002A426C" w:rsidP="00686BB5">
            <w:pPr>
              <w:spacing w:before="60" w:after="60" w:line="240" w:lineRule="auto"/>
              <w:jc w:val="left"/>
            </w:pPr>
            <w:r>
              <w:t>Anhang</w:t>
            </w:r>
          </w:p>
        </w:tc>
        <w:tc>
          <w:tcPr>
            <w:tcW w:w="1024" w:type="dxa"/>
            <w:vAlign w:val="center"/>
          </w:tcPr>
          <w:p w:rsidR="002A426C" w:rsidRDefault="003B6DD6" w:rsidP="00686BB5">
            <w:pPr>
              <w:spacing w:before="60" w:after="60" w:line="240" w:lineRule="auto"/>
              <w:jc w:val="right"/>
            </w:pPr>
            <w:r>
              <w:t>1</w:t>
            </w:r>
            <w:r w:rsidR="002A1C00">
              <w:t>1</w:t>
            </w:r>
            <w:r w:rsidR="009D702E">
              <w:t>4</w:t>
            </w:r>
          </w:p>
        </w:tc>
      </w:tr>
      <w:tr w:rsidR="002A426C" w:rsidTr="00686BB5">
        <w:tc>
          <w:tcPr>
            <w:tcW w:w="1101" w:type="dxa"/>
          </w:tcPr>
          <w:p w:rsidR="002A426C" w:rsidRDefault="002A426C" w:rsidP="00686BB5">
            <w:pPr>
              <w:spacing w:before="60" w:after="60" w:line="240" w:lineRule="auto"/>
            </w:pPr>
            <w:r>
              <w:t>8.1</w:t>
            </w:r>
          </w:p>
        </w:tc>
        <w:tc>
          <w:tcPr>
            <w:tcW w:w="7087" w:type="dxa"/>
          </w:tcPr>
          <w:p w:rsidR="002A426C" w:rsidRDefault="002A426C" w:rsidP="00686BB5">
            <w:pPr>
              <w:spacing w:before="60" w:after="60" w:line="240" w:lineRule="auto"/>
              <w:jc w:val="left"/>
            </w:pPr>
            <w:r>
              <w:t>Tabellenband</w:t>
            </w:r>
          </w:p>
        </w:tc>
        <w:tc>
          <w:tcPr>
            <w:tcW w:w="1024" w:type="dxa"/>
            <w:vAlign w:val="center"/>
          </w:tcPr>
          <w:p w:rsidR="002A426C" w:rsidRDefault="003B6DD6" w:rsidP="00686BB5">
            <w:pPr>
              <w:spacing w:before="60" w:after="60" w:line="240" w:lineRule="auto"/>
              <w:jc w:val="right"/>
            </w:pPr>
            <w:r>
              <w:t>1</w:t>
            </w:r>
            <w:r w:rsidR="002A1C00">
              <w:t>1</w:t>
            </w:r>
            <w:r w:rsidR="009D702E">
              <w:t>6</w:t>
            </w:r>
          </w:p>
        </w:tc>
      </w:tr>
      <w:tr w:rsidR="002A426C" w:rsidTr="00686BB5">
        <w:tc>
          <w:tcPr>
            <w:tcW w:w="1101" w:type="dxa"/>
          </w:tcPr>
          <w:p w:rsidR="002A426C" w:rsidRDefault="002A426C" w:rsidP="00686BB5">
            <w:pPr>
              <w:spacing w:before="60" w:after="60" w:line="240" w:lineRule="auto"/>
            </w:pPr>
            <w:r>
              <w:t>8.2</w:t>
            </w:r>
          </w:p>
        </w:tc>
        <w:tc>
          <w:tcPr>
            <w:tcW w:w="7087" w:type="dxa"/>
          </w:tcPr>
          <w:p w:rsidR="002A426C" w:rsidRDefault="002A426C" w:rsidP="00686BB5">
            <w:pPr>
              <w:spacing w:before="60" w:after="60" w:line="240" w:lineRule="auto"/>
              <w:jc w:val="left"/>
            </w:pPr>
            <w:r>
              <w:t>Befragte und an Gesprächsrunden teilnehmende ExpertInnen</w:t>
            </w:r>
          </w:p>
        </w:tc>
        <w:tc>
          <w:tcPr>
            <w:tcW w:w="1024" w:type="dxa"/>
            <w:vAlign w:val="center"/>
          </w:tcPr>
          <w:p w:rsidR="002A426C" w:rsidRDefault="003B6DD6" w:rsidP="00686BB5">
            <w:pPr>
              <w:spacing w:before="60" w:after="60" w:line="240" w:lineRule="auto"/>
              <w:jc w:val="right"/>
            </w:pPr>
            <w:r>
              <w:t>12</w:t>
            </w:r>
            <w:r w:rsidR="009D702E">
              <w:t>8</w:t>
            </w:r>
          </w:p>
        </w:tc>
      </w:tr>
      <w:tr w:rsidR="002A426C" w:rsidTr="00686BB5">
        <w:tc>
          <w:tcPr>
            <w:tcW w:w="1101" w:type="dxa"/>
          </w:tcPr>
          <w:p w:rsidR="002A426C" w:rsidRDefault="002A426C" w:rsidP="00686BB5">
            <w:pPr>
              <w:spacing w:before="60" w:after="60" w:line="240" w:lineRule="auto"/>
            </w:pPr>
            <w:r>
              <w:t>8.3</w:t>
            </w:r>
          </w:p>
        </w:tc>
        <w:tc>
          <w:tcPr>
            <w:tcW w:w="7087" w:type="dxa"/>
          </w:tcPr>
          <w:p w:rsidR="002A426C" w:rsidRDefault="002A426C" w:rsidP="00686BB5">
            <w:pPr>
              <w:spacing w:before="60" w:after="60" w:line="240" w:lineRule="auto"/>
              <w:jc w:val="left"/>
            </w:pPr>
            <w:r>
              <w:t>Online-Fragebogen</w:t>
            </w:r>
          </w:p>
        </w:tc>
        <w:tc>
          <w:tcPr>
            <w:tcW w:w="1024" w:type="dxa"/>
            <w:vAlign w:val="center"/>
          </w:tcPr>
          <w:p w:rsidR="002A426C" w:rsidRDefault="003B6DD6" w:rsidP="00686BB5">
            <w:pPr>
              <w:spacing w:before="60" w:after="60" w:line="240" w:lineRule="auto"/>
              <w:jc w:val="right"/>
            </w:pPr>
            <w:r>
              <w:t>1</w:t>
            </w:r>
            <w:r w:rsidR="009D702E">
              <w:t>30</w:t>
            </w:r>
          </w:p>
        </w:tc>
      </w:tr>
    </w:tbl>
    <w:p w:rsidR="002A426C" w:rsidRDefault="002A426C" w:rsidP="002A426C"/>
    <w:p w:rsidR="002A426C" w:rsidRDefault="002A426C" w:rsidP="002A426C"/>
    <w:p w:rsidR="007866AA" w:rsidRDefault="007866AA">
      <w:pPr>
        <w:spacing w:before="180" w:after="240" w:line="336" w:lineRule="auto"/>
        <w:jc w:val="center"/>
        <w:rPr>
          <w:rFonts w:eastAsia="Calibri"/>
          <w:b/>
          <w:lang w:eastAsia="en-US"/>
        </w:rPr>
      </w:pPr>
    </w:p>
    <w:p w:rsidR="00F504A9" w:rsidRPr="005B30DF" w:rsidRDefault="00F504A9" w:rsidP="00F504A9">
      <w:pPr>
        <w:rPr>
          <w:rFonts w:eastAsia="Calibri"/>
          <w:b/>
          <w:lang w:eastAsia="en-US"/>
        </w:rPr>
      </w:pPr>
      <w:r w:rsidRPr="005B30DF">
        <w:rPr>
          <w:rFonts w:eastAsia="Calibri"/>
          <w:b/>
          <w:lang w:eastAsia="en-US"/>
        </w:rPr>
        <w:lastRenderedPageBreak/>
        <w:t>Einleitung</w:t>
      </w:r>
    </w:p>
    <w:p w:rsidR="004609AB" w:rsidRDefault="004609AB" w:rsidP="00F504A9">
      <w:pPr>
        <w:rPr>
          <w:rFonts w:eastAsia="Calibri"/>
          <w:lang w:val="de-AT" w:eastAsia="en-US"/>
        </w:rPr>
      </w:pPr>
    </w:p>
    <w:p w:rsidR="007253E8" w:rsidRDefault="00F504A9" w:rsidP="00F504A9">
      <w:pPr>
        <w:rPr>
          <w:rFonts w:eastAsia="Calibri"/>
          <w:lang w:val="de-AT" w:eastAsia="en-US"/>
        </w:rPr>
      </w:pPr>
      <w:r>
        <w:rPr>
          <w:rFonts w:eastAsia="Calibri"/>
          <w:lang w:val="de-AT" w:eastAsia="en-US"/>
        </w:rPr>
        <w:t xml:space="preserve">Vor dem Hintergrund der Ausgangslage einer </w:t>
      </w:r>
      <w:r w:rsidR="00961901">
        <w:rPr>
          <w:rFonts w:eastAsia="Calibri"/>
          <w:lang w:val="de-AT" w:eastAsia="en-US"/>
        </w:rPr>
        <w:t>de facto</w:t>
      </w:r>
      <w:r>
        <w:rPr>
          <w:rFonts w:eastAsia="Calibri"/>
          <w:lang w:val="de-AT" w:eastAsia="en-US"/>
        </w:rPr>
        <w:t>-Benachteiligung von Haushalten mit Migrationshintergrund auf dem Wohn</w:t>
      </w:r>
      <w:r w:rsidR="004609AB">
        <w:rPr>
          <w:rFonts w:eastAsia="Calibri"/>
          <w:lang w:val="de-AT" w:eastAsia="en-US"/>
        </w:rPr>
        <w:t>ungsmarkt</w:t>
      </w:r>
      <w:r w:rsidR="001A4B1C">
        <w:rPr>
          <w:rStyle w:val="Funotenzeichen"/>
          <w:rFonts w:eastAsia="Calibri"/>
          <w:lang w:val="de-AT" w:eastAsia="en-US"/>
        </w:rPr>
        <w:footnoteReference w:id="1"/>
      </w:r>
      <w:r w:rsidR="004609AB">
        <w:rPr>
          <w:rFonts w:eastAsia="Calibri"/>
          <w:lang w:val="de-AT" w:eastAsia="en-US"/>
        </w:rPr>
        <w:t xml:space="preserve"> beschäftigt sich da</w:t>
      </w:r>
      <w:r>
        <w:rPr>
          <w:rFonts w:eastAsia="Calibri"/>
          <w:lang w:val="de-AT" w:eastAsia="en-US"/>
        </w:rPr>
        <w:t xml:space="preserve">s Projekt </w:t>
      </w:r>
      <w:r w:rsidR="004609AB">
        <w:rPr>
          <w:rFonts w:eastAsia="Calibri"/>
          <w:lang w:val="de-AT" w:eastAsia="en-US"/>
        </w:rPr>
        <w:t xml:space="preserve">„Equality in Housing“ </w:t>
      </w:r>
      <w:r>
        <w:rPr>
          <w:rFonts w:eastAsia="Calibri"/>
          <w:lang w:val="de-AT" w:eastAsia="en-US"/>
        </w:rPr>
        <w:t xml:space="preserve">mit dem Sektor des geförderten Wohnungsmarktes und erhebt im Detail, </w:t>
      </w:r>
      <w:r w:rsidR="004609AB">
        <w:rPr>
          <w:rFonts w:eastAsia="Calibri"/>
          <w:lang w:val="de-AT" w:eastAsia="en-US"/>
        </w:rPr>
        <w:t>inwieweit in den gesetzlichen Grundlagen der Wohnbauförderung den</w:t>
      </w:r>
      <w:r>
        <w:rPr>
          <w:rFonts w:eastAsia="Calibri"/>
          <w:lang w:val="de-AT" w:eastAsia="en-US"/>
        </w:rPr>
        <w:t xml:space="preserve"> Auflagen und Normen des Gleichbehandlungsgesetzes </w:t>
      </w:r>
      <w:r w:rsidR="004609AB">
        <w:rPr>
          <w:rFonts w:eastAsia="Calibri"/>
          <w:lang w:val="de-AT" w:eastAsia="en-US"/>
        </w:rPr>
        <w:t xml:space="preserve">entsprochen und wie in der Praxis der Wohnungsvergabe mit diesen Vorgaben </w:t>
      </w:r>
      <w:r>
        <w:rPr>
          <w:rFonts w:eastAsia="Calibri"/>
          <w:lang w:val="de-AT" w:eastAsia="en-US"/>
        </w:rPr>
        <w:t xml:space="preserve">umgegangen wird. </w:t>
      </w:r>
    </w:p>
    <w:p w:rsidR="007253E8" w:rsidRDefault="00F504A9" w:rsidP="00F504A9">
      <w:pPr>
        <w:rPr>
          <w:rFonts w:eastAsia="Calibri"/>
          <w:lang w:val="de-AT" w:eastAsia="en-US"/>
        </w:rPr>
      </w:pPr>
      <w:r>
        <w:rPr>
          <w:rFonts w:eastAsia="Calibri"/>
          <w:lang w:val="de-AT" w:eastAsia="en-US"/>
        </w:rPr>
        <w:t>Es sind vor allem zwei methodische Zugänge, die für die Erkundung und Beantwortung di</w:t>
      </w:r>
      <w:r>
        <w:rPr>
          <w:rFonts w:eastAsia="Calibri"/>
          <w:lang w:val="de-AT" w:eastAsia="en-US"/>
        </w:rPr>
        <w:t>e</w:t>
      </w:r>
      <w:r>
        <w:rPr>
          <w:rFonts w:eastAsia="Calibri"/>
          <w:lang w:val="de-AT" w:eastAsia="en-US"/>
        </w:rPr>
        <w:t xml:space="preserve">ser Fragestellungen gewählt wurden. </w:t>
      </w:r>
    </w:p>
    <w:p w:rsidR="007253E8" w:rsidRDefault="00F504A9" w:rsidP="007253E8">
      <w:pPr>
        <w:pStyle w:val="Aufzhlungszeichen"/>
        <w:rPr>
          <w:rFonts w:eastAsia="Calibri"/>
          <w:lang w:val="de-AT" w:eastAsia="en-US"/>
        </w:rPr>
      </w:pPr>
      <w:r>
        <w:rPr>
          <w:rFonts w:eastAsia="Calibri"/>
          <w:lang w:val="de-AT" w:eastAsia="en-US"/>
        </w:rPr>
        <w:t xml:space="preserve">Das betrifft einmal eine Rechtsexpertise, in der die gesetzlichen und administrativen Grundlagen </w:t>
      </w:r>
      <w:r w:rsidR="004609AB">
        <w:rPr>
          <w:rFonts w:eastAsia="Calibri"/>
          <w:lang w:val="de-AT" w:eastAsia="en-US"/>
        </w:rPr>
        <w:t xml:space="preserve">in Ländern und Gemeinden </w:t>
      </w:r>
      <w:r>
        <w:rPr>
          <w:rFonts w:eastAsia="Calibri"/>
          <w:lang w:val="de-AT" w:eastAsia="en-US"/>
        </w:rPr>
        <w:t>auf ihre Rechtsk</w:t>
      </w:r>
      <w:r w:rsidR="004609AB">
        <w:rPr>
          <w:rFonts w:eastAsia="Calibri"/>
          <w:lang w:val="de-AT" w:eastAsia="en-US"/>
        </w:rPr>
        <w:t xml:space="preserve">onformität überprüft werden. </w:t>
      </w:r>
    </w:p>
    <w:p w:rsidR="00F504A9" w:rsidRDefault="004609AB" w:rsidP="007253E8">
      <w:pPr>
        <w:pStyle w:val="Aufzhlungszeichen"/>
        <w:rPr>
          <w:rFonts w:eastAsia="Calibri"/>
          <w:lang w:val="de-AT" w:eastAsia="en-US"/>
        </w:rPr>
      </w:pPr>
      <w:r>
        <w:rPr>
          <w:rFonts w:eastAsia="Calibri"/>
          <w:lang w:val="de-AT" w:eastAsia="en-US"/>
        </w:rPr>
        <w:t>Der sozialwissenschaftliche</w:t>
      </w:r>
      <w:r w:rsidR="00F504A9">
        <w:rPr>
          <w:rFonts w:eastAsia="Calibri"/>
          <w:lang w:val="de-AT" w:eastAsia="en-US"/>
        </w:rPr>
        <w:t xml:space="preserve"> </w:t>
      </w:r>
      <w:r>
        <w:rPr>
          <w:rFonts w:eastAsia="Calibri"/>
          <w:lang w:val="de-AT" w:eastAsia="en-US"/>
        </w:rPr>
        <w:t>Studient</w:t>
      </w:r>
      <w:r w:rsidR="00F504A9">
        <w:rPr>
          <w:rFonts w:eastAsia="Calibri"/>
          <w:lang w:val="de-AT" w:eastAsia="en-US"/>
        </w:rPr>
        <w:t>eil</w:t>
      </w:r>
      <w:r>
        <w:rPr>
          <w:rFonts w:eastAsia="Calibri"/>
          <w:lang w:val="de-AT" w:eastAsia="en-US"/>
        </w:rPr>
        <w:t xml:space="preserve"> </w:t>
      </w:r>
      <w:r w:rsidR="00961901">
        <w:rPr>
          <w:rFonts w:eastAsia="Calibri"/>
          <w:lang w:val="de-AT" w:eastAsia="en-US"/>
        </w:rPr>
        <w:t xml:space="preserve">wiederum </w:t>
      </w:r>
      <w:r>
        <w:rPr>
          <w:rFonts w:eastAsia="Calibri"/>
          <w:lang w:val="de-AT" w:eastAsia="en-US"/>
        </w:rPr>
        <w:t>widmet sich der</w:t>
      </w:r>
      <w:r w:rsidR="00F504A9">
        <w:rPr>
          <w:rFonts w:eastAsia="Calibri"/>
          <w:lang w:val="de-AT" w:eastAsia="en-US"/>
        </w:rPr>
        <w:t xml:space="preserve"> Überprüfung des Pr</w:t>
      </w:r>
      <w:r w:rsidR="00F504A9">
        <w:rPr>
          <w:rFonts w:eastAsia="Calibri"/>
          <w:lang w:val="de-AT" w:eastAsia="en-US"/>
        </w:rPr>
        <w:t>a</w:t>
      </w:r>
      <w:r w:rsidR="00F504A9">
        <w:rPr>
          <w:rFonts w:eastAsia="Calibri"/>
          <w:lang w:val="de-AT" w:eastAsia="en-US"/>
        </w:rPr>
        <w:t>xiszusammenhangs auf der Ebene der Länder und Städte. Eine Online-Fragebogenerhe</w:t>
      </w:r>
      <w:r w:rsidR="00C36E00">
        <w:rPr>
          <w:rFonts w:eastAsia="Calibri"/>
          <w:lang w:val="de-AT" w:eastAsia="en-US"/>
        </w:rPr>
        <w:softHyphen/>
      </w:r>
      <w:r w:rsidR="00F504A9">
        <w:rPr>
          <w:rFonts w:eastAsia="Calibri"/>
          <w:lang w:val="de-AT" w:eastAsia="en-US"/>
        </w:rPr>
        <w:t>bung bildet die quantitative Grundlage</w:t>
      </w:r>
      <w:r>
        <w:rPr>
          <w:rFonts w:eastAsia="Calibri"/>
          <w:lang w:val="de-AT" w:eastAsia="en-US"/>
        </w:rPr>
        <w:t xml:space="preserve"> dafür</w:t>
      </w:r>
      <w:r w:rsidR="00F504A9">
        <w:rPr>
          <w:rFonts w:eastAsia="Calibri"/>
          <w:lang w:val="de-AT" w:eastAsia="en-US"/>
        </w:rPr>
        <w:t>, Interviews und ExpertInnengespräche e</w:t>
      </w:r>
      <w:r w:rsidR="00F504A9">
        <w:rPr>
          <w:rFonts w:eastAsia="Calibri"/>
          <w:lang w:val="de-AT" w:eastAsia="en-US"/>
        </w:rPr>
        <w:t>r</w:t>
      </w:r>
      <w:r w:rsidR="00F504A9">
        <w:rPr>
          <w:rFonts w:eastAsia="Calibri"/>
          <w:lang w:val="de-AT" w:eastAsia="en-US"/>
        </w:rPr>
        <w:t>möglichen eine vertiefende Analyse.</w:t>
      </w:r>
      <w:r w:rsidR="007253E8">
        <w:rPr>
          <w:rFonts w:eastAsia="Calibri"/>
          <w:lang w:val="de-AT" w:eastAsia="en-US"/>
        </w:rPr>
        <w:br/>
      </w:r>
    </w:p>
    <w:p w:rsidR="00C36E00" w:rsidRDefault="00F504A9" w:rsidP="00ED330C">
      <w:pPr>
        <w:rPr>
          <w:rFonts w:eastAsia="Calibri"/>
          <w:lang w:val="de-AT" w:eastAsia="en-US"/>
        </w:rPr>
      </w:pPr>
      <w:r>
        <w:rPr>
          <w:rFonts w:eastAsia="Calibri"/>
          <w:lang w:val="de-AT" w:eastAsia="en-US"/>
        </w:rPr>
        <w:t>Auf der Grundlage der rechts- und sozialwissenschaftlichen Analyse von gesetzlichen und administrativen Grundlagen sowie deren Umsetzung in der konkreten Wohnungsvergabe werden gezielte Maßnahmen zur Dissemination der Ergebnisse und Empfehlungen sowie zur Sensibilisierung und Weiterbildung von MitarbeiterInnen der Wohnungsvergabe auf den u</w:t>
      </w:r>
      <w:r>
        <w:rPr>
          <w:rFonts w:eastAsia="Calibri"/>
          <w:lang w:val="de-AT" w:eastAsia="en-US"/>
        </w:rPr>
        <w:t>n</w:t>
      </w:r>
      <w:r>
        <w:rPr>
          <w:rFonts w:eastAsia="Calibri"/>
          <w:lang w:val="de-AT" w:eastAsia="en-US"/>
        </w:rPr>
        <w:t>terschiedlichen Ebenen (Gemeinde</w:t>
      </w:r>
      <w:r w:rsidR="004609AB">
        <w:rPr>
          <w:rFonts w:eastAsia="Calibri"/>
          <w:lang w:val="de-AT" w:eastAsia="en-US"/>
        </w:rPr>
        <w:t>n und Wohnbauträger) entwickelt.</w:t>
      </w:r>
      <w:r>
        <w:rPr>
          <w:rFonts w:eastAsia="Calibri"/>
          <w:lang w:val="de-AT" w:eastAsia="en-US"/>
        </w:rPr>
        <w:t xml:space="preserve"> </w:t>
      </w:r>
      <w:r w:rsidR="004609AB">
        <w:rPr>
          <w:rFonts w:eastAsia="Calibri"/>
          <w:lang w:val="de-AT" w:eastAsia="en-US"/>
        </w:rPr>
        <w:t xml:space="preserve">Diese </w:t>
      </w:r>
      <w:r w:rsidR="007253E8">
        <w:rPr>
          <w:rFonts w:eastAsia="Calibri"/>
          <w:lang w:val="de-AT" w:eastAsia="en-US"/>
        </w:rPr>
        <w:t>soll</w:t>
      </w:r>
      <w:r w:rsidR="004609AB">
        <w:rPr>
          <w:rFonts w:eastAsia="Calibri"/>
          <w:lang w:val="de-AT" w:eastAsia="en-US"/>
        </w:rPr>
        <w:t xml:space="preserve">en </w:t>
      </w:r>
      <w:r>
        <w:rPr>
          <w:rFonts w:eastAsia="Calibri"/>
          <w:lang w:val="de-AT" w:eastAsia="en-US"/>
        </w:rPr>
        <w:t xml:space="preserve">im Herbst 2011 </w:t>
      </w:r>
      <w:r w:rsidR="004609AB">
        <w:rPr>
          <w:rFonts w:eastAsia="Calibri"/>
          <w:lang w:val="de-AT" w:eastAsia="en-US"/>
        </w:rPr>
        <w:t xml:space="preserve">in einzelnen Bundesländern </w:t>
      </w:r>
      <w:r w:rsidR="00D34EDA" w:rsidRPr="00ED330C">
        <w:rPr>
          <w:rFonts w:eastAsia="Calibri"/>
        </w:rPr>
        <w:t xml:space="preserve">im Rahmen von Weiterbildungsseminaren </w:t>
      </w:r>
      <w:r w:rsidR="00961901">
        <w:rPr>
          <w:rFonts w:eastAsia="Calibri"/>
        </w:rPr>
        <w:t xml:space="preserve">in Hinblick </w:t>
      </w:r>
      <w:r w:rsidR="00D34EDA" w:rsidRPr="00ED330C">
        <w:rPr>
          <w:rFonts w:eastAsia="Calibri"/>
        </w:rPr>
        <w:t>auf ihre praktische Relevanz und Übertragbarkeit in die örtlichen / regionalen Rahmenbedingu</w:t>
      </w:r>
      <w:r w:rsidR="00D34EDA" w:rsidRPr="00ED330C">
        <w:rPr>
          <w:rFonts w:eastAsia="Calibri"/>
        </w:rPr>
        <w:t>n</w:t>
      </w:r>
      <w:r w:rsidR="00D34EDA" w:rsidRPr="00ED330C">
        <w:rPr>
          <w:rFonts w:eastAsia="Calibri"/>
        </w:rPr>
        <w:t>gen diskutiert und weiterentwickelt werden</w:t>
      </w:r>
      <w:r w:rsidRPr="00ED330C">
        <w:rPr>
          <w:rFonts w:eastAsia="Calibri"/>
        </w:rPr>
        <w:t>.</w:t>
      </w:r>
      <w:r w:rsidR="007253E8">
        <w:rPr>
          <w:rFonts w:eastAsia="Calibri"/>
          <w:lang w:val="de-AT" w:eastAsia="en-US"/>
        </w:rPr>
        <w:t xml:space="preserve"> </w:t>
      </w:r>
    </w:p>
    <w:p w:rsidR="00F504A9" w:rsidRDefault="005B757A" w:rsidP="00ED330C">
      <w:pPr>
        <w:rPr>
          <w:rFonts w:eastAsia="Calibri"/>
          <w:lang w:val="de-AT" w:eastAsia="en-US"/>
        </w:rPr>
      </w:pPr>
      <w:r>
        <w:rPr>
          <w:rFonts w:eastAsia="Calibri"/>
          <w:lang w:val="de-AT" w:eastAsia="en-US"/>
        </w:rPr>
        <w:t xml:space="preserve">Zur Dissemination der Ergebnisse </w:t>
      </w:r>
      <w:r w:rsidR="007253E8">
        <w:rPr>
          <w:rFonts w:eastAsia="Calibri"/>
          <w:lang w:val="de-AT" w:eastAsia="en-US"/>
        </w:rPr>
        <w:t xml:space="preserve">des Gesamtprojekts </w:t>
      </w:r>
      <w:r>
        <w:rPr>
          <w:rFonts w:eastAsia="Calibri"/>
          <w:lang w:val="de-AT" w:eastAsia="en-US"/>
        </w:rPr>
        <w:t>sind unterschiedliche Maßnahmen der Öffentlichkeitsarbeit geplant, wie Landtagsenqueten und / oder Veranstaltungen in Kooper</w:t>
      </w:r>
      <w:r>
        <w:rPr>
          <w:rFonts w:eastAsia="Calibri"/>
          <w:lang w:val="de-AT" w:eastAsia="en-US"/>
        </w:rPr>
        <w:t>a</w:t>
      </w:r>
      <w:r>
        <w:rPr>
          <w:rFonts w:eastAsia="Calibri"/>
          <w:lang w:val="de-AT" w:eastAsia="en-US"/>
        </w:rPr>
        <w:t xml:space="preserve">tion mit regionalen Gemeindeverbänden, </w:t>
      </w:r>
      <w:r w:rsidR="007253E8">
        <w:rPr>
          <w:rFonts w:eastAsia="Calibri"/>
          <w:lang w:val="de-AT" w:eastAsia="en-US"/>
        </w:rPr>
        <w:t xml:space="preserve">eine </w:t>
      </w:r>
      <w:r>
        <w:rPr>
          <w:rFonts w:eastAsia="Calibri"/>
          <w:lang w:val="de-AT" w:eastAsia="en-US"/>
        </w:rPr>
        <w:t xml:space="preserve">Präsentation der Ergebnisse in Kooperation mit </w:t>
      </w:r>
      <w:r w:rsidR="00C36E00">
        <w:rPr>
          <w:rFonts w:eastAsia="Calibri"/>
          <w:lang w:val="de-AT" w:eastAsia="en-US"/>
        </w:rPr>
        <w:t xml:space="preserve">den </w:t>
      </w:r>
      <w:r>
        <w:rPr>
          <w:rFonts w:eastAsia="Calibri"/>
          <w:lang w:val="de-AT" w:eastAsia="en-US"/>
        </w:rPr>
        <w:t xml:space="preserve">Gleichbehandlungs- und Antidiskriminierungsstellen von Ländern und Gemeinden </w:t>
      </w:r>
      <w:r w:rsidR="00C36E00">
        <w:rPr>
          <w:rFonts w:eastAsia="Calibri"/>
          <w:lang w:val="de-AT" w:eastAsia="en-US"/>
        </w:rPr>
        <w:t xml:space="preserve">sowie </w:t>
      </w:r>
      <w:r>
        <w:rPr>
          <w:rFonts w:eastAsia="Calibri"/>
          <w:lang w:val="de-AT" w:eastAsia="en-US"/>
        </w:rPr>
        <w:t xml:space="preserve">des Bundes. </w:t>
      </w:r>
    </w:p>
    <w:p w:rsidR="00860507" w:rsidRDefault="00860507">
      <w:pPr>
        <w:spacing w:before="180" w:after="240" w:line="336" w:lineRule="auto"/>
        <w:jc w:val="center"/>
        <w:rPr>
          <w:rFonts w:eastAsia="Calibri"/>
          <w:lang w:val="de-AT" w:eastAsia="en-US"/>
        </w:rPr>
      </w:pPr>
    </w:p>
    <w:p w:rsidR="00F504A9" w:rsidRDefault="00F504A9" w:rsidP="00F504A9">
      <w:pPr>
        <w:rPr>
          <w:rFonts w:eastAsia="Calibri"/>
          <w:lang w:val="de-AT" w:eastAsia="en-US"/>
        </w:rPr>
      </w:pPr>
      <w:r>
        <w:rPr>
          <w:rFonts w:eastAsia="Calibri"/>
          <w:lang w:val="de-AT" w:eastAsia="en-US"/>
        </w:rPr>
        <w:lastRenderedPageBreak/>
        <w:t>Dieser Bericht gibt einen Überblick über die Ergebnisse der Fragebogenerhebung und disk</w:t>
      </w:r>
      <w:r>
        <w:rPr>
          <w:rFonts w:eastAsia="Calibri"/>
          <w:lang w:val="de-AT" w:eastAsia="en-US"/>
        </w:rPr>
        <w:t>u</w:t>
      </w:r>
      <w:r>
        <w:rPr>
          <w:rFonts w:eastAsia="Calibri"/>
          <w:lang w:val="de-AT" w:eastAsia="en-US"/>
        </w:rPr>
        <w:t xml:space="preserve">tiert diese auf der Grundlage der Interviews und ExpertInnengespräche, die in folgenden ausgewählten Modellregionen im Zeitraum April bis Mai stattgefunden haben: </w:t>
      </w:r>
    </w:p>
    <w:p w:rsidR="00F504A9" w:rsidRPr="00FD4D33" w:rsidRDefault="00F504A9" w:rsidP="00B31556">
      <w:pPr>
        <w:pStyle w:val="Listenabsatz"/>
        <w:numPr>
          <w:ilvl w:val="0"/>
          <w:numId w:val="8"/>
        </w:numPr>
        <w:rPr>
          <w:rFonts w:eastAsia="Calibri"/>
          <w:lang w:val="de-AT" w:eastAsia="en-US"/>
        </w:rPr>
      </w:pPr>
      <w:r w:rsidRPr="00FD4D33">
        <w:rPr>
          <w:rFonts w:eastAsia="Calibri"/>
          <w:lang w:val="de-AT" w:eastAsia="en-US"/>
        </w:rPr>
        <w:t>Bundesländer: Niederösterreich und Tirol</w:t>
      </w:r>
    </w:p>
    <w:p w:rsidR="00F504A9" w:rsidRPr="00FD4D33" w:rsidRDefault="00F504A9" w:rsidP="00B31556">
      <w:pPr>
        <w:pStyle w:val="Listenabsatz"/>
        <w:numPr>
          <w:ilvl w:val="0"/>
          <w:numId w:val="8"/>
        </w:numPr>
        <w:rPr>
          <w:rFonts w:eastAsia="Calibri"/>
          <w:lang w:val="de-AT" w:eastAsia="en-US"/>
        </w:rPr>
      </w:pPr>
      <w:r w:rsidRPr="00FD4D33">
        <w:rPr>
          <w:rFonts w:eastAsia="Calibri"/>
          <w:lang w:val="de-AT" w:eastAsia="en-US"/>
        </w:rPr>
        <w:t>Städte: Bregenz, Linz und Wien</w:t>
      </w:r>
      <w:r w:rsidR="00172361">
        <w:rPr>
          <w:rFonts w:eastAsia="Calibri"/>
          <w:lang w:val="de-AT" w:eastAsia="en-US"/>
        </w:rPr>
        <w:br/>
      </w:r>
    </w:p>
    <w:p w:rsidR="00F504A9" w:rsidRDefault="00F504A9" w:rsidP="00F504A9">
      <w:pPr>
        <w:rPr>
          <w:rFonts w:eastAsia="Calibri"/>
          <w:lang w:val="de-AT" w:eastAsia="en-US"/>
        </w:rPr>
      </w:pPr>
      <w:r>
        <w:rPr>
          <w:rFonts w:eastAsia="Calibri"/>
          <w:lang w:val="de-AT" w:eastAsia="en-US"/>
        </w:rPr>
        <w:t xml:space="preserve">Kleine regionale und kommunale Fallstudien </w:t>
      </w:r>
      <w:r w:rsidR="007253E8">
        <w:rPr>
          <w:rFonts w:eastAsia="Calibri"/>
          <w:lang w:val="de-AT" w:eastAsia="en-US"/>
        </w:rPr>
        <w:t xml:space="preserve">zu den unterschiedlichen Themenstellungen </w:t>
      </w:r>
      <w:r>
        <w:rPr>
          <w:rFonts w:eastAsia="Calibri"/>
          <w:lang w:val="de-AT" w:eastAsia="en-US"/>
        </w:rPr>
        <w:t>geben einen Einblick in die gleichbehandlungsrelevanten Aspekte der Wohn- und Integra</w:t>
      </w:r>
      <w:r w:rsidR="00DB2220">
        <w:rPr>
          <w:rFonts w:eastAsia="Calibri"/>
          <w:lang w:val="de-AT" w:eastAsia="en-US"/>
        </w:rPr>
        <w:softHyphen/>
      </w:r>
      <w:r>
        <w:rPr>
          <w:rFonts w:eastAsia="Calibri"/>
          <w:lang w:val="de-AT" w:eastAsia="en-US"/>
        </w:rPr>
        <w:t>tionspolitik</w:t>
      </w:r>
      <w:r w:rsidR="007253E8">
        <w:rPr>
          <w:rFonts w:eastAsia="Calibri"/>
          <w:lang w:val="de-AT" w:eastAsia="en-US"/>
        </w:rPr>
        <w:t xml:space="preserve"> und bilden die Grundlage für die </w:t>
      </w:r>
      <w:r>
        <w:rPr>
          <w:rFonts w:eastAsia="Calibri"/>
          <w:lang w:val="de-AT" w:eastAsia="en-US"/>
        </w:rPr>
        <w:t>Vorstellung von ausgewählten Beispielen guter (sprich: diskriminierungsf</w:t>
      </w:r>
      <w:r w:rsidR="005B757A">
        <w:rPr>
          <w:rFonts w:eastAsia="Calibri"/>
          <w:lang w:val="de-AT" w:eastAsia="en-US"/>
        </w:rPr>
        <w:t>reier und integrationsfördernder</w:t>
      </w:r>
      <w:r>
        <w:rPr>
          <w:rFonts w:eastAsia="Calibri"/>
          <w:lang w:val="de-AT" w:eastAsia="en-US"/>
        </w:rPr>
        <w:t>) Praxis</w:t>
      </w:r>
      <w:r w:rsidR="00172361">
        <w:rPr>
          <w:rFonts w:eastAsia="Calibri"/>
          <w:lang w:val="de-AT" w:eastAsia="en-US"/>
        </w:rPr>
        <w:t xml:space="preserve"> der Wohnungsvergabe</w:t>
      </w:r>
      <w:r>
        <w:rPr>
          <w:rFonts w:eastAsia="Calibri"/>
          <w:lang w:val="de-AT" w:eastAsia="en-US"/>
        </w:rPr>
        <w:t>. Daraus abgeleitete zentrale Maßnahmenempfehlungen werden im Schlusskapitel zusamme</w:t>
      </w:r>
      <w:r>
        <w:rPr>
          <w:rFonts w:eastAsia="Calibri"/>
          <w:lang w:val="de-AT" w:eastAsia="en-US"/>
        </w:rPr>
        <w:t>n</w:t>
      </w:r>
      <w:r>
        <w:rPr>
          <w:rFonts w:eastAsia="Calibri"/>
          <w:lang w:val="de-AT" w:eastAsia="en-US"/>
        </w:rPr>
        <w:t>geführt und ausblickend diskutiert.</w:t>
      </w:r>
    </w:p>
    <w:p w:rsidR="00F504A9" w:rsidRDefault="00F504A9" w:rsidP="00F504A9">
      <w:pPr>
        <w:rPr>
          <w:rFonts w:eastAsia="Calibri"/>
          <w:lang w:val="de-AT" w:eastAsia="en-US"/>
        </w:rPr>
      </w:pPr>
      <w:r>
        <w:rPr>
          <w:rFonts w:eastAsia="Calibri"/>
          <w:lang w:val="de-AT" w:eastAsia="en-US"/>
        </w:rPr>
        <w:t xml:space="preserve">Im Anhang </w:t>
      </w:r>
      <w:r w:rsidR="00ED330C">
        <w:rPr>
          <w:rFonts w:eastAsia="Calibri"/>
          <w:lang w:val="de-AT" w:eastAsia="en-US"/>
        </w:rPr>
        <w:t>bef</w:t>
      </w:r>
      <w:r>
        <w:rPr>
          <w:rFonts w:eastAsia="Calibri"/>
          <w:lang w:val="de-AT" w:eastAsia="en-US"/>
        </w:rPr>
        <w:t>ind</w:t>
      </w:r>
      <w:r w:rsidR="00ED330C">
        <w:rPr>
          <w:rFonts w:eastAsia="Calibri"/>
          <w:lang w:val="de-AT" w:eastAsia="en-US"/>
        </w:rPr>
        <w:t>et sich der</w:t>
      </w:r>
      <w:r>
        <w:rPr>
          <w:rFonts w:eastAsia="Calibri"/>
          <w:lang w:val="de-AT" w:eastAsia="en-US"/>
        </w:rPr>
        <w:t xml:space="preserve"> Tabellenb</w:t>
      </w:r>
      <w:r w:rsidR="00ED330C">
        <w:rPr>
          <w:rFonts w:eastAsia="Calibri"/>
          <w:lang w:val="de-AT" w:eastAsia="en-US"/>
        </w:rPr>
        <w:t>and</w:t>
      </w:r>
      <w:r>
        <w:rPr>
          <w:rFonts w:eastAsia="Calibri"/>
          <w:lang w:val="de-AT" w:eastAsia="en-US"/>
        </w:rPr>
        <w:t xml:space="preserve"> mit aufbereiteten Daten aus der Fragebogene</w:t>
      </w:r>
      <w:r>
        <w:rPr>
          <w:rFonts w:eastAsia="Calibri"/>
          <w:lang w:val="de-AT" w:eastAsia="en-US"/>
        </w:rPr>
        <w:t>r</w:t>
      </w:r>
      <w:r>
        <w:rPr>
          <w:rFonts w:eastAsia="Calibri"/>
          <w:lang w:val="de-AT" w:eastAsia="en-US"/>
        </w:rPr>
        <w:t>hebung</w:t>
      </w:r>
      <w:r w:rsidR="007253E8">
        <w:rPr>
          <w:rFonts w:eastAsia="Calibri"/>
          <w:lang w:val="de-AT" w:eastAsia="en-US"/>
        </w:rPr>
        <w:t>,</w:t>
      </w:r>
      <w:r>
        <w:rPr>
          <w:rFonts w:eastAsia="Calibri"/>
          <w:lang w:val="de-AT" w:eastAsia="en-US"/>
        </w:rPr>
        <w:t xml:space="preserve"> </w:t>
      </w:r>
      <w:r w:rsidR="00ED330C">
        <w:rPr>
          <w:rFonts w:eastAsia="Calibri"/>
          <w:lang w:val="de-AT" w:eastAsia="en-US"/>
        </w:rPr>
        <w:t>der für die Online-Erhebung verwendete Fragebogen, eine Übersicht über die bete</w:t>
      </w:r>
      <w:r w:rsidR="00ED330C">
        <w:rPr>
          <w:rFonts w:eastAsia="Calibri"/>
          <w:lang w:val="de-AT" w:eastAsia="en-US"/>
        </w:rPr>
        <w:t>i</w:t>
      </w:r>
      <w:r w:rsidR="00ED330C">
        <w:rPr>
          <w:rFonts w:eastAsia="Calibri"/>
          <w:lang w:val="de-AT" w:eastAsia="en-US"/>
        </w:rPr>
        <w:t>lig</w:t>
      </w:r>
      <w:r w:rsidR="00C36E00">
        <w:rPr>
          <w:rFonts w:eastAsia="Calibri"/>
          <w:lang w:val="de-AT" w:eastAsia="en-US"/>
        </w:rPr>
        <w:t>t</w:t>
      </w:r>
      <w:r w:rsidR="00ED330C">
        <w:rPr>
          <w:rFonts w:eastAsia="Calibri"/>
          <w:lang w:val="de-AT" w:eastAsia="en-US"/>
        </w:rPr>
        <w:t xml:space="preserve">en ExpertInnen (TeilnehmerInnen </w:t>
      </w:r>
      <w:r w:rsidR="00C36E00">
        <w:rPr>
          <w:rFonts w:eastAsia="Calibri"/>
          <w:lang w:val="de-AT" w:eastAsia="en-US"/>
        </w:rPr>
        <w:t>an regionalen Gesprächsrunden sowie Interviews</w:t>
      </w:r>
      <w:r w:rsidR="00ED330C">
        <w:rPr>
          <w:rFonts w:eastAsia="Calibri"/>
          <w:lang w:val="de-AT" w:eastAsia="en-US"/>
        </w:rPr>
        <w:t>) und ein Überblick über verwendete und weiterführende</w:t>
      </w:r>
      <w:r w:rsidR="007253E8">
        <w:rPr>
          <w:rFonts w:eastAsia="Calibri"/>
          <w:lang w:val="de-AT" w:eastAsia="en-US"/>
        </w:rPr>
        <w:t xml:space="preserve"> Materialien, Literatur und Links zu Online-Dokumenten</w:t>
      </w:r>
      <w:r>
        <w:rPr>
          <w:rFonts w:eastAsia="Calibri"/>
          <w:lang w:val="de-AT" w:eastAsia="en-US"/>
        </w:rPr>
        <w:t>.</w:t>
      </w:r>
    </w:p>
    <w:p w:rsidR="00F504A9" w:rsidRDefault="00F504A9" w:rsidP="00F504A9">
      <w:pPr>
        <w:rPr>
          <w:rFonts w:eastAsia="Calibri"/>
          <w:lang w:val="de-AT" w:eastAsia="en-US"/>
        </w:rPr>
      </w:pPr>
    </w:p>
    <w:p w:rsidR="00F504A9" w:rsidRPr="0090207D" w:rsidRDefault="00F504A9" w:rsidP="00F504A9">
      <w:pPr>
        <w:rPr>
          <w:rFonts w:eastAsia="Calibri"/>
          <w:lang w:val="de-AT" w:eastAsia="en-US"/>
        </w:rPr>
      </w:pPr>
    </w:p>
    <w:p w:rsidR="00F504A9" w:rsidRDefault="00F504A9" w:rsidP="00F504A9">
      <w:pPr>
        <w:rPr>
          <w:rFonts w:eastAsia="Calibri"/>
          <w:lang w:eastAsia="en-US"/>
        </w:rPr>
      </w:pPr>
    </w:p>
    <w:p w:rsidR="00F504A9" w:rsidRDefault="00F504A9" w:rsidP="00F504A9">
      <w:pPr>
        <w:rPr>
          <w:rFonts w:eastAsia="Calibri"/>
          <w:lang w:eastAsia="en-US"/>
        </w:rPr>
      </w:pPr>
    </w:p>
    <w:p w:rsidR="00F504A9" w:rsidRDefault="00F504A9" w:rsidP="00F504A9">
      <w:pPr>
        <w:spacing w:before="180" w:after="240" w:line="336" w:lineRule="auto"/>
        <w:jc w:val="center"/>
        <w:rPr>
          <w:rFonts w:eastAsia="Calibri"/>
          <w:lang w:eastAsia="en-US"/>
        </w:rPr>
      </w:pPr>
      <w:r>
        <w:rPr>
          <w:rFonts w:eastAsia="Calibri"/>
          <w:lang w:eastAsia="en-US"/>
        </w:rPr>
        <w:br w:type="page"/>
      </w:r>
    </w:p>
    <w:p w:rsidR="00F504A9" w:rsidRDefault="00F504A9" w:rsidP="00F504A9">
      <w:pPr>
        <w:rPr>
          <w:rFonts w:eastAsia="Calibri"/>
          <w:lang w:eastAsia="en-US"/>
        </w:rPr>
      </w:pPr>
    </w:p>
    <w:p w:rsidR="007253E8" w:rsidRDefault="007253E8" w:rsidP="00D71E93">
      <w:pPr>
        <w:pStyle w:val="IntensivesAnfhrungszeichen"/>
        <w:numPr>
          <w:ilvl w:val="0"/>
          <w:numId w:val="24"/>
        </w:numPr>
        <w:ind w:left="1701" w:hanging="785"/>
        <w:jc w:val="right"/>
        <w:rPr>
          <w:smallCaps/>
          <w:sz w:val="24"/>
        </w:rPr>
      </w:pPr>
      <w:r w:rsidRPr="007253E8">
        <w:rPr>
          <w:smallCaps/>
          <w:sz w:val="24"/>
        </w:rPr>
        <w:t xml:space="preserve">Equality in Housing </w:t>
      </w:r>
      <w:r w:rsidR="0058218F">
        <w:rPr>
          <w:smallCaps/>
          <w:sz w:val="24"/>
        </w:rPr>
        <w:t>/</w:t>
      </w:r>
      <w:r w:rsidRPr="007253E8">
        <w:rPr>
          <w:smallCaps/>
          <w:sz w:val="24"/>
        </w:rPr>
        <w:br/>
        <w:t>Gleichbehandlung auf dem Wohnungsmarkt</w:t>
      </w:r>
      <w:r>
        <w:rPr>
          <w:smallCaps/>
          <w:sz w:val="24"/>
        </w:rPr>
        <w:t xml:space="preserve"> </w:t>
      </w:r>
      <w:r w:rsidR="00C36E00">
        <w:rPr>
          <w:smallCaps/>
          <w:sz w:val="24"/>
        </w:rPr>
        <w:br/>
      </w:r>
      <w:r>
        <w:rPr>
          <w:smallCaps/>
          <w:sz w:val="24"/>
        </w:rPr>
        <w:t>(</w:t>
      </w:r>
      <w:r w:rsidR="00C36E00">
        <w:rPr>
          <w:smallCaps/>
          <w:sz w:val="24"/>
        </w:rPr>
        <w:t xml:space="preserve">Die </w:t>
      </w:r>
      <w:r w:rsidR="0058218F">
        <w:rPr>
          <w:smallCaps/>
          <w:sz w:val="24"/>
        </w:rPr>
        <w:t>Ergebnisse</w:t>
      </w:r>
      <w:r w:rsidR="00C36E00">
        <w:rPr>
          <w:smallCaps/>
          <w:sz w:val="24"/>
        </w:rPr>
        <w:t xml:space="preserve"> im Überblick</w:t>
      </w:r>
      <w:r>
        <w:rPr>
          <w:smallCaps/>
          <w:sz w:val="24"/>
        </w:rPr>
        <w:t>)</w:t>
      </w:r>
    </w:p>
    <w:p w:rsidR="007253E8" w:rsidRDefault="007253E8" w:rsidP="007253E8"/>
    <w:p w:rsidR="007253E8" w:rsidRPr="00731941" w:rsidRDefault="007253E8" w:rsidP="00731941">
      <w:pPr>
        <w:ind w:left="360"/>
        <w:rPr>
          <w:b/>
          <w:smallCaps/>
          <w:sz w:val="24"/>
          <w:u w:val="single"/>
        </w:rPr>
      </w:pPr>
      <w:r w:rsidRPr="00731941">
        <w:rPr>
          <w:b/>
          <w:smallCaps/>
          <w:sz w:val="24"/>
          <w:u w:val="single"/>
        </w:rPr>
        <w:t>Benachteiligungen auf dem Wohnungsmarkt</w:t>
      </w:r>
      <w:r w:rsidR="00720922" w:rsidRPr="00731941">
        <w:rPr>
          <w:b/>
          <w:smallCaps/>
          <w:sz w:val="24"/>
          <w:u w:val="single"/>
        </w:rPr>
        <w:br/>
      </w:r>
    </w:p>
    <w:p w:rsidR="007253E8" w:rsidRPr="008E381B" w:rsidRDefault="007253E8" w:rsidP="007253E8">
      <w:pPr>
        <w:rPr>
          <w:rStyle w:val="SchwacherVerweis"/>
        </w:rPr>
      </w:pPr>
      <w:r w:rsidRPr="008E381B">
        <w:rPr>
          <w:rStyle w:val="SchwacherVerweis"/>
        </w:rPr>
        <w:t>Armut und soziale Ausgrenzung</w:t>
      </w:r>
    </w:p>
    <w:p w:rsidR="008E381B" w:rsidRDefault="008E381B" w:rsidP="007253E8">
      <w:r>
        <w:t>Armutshaushalte sind wesentlich darauf angewiesen, dass leistbare Wohnungen zur Verf</w:t>
      </w:r>
      <w:r>
        <w:t>ü</w:t>
      </w:r>
      <w:r>
        <w:t xml:space="preserve">gung stehen. Trotz großer Aufwendungen, </w:t>
      </w:r>
      <w:r w:rsidR="00587957">
        <w:t xml:space="preserve">vor allem </w:t>
      </w:r>
      <w:r>
        <w:t>im Kontext des sozialen und Gemei</w:t>
      </w:r>
      <w:r>
        <w:t>n</w:t>
      </w:r>
      <w:r>
        <w:t xml:space="preserve">dewohnungsmarktes, sowie einkommensbezogener Förderungen, </w:t>
      </w:r>
      <w:r w:rsidR="00C63F08">
        <w:t>insbesondere</w:t>
      </w:r>
      <w:r>
        <w:t xml:space="preserve"> im Rahmen der Wohnbeihilfe, steht es um die Wohnversorgung von Armutshaushalten nicht zum Besten</w:t>
      </w:r>
      <w:r w:rsidR="00720922">
        <w:t xml:space="preserve"> (siehe dazu im Detail im Kapitel </w:t>
      </w:r>
      <w:r w:rsidR="009D702E">
        <w:t>1</w:t>
      </w:r>
      <w:r w:rsidR="00720922">
        <w:t xml:space="preserve">.1, S. </w:t>
      </w:r>
      <w:r w:rsidR="009D702E">
        <w:t>22</w:t>
      </w:r>
      <w:r w:rsidR="00720922">
        <w:t>)</w:t>
      </w:r>
      <w:r>
        <w:t>. Das österreichische Modell der sozialen Wohn</w:t>
      </w:r>
      <w:r w:rsidR="00C36E00">
        <w:softHyphen/>
      </w:r>
      <w:r>
        <w:t xml:space="preserve">politik </w:t>
      </w:r>
      <w:r w:rsidR="00B00716">
        <w:t xml:space="preserve">leistet </w:t>
      </w:r>
      <w:r w:rsidR="00587957">
        <w:t>sicherlich</w:t>
      </w:r>
      <w:r w:rsidR="00B00716">
        <w:t xml:space="preserve"> einen erheblichen Beitrag zur Wohnversorgung weiter Teile der B</w:t>
      </w:r>
      <w:r w:rsidR="00B00716">
        <w:t>e</w:t>
      </w:r>
      <w:r w:rsidR="00B00716">
        <w:t>völkerung</w:t>
      </w:r>
      <w:r w:rsidR="00961901">
        <w:t>, die</w:t>
      </w:r>
      <w:r w:rsidR="00B00716">
        <w:t xml:space="preserve"> </w:t>
      </w:r>
      <w:r>
        <w:t xml:space="preserve">Wohnversorgung </w:t>
      </w:r>
      <w:r w:rsidR="00731941">
        <w:t>vieler</w:t>
      </w:r>
      <w:r w:rsidR="00B00716">
        <w:t xml:space="preserve"> </w:t>
      </w:r>
      <w:r>
        <w:t>Armuts</w:t>
      </w:r>
      <w:r w:rsidR="00731941">
        <w:t>haushalte</w:t>
      </w:r>
      <w:r>
        <w:t xml:space="preserve"> </w:t>
      </w:r>
      <w:r w:rsidR="00961901">
        <w:t xml:space="preserve">ist jedoch </w:t>
      </w:r>
      <w:r>
        <w:t xml:space="preserve">mit </w:t>
      </w:r>
      <w:r w:rsidR="00B00716">
        <w:t xml:space="preserve">folgenden </w:t>
      </w:r>
      <w:r>
        <w:t xml:space="preserve">Stichworten </w:t>
      </w:r>
      <w:r w:rsidR="00B00716">
        <w:t>zu charakterisieren</w:t>
      </w:r>
      <w:r>
        <w:t>:</w:t>
      </w:r>
    </w:p>
    <w:p w:rsidR="008E381B" w:rsidRPr="001B54D8" w:rsidRDefault="008E381B" w:rsidP="008E381B">
      <w:pPr>
        <w:pStyle w:val="Aufzhlungszeichen"/>
        <w:tabs>
          <w:tab w:val="clear" w:pos="360"/>
          <w:tab w:val="num" w:pos="1068"/>
        </w:tabs>
        <w:ind w:left="1068"/>
      </w:pPr>
      <w:r w:rsidRPr="001B54D8">
        <w:t>Überbelag</w:t>
      </w:r>
      <w:r w:rsidR="00B00716" w:rsidRPr="001B54D8">
        <w:t xml:space="preserve"> und Substandard = </w:t>
      </w:r>
      <w:r w:rsidR="00587957">
        <w:t>„</w:t>
      </w:r>
      <w:r w:rsidR="00B00716" w:rsidRPr="001B54D8">
        <w:t>Zwangssesshaftigkeit</w:t>
      </w:r>
      <w:r w:rsidR="00587957">
        <w:t>“</w:t>
      </w:r>
      <w:r w:rsidR="00B00716" w:rsidRPr="001B54D8">
        <w:t xml:space="preserve"> in zu kleinen bzw. untaugl</w:t>
      </w:r>
      <w:r w:rsidR="00B00716" w:rsidRPr="001B54D8">
        <w:t>i</w:t>
      </w:r>
      <w:r w:rsidR="00B00716" w:rsidRPr="001B54D8">
        <w:t>chen Wohnungen</w:t>
      </w:r>
    </w:p>
    <w:p w:rsidR="008E381B" w:rsidRPr="001B54D8" w:rsidRDefault="00587957" w:rsidP="008E381B">
      <w:pPr>
        <w:pStyle w:val="Aufzhlungszeichen"/>
        <w:tabs>
          <w:tab w:val="clear" w:pos="360"/>
          <w:tab w:val="num" w:pos="1068"/>
        </w:tabs>
        <w:ind w:left="1068"/>
      </w:pPr>
      <w:r>
        <w:t>„</w:t>
      </w:r>
      <w:r w:rsidR="00720922" w:rsidRPr="001B54D8">
        <w:t>Zwangsmobilität</w:t>
      </w:r>
      <w:r>
        <w:t>“</w:t>
      </w:r>
      <w:r w:rsidR="00720922" w:rsidRPr="001B54D8">
        <w:t xml:space="preserve"> durch </w:t>
      </w:r>
      <w:r w:rsidR="00B00716" w:rsidRPr="001B54D8">
        <w:t>hohe Wohnkosten</w:t>
      </w:r>
      <w:r w:rsidR="00C36E00">
        <w:t xml:space="preserve"> und</w:t>
      </w:r>
      <w:r w:rsidR="00B00716" w:rsidRPr="001B54D8">
        <w:t xml:space="preserve"> </w:t>
      </w:r>
      <w:r w:rsidR="00C36E00">
        <w:t xml:space="preserve">befristete Mietverträge am </w:t>
      </w:r>
      <w:r w:rsidR="00C93749">
        <w:br/>
      </w:r>
      <w:r w:rsidR="00C36E00">
        <w:t xml:space="preserve">privaten Wohnungsmarkt, </w:t>
      </w:r>
      <w:r w:rsidR="008E381B" w:rsidRPr="001B54D8">
        <w:t>Mietschulden und Delogierungsgefährdung</w:t>
      </w:r>
    </w:p>
    <w:p w:rsidR="008E381B" w:rsidRPr="001B54D8" w:rsidRDefault="00720922" w:rsidP="008E381B">
      <w:pPr>
        <w:pStyle w:val="Aufzhlungszeichen"/>
        <w:tabs>
          <w:tab w:val="clear" w:pos="360"/>
          <w:tab w:val="num" w:pos="1068"/>
        </w:tabs>
        <w:ind w:left="1068"/>
      </w:pPr>
      <w:r w:rsidRPr="001B54D8">
        <w:t xml:space="preserve">prekäre Wohnversorgung, </w:t>
      </w:r>
      <w:r w:rsidR="008E381B" w:rsidRPr="001B54D8">
        <w:t xml:space="preserve">Wohnungslosigkeit </w:t>
      </w:r>
      <w:r w:rsidR="00731941" w:rsidRPr="001B54D8">
        <w:t>oder</w:t>
      </w:r>
      <w:r w:rsidR="008E381B" w:rsidRPr="001B54D8">
        <w:t xml:space="preserve"> Obdachlosigkeit</w:t>
      </w:r>
      <w:r w:rsidR="008E381B" w:rsidRPr="001B54D8">
        <w:br/>
      </w:r>
    </w:p>
    <w:p w:rsidR="000614D1" w:rsidRPr="008E381B" w:rsidRDefault="008E381B" w:rsidP="007253E8">
      <w:pPr>
        <w:rPr>
          <w:rStyle w:val="SchwacherVerweis"/>
        </w:rPr>
      </w:pPr>
      <w:r w:rsidRPr="008E381B">
        <w:rPr>
          <w:rStyle w:val="SchwacherVerweis"/>
        </w:rPr>
        <w:t>Migration und Wohnen</w:t>
      </w:r>
    </w:p>
    <w:p w:rsidR="007253E8" w:rsidRDefault="000614D1" w:rsidP="007253E8">
      <w:r>
        <w:t xml:space="preserve">Die </w:t>
      </w:r>
      <w:r w:rsidR="005D178B">
        <w:t>Benachteiligung</w:t>
      </w:r>
      <w:r w:rsidR="007253E8">
        <w:t xml:space="preserve"> </w:t>
      </w:r>
      <w:r>
        <w:t>von Migrationshaushalten ist trotz Öffnung des geförderten und Gemein</w:t>
      </w:r>
      <w:r w:rsidR="004066CA">
        <w:softHyphen/>
      </w:r>
      <w:r>
        <w:t>dewohnungsmarktes</w:t>
      </w:r>
      <w:r w:rsidR="00587957">
        <w:t>,</w:t>
      </w:r>
      <w:r>
        <w:t xml:space="preserve"> seit wenigen Jahren in ganz Öste</w:t>
      </w:r>
      <w:r w:rsidR="00587957">
        <w:t>rreich weitgehend gewährleistet,</w:t>
      </w:r>
      <w:r>
        <w:t xml:space="preserve"> nach wie vor sehr erheblich und kann mit wenigen Stichworten umrissen werden</w:t>
      </w:r>
      <w:r w:rsidR="00587957">
        <w:rPr>
          <w:rStyle w:val="Funotenzeichen"/>
        </w:rPr>
        <w:footnoteReference w:id="2"/>
      </w:r>
      <w:r w:rsidR="005D178B">
        <w:t>:</w:t>
      </w:r>
    </w:p>
    <w:p w:rsidR="008464A5" w:rsidRPr="001B54D8" w:rsidRDefault="005D178B" w:rsidP="008464A5">
      <w:pPr>
        <w:pStyle w:val="Aufzhlungszeichen"/>
        <w:tabs>
          <w:tab w:val="clear" w:pos="360"/>
          <w:tab w:val="num" w:pos="720"/>
        </w:tabs>
        <w:ind w:left="720"/>
      </w:pPr>
      <w:r w:rsidRPr="001B54D8">
        <w:t>Personen ausländischer Herkunft bewohnen</w:t>
      </w:r>
      <w:r w:rsidR="008464A5" w:rsidRPr="001B54D8">
        <w:t xml:space="preserve"> in der Regel</w:t>
      </w:r>
      <w:r w:rsidR="00587957">
        <w:t xml:space="preserve"> kleinere Wohnungen</w:t>
      </w:r>
    </w:p>
    <w:p w:rsidR="008464A5" w:rsidRPr="001B54D8" w:rsidRDefault="005D178B" w:rsidP="008464A5">
      <w:pPr>
        <w:pStyle w:val="Aufzhlungszeichen"/>
        <w:tabs>
          <w:tab w:val="clear" w:pos="360"/>
          <w:tab w:val="num" w:pos="720"/>
        </w:tabs>
        <w:ind w:left="720"/>
      </w:pPr>
      <w:r w:rsidRPr="001B54D8">
        <w:t xml:space="preserve">die Wohnkostenbelastung für MigrantInnen ist wesentlich höher </w:t>
      </w:r>
    </w:p>
    <w:p w:rsidR="009A7AF4" w:rsidRDefault="009A7AF4" w:rsidP="009A7AF4">
      <w:pPr>
        <w:pStyle w:val="Aufzhlungszeichen"/>
        <w:tabs>
          <w:tab w:val="clear" w:pos="360"/>
          <w:tab w:val="num" w:pos="720"/>
        </w:tabs>
        <w:ind w:left="720"/>
      </w:pPr>
      <w:r>
        <w:lastRenderedPageBreak/>
        <w:t>MigrantInnen leben überwiegend in Städten mit mehr als 20.000 EinwohnerInnen</w:t>
      </w:r>
      <w:r w:rsidR="00C93749">
        <w:t>,</w:t>
      </w:r>
      <w:r>
        <w:t xml:space="preserve"> vor allem in Gemeinden mit einem überdurchschnittlichen </w:t>
      </w:r>
      <w:r w:rsidR="00C93749">
        <w:t>MigrantInne</w:t>
      </w:r>
      <w:r>
        <w:t>n</w:t>
      </w:r>
      <w:r w:rsidR="00C93749">
        <w:t>an</w:t>
      </w:r>
      <w:r>
        <w:t>teil. D</w:t>
      </w:r>
      <w:r w:rsidR="00C93749">
        <w:t>ie</w:t>
      </w:r>
      <w:r>
        <w:t xml:space="preserve"> </w:t>
      </w:r>
      <w:r w:rsidRPr="008464A5">
        <w:t>Segregation</w:t>
      </w:r>
      <w:r>
        <w:t xml:space="preserve"> </w:t>
      </w:r>
      <w:r w:rsidR="00C93749">
        <w:t xml:space="preserve">fällt </w:t>
      </w:r>
      <w:r>
        <w:t xml:space="preserve">bei Personen aus Afrika, Asien und der Türkei am höchsten aus. </w:t>
      </w:r>
    </w:p>
    <w:p w:rsidR="00C93749" w:rsidRDefault="00C93749" w:rsidP="00C93749"/>
    <w:p w:rsidR="00D71E93" w:rsidRDefault="00D71E93" w:rsidP="00731941">
      <w:pPr>
        <w:ind w:left="360"/>
      </w:pPr>
      <w:r w:rsidRPr="00731941">
        <w:rPr>
          <w:b/>
          <w:smallCaps/>
          <w:sz w:val="24"/>
          <w:u w:val="single"/>
        </w:rPr>
        <w:t>Sensibilität und Bewusstsein bezüglich Di</w:t>
      </w:r>
      <w:r w:rsidRPr="00731941">
        <w:rPr>
          <w:b/>
          <w:smallCaps/>
          <w:sz w:val="24"/>
          <w:u w:val="single"/>
        </w:rPr>
        <w:t>s</w:t>
      </w:r>
      <w:r w:rsidRPr="00731941">
        <w:rPr>
          <w:b/>
          <w:smallCaps/>
          <w:sz w:val="24"/>
          <w:u w:val="single"/>
        </w:rPr>
        <w:t xml:space="preserve">kriminierung </w:t>
      </w:r>
      <w:r w:rsidR="009970FD" w:rsidRPr="00731941">
        <w:rPr>
          <w:b/>
          <w:smallCaps/>
          <w:sz w:val="24"/>
          <w:u w:val="single"/>
        </w:rPr>
        <w:br/>
      </w:r>
    </w:p>
    <w:p w:rsidR="003B016E" w:rsidRDefault="003B016E" w:rsidP="007253E8">
      <w:r>
        <w:t>Die überraschend hohe Beteiligung</w:t>
      </w:r>
      <w:r w:rsidR="00587957">
        <w:rPr>
          <w:rStyle w:val="Funotenzeichen"/>
        </w:rPr>
        <w:footnoteReference w:id="3"/>
      </w:r>
      <w:r>
        <w:t xml:space="preserve"> an der Online-Erhebung spricht dafür, dass das Thema der Gleichbehandlung im Kontext der Wohnversorgung </w:t>
      </w:r>
      <w:r w:rsidR="004066CA">
        <w:t xml:space="preserve">von der Fachöffentlichkeit als </w:t>
      </w:r>
      <w:r>
        <w:t>ausg</w:t>
      </w:r>
      <w:r>
        <w:t>e</w:t>
      </w:r>
      <w:r>
        <w:t xml:space="preserve">sprochen relevant </w:t>
      </w:r>
      <w:r w:rsidR="004066CA">
        <w:t>eingeschätzt wird</w:t>
      </w:r>
      <w:r>
        <w:t>. Dementsprechend weisen viele RespondentInnen d</w:t>
      </w:r>
      <w:r>
        <w:t>a</w:t>
      </w:r>
      <w:r>
        <w:t xml:space="preserve">rauf hin, dass </w:t>
      </w:r>
      <w:r w:rsidR="004066CA">
        <w:t>gesetzliche</w:t>
      </w:r>
      <w:r>
        <w:t xml:space="preserve"> Grundlagen und administ</w:t>
      </w:r>
      <w:r w:rsidR="004066CA">
        <w:t>rative</w:t>
      </w:r>
      <w:r>
        <w:t xml:space="preserve"> Vorgabe</w:t>
      </w:r>
      <w:r w:rsidR="004066CA">
        <w:t>n</w:t>
      </w:r>
      <w:r>
        <w:t xml:space="preserve"> der Wo</w:t>
      </w:r>
      <w:r>
        <w:t>h</w:t>
      </w:r>
      <w:r>
        <w:t xml:space="preserve">nungsvergabe </w:t>
      </w:r>
      <w:r w:rsidR="004066CA">
        <w:t xml:space="preserve">insbesondere </w:t>
      </w:r>
      <w:r>
        <w:t>Haushalte mit Migrat</w:t>
      </w:r>
      <w:r>
        <w:t>i</w:t>
      </w:r>
      <w:r>
        <w:t>onshintergrund</w:t>
      </w:r>
      <w:r w:rsidR="00DC702B">
        <w:rPr>
          <w:rStyle w:val="Funotenzeichen"/>
        </w:rPr>
        <w:footnoteReference w:id="4"/>
      </w:r>
      <w:r>
        <w:t xml:space="preserve"> </w:t>
      </w:r>
      <w:r w:rsidR="004066CA">
        <w:t>tendenziell benachteiligen</w:t>
      </w:r>
      <w:r>
        <w:t xml:space="preserve">. </w:t>
      </w:r>
    </w:p>
    <w:p w:rsidR="00DC702B" w:rsidRDefault="0019487A" w:rsidP="007253E8">
      <w:r w:rsidRPr="0019487A">
        <w:rPr>
          <w:noProof/>
          <w:lang w:eastAsia="en-US"/>
        </w:rPr>
        <w:pict>
          <v:rect id="_x0000_s1026" style="position:absolute;margin-left:0;margin-top:253.15pt;width:188.65pt;height:149.05pt;rotation:-360;z-index:251660288;mso-position-horizontal-relative:margin;mso-position-vertical-relative:margin;mso-width-relative:margin;mso-height-relative:margin" o:allowincell="f" filled="f" fillcolor="#4f81bd [3204]" stroked="f">
            <v:imagedata embosscolor="shadow add(51)"/>
            <v:shadow type="emboss" color="lineOrFill darken(153)" color2="shadow add(102)" offset="1pt,1pt"/>
            <v:textbox style="mso-next-textbox:#_x0000_s1026;mso-fit-shape-to-text:t" inset=",7.2pt,,7.2pt">
              <w:txbxContent>
                <w:p w:rsidR="003714AC" w:rsidRDefault="003714AC" w:rsidP="00EC2A9E">
                  <w:pPr>
                    <w:pBdr>
                      <w:top w:val="single" w:sz="24" w:space="10" w:color="CDDDAC" w:themeColor="accent3" w:themeTint="7F"/>
                      <w:bottom w:val="single" w:sz="24" w:space="10" w:color="CDDDAC" w:themeColor="accent3" w:themeTint="7F"/>
                    </w:pBdr>
                    <w:spacing w:after="0"/>
                    <w:rPr>
                      <w:i/>
                      <w:iCs/>
                      <w:color w:val="7F7F7F" w:themeColor="background1" w:themeShade="7F"/>
                      <w:sz w:val="24"/>
                      <w:szCs w:val="28"/>
                    </w:rPr>
                  </w:pPr>
                  <w:r w:rsidRPr="000420FB">
                    <w:rPr>
                      <w:i/>
                      <w:iCs/>
                      <w:color w:val="7F7F7F" w:themeColor="background1" w:themeShade="7F"/>
                      <w:sz w:val="24"/>
                      <w:szCs w:val="28"/>
                    </w:rPr>
                    <w:t xml:space="preserve">„Wenn jemand den </w:t>
                  </w:r>
                  <w:r>
                    <w:rPr>
                      <w:i/>
                      <w:iCs/>
                      <w:color w:val="7F7F7F" w:themeColor="background1" w:themeShade="7F"/>
                      <w:sz w:val="24"/>
                      <w:szCs w:val="28"/>
                    </w:rPr>
                    <w:t xml:space="preserve">Schritt zur Anmeldung </w:t>
                  </w:r>
                  <w:r w:rsidRPr="000420FB">
                    <w:rPr>
                      <w:i/>
                      <w:iCs/>
                      <w:color w:val="7F7F7F" w:themeColor="background1" w:themeShade="7F"/>
                      <w:sz w:val="24"/>
                      <w:szCs w:val="28"/>
                    </w:rPr>
                    <w:t>geschafft hat, dann gibt es keine Diskriminierung!“</w:t>
                  </w:r>
                </w:p>
                <w:p w:rsidR="003714AC" w:rsidRPr="000420FB" w:rsidRDefault="003714AC" w:rsidP="00EC2A9E">
                  <w:pPr>
                    <w:pBdr>
                      <w:top w:val="single" w:sz="24" w:space="10" w:color="CDDDAC" w:themeColor="accent3" w:themeTint="7F"/>
                      <w:bottom w:val="single" w:sz="24" w:space="10" w:color="CDDDAC" w:themeColor="accent3" w:themeTint="7F"/>
                    </w:pBdr>
                    <w:spacing w:after="0"/>
                    <w:rPr>
                      <w:i/>
                      <w:iCs/>
                      <w:color w:val="7F7F7F" w:themeColor="background1" w:themeShade="7F"/>
                      <w:sz w:val="24"/>
                      <w:szCs w:val="28"/>
                    </w:rPr>
                  </w:pPr>
                  <w:r>
                    <w:rPr>
                      <w:i/>
                      <w:iCs/>
                      <w:color w:val="7F7F7F" w:themeColor="background1" w:themeShade="7F"/>
                      <w:sz w:val="24"/>
                      <w:szCs w:val="28"/>
                    </w:rPr>
                    <w:t>(Einschätzung eines gemein</w:t>
                  </w:r>
                  <w:r>
                    <w:rPr>
                      <w:i/>
                      <w:iCs/>
                      <w:color w:val="7F7F7F" w:themeColor="background1" w:themeShade="7F"/>
                      <w:sz w:val="24"/>
                      <w:szCs w:val="28"/>
                    </w:rPr>
                    <w:softHyphen/>
                    <w:t>nützigen Wohnbauträgers)</w:t>
                  </w:r>
                </w:p>
              </w:txbxContent>
            </v:textbox>
            <w10:wrap type="square" anchorx="margin" anchory="margin"/>
          </v:rect>
        </w:pict>
      </w:r>
      <w:r w:rsidR="00DC702B">
        <w:t xml:space="preserve">Es handelt sich </w:t>
      </w:r>
      <w:r w:rsidR="00587957">
        <w:t xml:space="preserve">nach Ansicht der RespondentInnen </w:t>
      </w:r>
      <w:r w:rsidR="00DC702B">
        <w:t>vor allem um Fragen des Zugangs (I</w:t>
      </w:r>
      <w:r w:rsidR="00DC702B">
        <w:t>n</w:t>
      </w:r>
      <w:r w:rsidR="00DC702B">
        <w:t>formation, Transparenz etc.) sowie der Leistbarkeit (finanzielle Eintrittshürden, hohe Mieten, unzureichende bzw. selektive Fördermöglichkeiten), die dazu führen, dass die soziale Wohnpolitik InländerInnen wie Au</w:t>
      </w:r>
      <w:r w:rsidR="00DC702B">
        <w:t>s</w:t>
      </w:r>
      <w:r w:rsidR="00DC702B">
        <w:t xml:space="preserve">länderInnen </w:t>
      </w:r>
      <w:r w:rsidR="004066CA">
        <w:t xml:space="preserve">nicht gleichermaßen </w:t>
      </w:r>
      <w:r w:rsidR="00DC702B">
        <w:t>mit kostengünst</w:t>
      </w:r>
      <w:r w:rsidR="00DC702B">
        <w:t>i</w:t>
      </w:r>
      <w:r w:rsidR="00DC702B">
        <w:t>g</w:t>
      </w:r>
      <w:r w:rsidR="004066CA">
        <w:t>en adäquaten Wohnungen ve</w:t>
      </w:r>
      <w:r w:rsidR="004066CA">
        <w:t>r</w:t>
      </w:r>
      <w:r w:rsidR="004066CA">
        <w:t>sorgt</w:t>
      </w:r>
      <w:r w:rsidR="00DC702B">
        <w:t>.</w:t>
      </w:r>
    </w:p>
    <w:p w:rsidR="00E759CA" w:rsidRDefault="00353B11" w:rsidP="007253E8">
      <w:r>
        <w:t xml:space="preserve">Als problematisch werden vorrangig </w:t>
      </w:r>
      <w:r w:rsidR="004066CA">
        <w:t>strukturelle</w:t>
      </w:r>
      <w:r>
        <w:t xml:space="preserve"> Rahmenbedingungen</w:t>
      </w:r>
      <w:r w:rsidR="004066CA">
        <w:t>,</w:t>
      </w:r>
      <w:r>
        <w:t xml:space="preserve"> </w:t>
      </w:r>
      <w:r w:rsidR="004066CA">
        <w:t>gesetzliche</w:t>
      </w:r>
      <w:r>
        <w:t xml:space="preserve"> Besti</w:t>
      </w:r>
      <w:r>
        <w:t>m</w:t>
      </w:r>
      <w:r>
        <w:t xml:space="preserve">mungen und </w:t>
      </w:r>
      <w:r w:rsidR="004066CA">
        <w:t xml:space="preserve">administrative </w:t>
      </w:r>
      <w:r>
        <w:t>R</w:t>
      </w:r>
      <w:r w:rsidR="00402DF5">
        <w:t xml:space="preserve">ichtlinien </w:t>
      </w:r>
      <w:r w:rsidR="004066CA">
        <w:t xml:space="preserve">für die Wohnungsvergabe </w:t>
      </w:r>
      <w:r w:rsidR="00402DF5">
        <w:t>erachtet.</w:t>
      </w:r>
      <w:r w:rsidR="004066CA">
        <w:t xml:space="preserve"> </w:t>
      </w:r>
      <w:r w:rsidR="00402DF5">
        <w:t>ExpertInnen</w:t>
      </w:r>
      <w:r w:rsidR="006C507A">
        <w:t xml:space="preserve"> aus der Wohnungsvergabe</w:t>
      </w:r>
      <w:r w:rsidR="00402DF5">
        <w:t xml:space="preserve"> </w:t>
      </w:r>
      <w:r w:rsidR="00E759CA">
        <w:t xml:space="preserve">legen </w:t>
      </w:r>
      <w:r w:rsidR="00BA3499">
        <w:t xml:space="preserve">in den Interviews und Gesprächsrunden </w:t>
      </w:r>
      <w:r w:rsidR="00402DF5">
        <w:t>auf die Feststellung Wert, dass die Wohnungsvergabe diskriminierungsfrei gehandhabt wird.</w:t>
      </w:r>
      <w:r w:rsidR="000420FB">
        <w:t xml:space="preserve"> </w:t>
      </w:r>
      <w:r w:rsidR="00BA3499">
        <w:t>Ihrer Einschätzung nach</w:t>
      </w:r>
      <w:r w:rsidR="000420FB">
        <w:t xml:space="preserve"> werden gemäß den Vergaberichtlinien die relevanten </w:t>
      </w:r>
      <w:r w:rsidR="004066CA">
        <w:t xml:space="preserve">Aspekte </w:t>
      </w:r>
      <w:r w:rsidR="000420FB">
        <w:t>der Wohn- und Lebenss</w:t>
      </w:r>
      <w:r w:rsidR="000420FB">
        <w:t>i</w:t>
      </w:r>
      <w:r w:rsidR="000420FB">
        <w:t>tuation der Wohnungswerb</w:t>
      </w:r>
      <w:r w:rsidR="004066CA">
        <w:t>erInnen erfasst</w:t>
      </w:r>
      <w:r w:rsidR="000420FB">
        <w:t xml:space="preserve"> und bewertet. Fragen der Staatsbürgerschaft und / oder der ethnischen Herkunf</w:t>
      </w:r>
      <w:r w:rsidR="00EC2A9E">
        <w:t xml:space="preserve">t spielen dabei </w:t>
      </w:r>
      <w:r w:rsidR="00E759CA">
        <w:t>dem</w:t>
      </w:r>
      <w:r w:rsidR="004066CA">
        <w:t xml:space="preserve">nach auf der formellen Ebene </w:t>
      </w:r>
      <w:r w:rsidR="00EC2A9E">
        <w:t>keine Rolle. Der</w:t>
      </w:r>
      <w:r w:rsidR="000420FB">
        <w:t xml:space="preserve"> jeweils individuelle Wohn</w:t>
      </w:r>
      <w:r w:rsidR="00EC2A9E">
        <w:t xml:space="preserve">bedarf (in Bezug auf Haushaltszusammensetzung und </w:t>
      </w:r>
      <w:r w:rsidR="008D7C12">
        <w:t>–</w:t>
      </w:r>
      <w:r w:rsidR="00EC2A9E">
        <w:t>einkom</w:t>
      </w:r>
      <w:r w:rsidR="008D7C12">
        <w:softHyphen/>
      </w:r>
      <w:r w:rsidR="00EC2A9E">
        <w:t>men, aktuelle Wohnsituation oder Dringlichkeit einer Wohnversorgung etc.)</w:t>
      </w:r>
      <w:r w:rsidR="000420FB">
        <w:t xml:space="preserve"> </w:t>
      </w:r>
      <w:r w:rsidR="00EC2A9E">
        <w:t>mündet in eine Reihung nach Dringlichkeitspunkten</w:t>
      </w:r>
      <w:r w:rsidR="00112983">
        <w:t xml:space="preserve"> (Warteliste)</w:t>
      </w:r>
      <w:r w:rsidR="000420FB">
        <w:t xml:space="preserve">, die letztlich darüber bestimmt, wann ein </w:t>
      </w:r>
      <w:r w:rsidR="000420FB">
        <w:lastRenderedPageBreak/>
        <w:t xml:space="preserve">konkreter Wohnungswunsch </w:t>
      </w:r>
      <w:r w:rsidR="00112983">
        <w:t>durch die</w:t>
      </w:r>
      <w:r w:rsidR="000420FB">
        <w:t xml:space="preserve"> Zuteilung einer passenden Wohnung erfüllt werden kann.</w:t>
      </w:r>
      <w:r w:rsidR="00E55EA8">
        <w:t xml:space="preserve"> </w:t>
      </w:r>
    </w:p>
    <w:p w:rsidR="00402DF5" w:rsidRDefault="0019487A" w:rsidP="007253E8">
      <w:r>
        <w:rPr>
          <w:noProof/>
          <w:lang w:val="de-AT" w:eastAsia="de-A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34" type="#_x0000_t186" style="position:absolute;margin-left:26.8pt;margin-top:45.25pt;width:134.15pt;height:177.25pt;rotation:-90;z-index:251665408;mso-width-percent:300;mso-position-horizontal-relative:margin;mso-position-vertical-relative:margin;mso-width-percent:300" o:allowincell="f" filled="t" strokecolor="#82acd0" strokeweight="1.25pt">
            <v:shadow opacity=".5"/>
            <v:textbox style="mso-next-textbox:#_x0000_s1034;mso-fit-shape-to-text:t" inset="21.6pt,,21.6pt">
              <w:txbxContent>
                <w:p w:rsidR="003714AC" w:rsidRPr="007D6CEE" w:rsidRDefault="003714AC" w:rsidP="00E759CA">
                  <w:pPr>
                    <w:spacing w:after="0" w:line="240" w:lineRule="auto"/>
                    <w:rPr>
                      <w:rFonts w:asciiTheme="majorHAnsi" w:eastAsiaTheme="majorEastAsia" w:hAnsiTheme="majorHAnsi" w:cstheme="majorBidi"/>
                      <w:color w:val="B3CC82" w:themeColor="accent3" w:themeTint="BF"/>
                      <w:sz w:val="24"/>
                      <w:szCs w:val="32"/>
                    </w:rPr>
                  </w:pPr>
                  <w:r w:rsidRPr="007D6CEE">
                    <w:rPr>
                      <w:rFonts w:asciiTheme="majorHAnsi" w:eastAsiaTheme="majorEastAsia" w:hAnsiTheme="majorHAnsi" w:cstheme="majorBidi"/>
                      <w:color w:val="B3CC82" w:themeColor="accent3" w:themeTint="BF"/>
                      <w:sz w:val="24"/>
                      <w:szCs w:val="32"/>
                    </w:rPr>
                    <w:t xml:space="preserve">„Die angestrebte Transparenz ist bei uns </w:t>
                  </w:r>
                  <w:r>
                    <w:rPr>
                      <w:rFonts w:asciiTheme="majorHAnsi" w:eastAsiaTheme="majorEastAsia" w:hAnsiTheme="majorHAnsi" w:cstheme="majorBidi"/>
                      <w:color w:val="B3CC82" w:themeColor="accent3" w:themeTint="BF"/>
                      <w:sz w:val="24"/>
                      <w:szCs w:val="32"/>
                    </w:rPr>
                    <w:t>und</w:t>
                  </w:r>
                  <w:r w:rsidRPr="007D6CEE">
                    <w:rPr>
                      <w:rFonts w:asciiTheme="majorHAnsi" w:eastAsiaTheme="majorEastAsia" w:hAnsiTheme="majorHAnsi" w:cstheme="majorBidi"/>
                      <w:color w:val="B3CC82" w:themeColor="accent3" w:themeTint="BF"/>
                      <w:sz w:val="24"/>
                      <w:szCs w:val="32"/>
                    </w:rPr>
                    <w:t xml:space="preserve"> unseren Klie</w:t>
                  </w:r>
                  <w:r w:rsidRPr="007D6CEE">
                    <w:rPr>
                      <w:rFonts w:asciiTheme="majorHAnsi" w:eastAsiaTheme="majorEastAsia" w:hAnsiTheme="majorHAnsi" w:cstheme="majorBidi"/>
                      <w:color w:val="B3CC82" w:themeColor="accent3" w:themeTint="BF"/>
                      <w:sz w:val="24"/>
                      <w:szCs w:val="32"/>
                    </w:rPr>
                    <w:t>n</w:t>
                  </w:r>
                  <w:r w:rsidRPr="007D6CEE">
                    <w:rPr>
                      <w:rFonts w:asciiTheme="majorHAnsi" w:eastAsiaTheme="majorEastAsia" w:hAnsiTheme="majorHAnsi" w:cstheme="majorBidi"/>
                      <w:color w:val="B3CC82" w:themeColor="accent3" w:themeTint="BF"/>
                      <w:sz w:val="24"/>
                      <w:szCs w:val="32"/>
                    </w:rPr>
                    <w:t>tInnen noch nicht angeko</w:t>
                  </w:r>
                  <w:r w:rsidRPr="007D6CEE">
                    <w:rPr>
                      <w:rFonts w:asciiTheme="majorHAnsi" w:eastAsiaTheme="majorEastAsia" w:hAnsiTheme="majorHAnsi" w:cstheme="majorBidi"/>
                      <w:color w:val="B3CC82" w:themeColor="accent3" w:themeTint="BF"/>
                      <w:sz w:val="24"/>
                      <w:szCs w:val="32"/>
                    </w:rPr>
                    <w:t>m</w:t>
                  </w:r>
                  <w:r w:rsidRPr="007D6CEE">
                    <w:rPr>
                      <w:rFonts w:asciiTheme="majorHAnsi" w:eastAsiaTheme="majorEastAsia" w:hAnsiTheme="majorHAnsi" w:cstheme="majorBidi"/>
                      <w:color w:val="B3CC82" w:themeColor="accent3" w:themeTint="BF"/>
                      <w:sz w:val="24"/>
                      <w:szCs w:val="32"/>
                    </w:rPr>
                    <w:t>men.“</w:t>
                  </w:r>
                </w:p>
                <w:p w:rsidR="003714AC" w:rsidRPr="007D6CEE" w:rsidRDefault="003714AC" w:rsidP="00E759CA">
                  <w:pPr>
                    <w:spacing w:after="0" w:line="240" w:lineRule="auto"/>
                    <w:jc w:val="right"/>
                    <w:rPr>
                      <w:rFonts w:asciiTheme="majorHAnsi" w:eastAsiaTheme="majorEastAsia" w:hAnsiTheme="majorHAnsi" w:cstheme="majorBidi"/>
                      <w:color w:val="B3CC82" w:themeColor="accent3" w:themeTint="BF"/>
                      <w:sz w:val="24"/>
                      <w:szCs w:val="32"/>
                    </w:rPr>
                  </w:pPr>
                  <w:r w:rsidRPr="007D6CEE">
                    <w:rPr>
                      <w:rFonts w:asciiTheme="majorHAnsi" w:eastAsiaTheme="majorEastAsia" w:hAnsiTheme="majorHAnsi" w:cstheme="majorBidi"/>
                      <w:color w:val="B3CC82" w:themeColor="accent3" w:themeTint="BF"/>
                      <w:sz w:val="24"/>
                      <w:szCs w:val="32"/>
                    </w:rPr>
                    <w:t>(Beratungseinrichtung)</w:t>
                  </w:r>
                </w:p>
              </w:txbxContent>
            </v:textbox>
            <w10:wrap type="square" anchorx="margin" anchory="margin"/>
          </v:shape>
        </w:pict>
      </w:r>
      <w:r w:rsidR="00E55EA8">
        <w:t xml:space="preserve">Die Feststellung, dass die Praxis der Wohnungsvergabe diskriminierungsfrei erfolgt, wird von ExpertInnen von Beratungsstellen und NGOs </w:t>
      </w:r>
      <w:r w:rsidR="00F708A3">
        <w:t>mit dem Hinweis auf Erfahrungen ihrer KlientInnen und en</w:t>
      </w:r>
      <w:r w:rsidR="00F708A3">
        <w:t>t</w:t>
      </w:r>
      <w:r w:rsidR="00F708A3">
        <w:t>sprechenden Beschwerden</w:t>
      </w:r>
      <w:r w:rsidR="00E55EA8">
        <w:t xml:space="preserve"> relativiert.</w:t>
      </w:r>
      <w:r w:rsidR="00F708A3">
        <w:t xml:space="preserve"> Insbesondere kritisieren die Einrichtu</w:t>
      </w:r>
      <w:r w:rsidR="00F708A3">
        <w:t>n</w:t>
      </w:r>
      <w:r w:rsidR="00F708A3">
        <w:t>gen fehlende Transparenz, die auch die Beratung von wohnungssuchenden Menschen e</w:t>
      </w:r>
      <w:r w:rsidR="00F708A3">
        <w:t>r</w:t>
      </w:r>
      <w:r w:rsidR="00F708A3">
        <w:t>schwert und häufig gezielte Nachfragen und Interventionen erforderlich macht.</w:t>
      </w:r>
    </w:p>
    <w:p w:rsidR="00720922" w:rsidRDefault="00EC2A9E" w:rsidP="009970FD">
      <w:pPr>
        <w:rPr>
          <w:b/>
          <w:smallCaps/>
          <w:sz w:val="24"/>
          <w:u w:val="single"/>
        </w:rPr>
      </w:pPr>
      <w:r>
        <w:t xml:space="preserve">Die Wohnungsvergabe selbst erweist sich </w:t>
      </w:r>
      <w:r w:rsidR="00112983">
        <w:t xml:space="preserve">in der kritischen Diskussion mit ExpertInnen </w:t>
      </w:r>
      <w:r>
        <w:t>insb</w:t>
      </w:r>
      <w:r>
        <w:t>e</w:t>
      </w:r>
      <w:r>
        <w:t>sondere da</w:t>
      </w:r>
      <w:r w:rsidR="00112983">
        <w:t>nn</w:t>
      </w:r>
      <w:r>
        <w:t xml:space="preserve"> als kompliziert, </w:t>
      </w:r>
      <w:r w:rsidR="00112983">
        <w:t>wenn</w:t>
      </w:r>
      <w:r>
        <w:t xml:space="preserve"> in diesem Rahmen auch auf Fragen des Zusammenle</w:t>
      </w:r>
      <w:r w:rsidR="007D6CEE">
        <w:softHyphen/>
      </w:r>
      <w:r>
        <w:t xml:space="preserve">bens und der Integration im Wohnumfeld </w:t>
      </w:r>
      <w:r w:rsidR="009970FD">
        <w:t xml:space="preserve">eingegangen werden </w:t>
      </w:r>
      <w:r w:rsidR="00180EBC">
        <w:t xml:space="preserve">muss, um </w:t>
      </w:r>
      <w:r w:rsidR="00E55EA8">
        <w:t xml:space="preserve">befürchteten </w:t>
      </w:r>
      <w:r w:rsidR="00180EBC">
        <w:t>s</w:t>
      </w:r>
      <w:r w:rsidR="00180EBC">
        <w:t>o</w:t>
      </w:r>
      <w:r w:rsidR="00180EBC">
        <w:t xml:space="preserve">zialen </w:t>
      </w:r>
      <w:r w:rsidR="007D6CEE">
        <w:t>oder</w:t>
      </w:r>
      <w:r w:rsidR="00E55EA8">
        <w:t xml:space="preserve"> </w:t>
      </w:r>
      <w:r w:rsidR="00180EBC">
        <w:t>ethnischen Konflikten vorbeugen zu können</w:t>
      </w:r>
      <w:r w:rsidR="009970FD">
        <w:t>.</w:t>
      </w:r>
      <w:r w:rsidR="00D71E93">
        <w:t xml:space="preserve"> </w:t>
      </w:r>
      <w:r w:rsidR="00F708A3">
        <w:br/>
      </w:r>
    </w:p>
    <w:p w:rsidR="00D71E93" w:rsidRPr="00731941" w:rsidRDefault="00D71E93" w:rsidP="00731941">
      <w:pPr>
        <w:ind w:left="360"/>
        <w:rPr>
          <w:b/>
          <w:smallCaps/>
          <w:sz w:val="24"/>
          <w:u w:val="single"/>
        </w:rPr>
      </w:pPr>
      <w:r w:rsidRPr="00731941">
        <w:rPr>
          <w:b/>
          <w:smallCaps/>
          <w:sz w:val="24"/>
          <w:u w:val="single"/>
        </w:rPr>
        <w:t>Leitbilder der kommunalen / regionalen Wohnpolitik</w:t>
      </w:r>
      <w:r w:rsidR="009970FD" w:rsidRPr="00731941">
        <w:rPr>
          <w:b/>
          <w:smallCaps/>
          <w:sz w:val="24"/>
          <w:u w:val="single"/>
        </w:rPr>
        <w:br/>
      </w:r>
    </w:p>
    <w:p w:rsidR="00D71E93" w:rsidRDefault="009E2C3B" w:rsidP="007253E8">
      <w:r>
        <w:t>Die kommunale / regionale Wohnpolitik steht im Kontext des österreichischen Modells einer sozialen Wohnpolitik allem voran unter einem integrativ angelegten Leitbild zur Gewähr</w:t>
      </w:r>
      <w:r w:rsidR="0046092E">
        <w:softHyphen/>
      </w:r>
      <w:r w:rsidR="0019487A" w:rsidRPr="0019487A">
        <w:rPr>
          <w:noProof/>
          <w:lang w:eastAsia="en-US"/>
        </w:rPr>
        <w:pict>
          <v:rect id="_x0000_s1028" style="position:absolute;margin-left:.7pt;margin-top:442.9pt;width:181.1pt;height:149.05pt;rotation:-360;z-index:251662336;mso-width-percent:400;mso-position-horizontal-relative:margin;mso-position-vertical-relative:margin;mso-width-percent:400;mso-width-relative:margin;mso-height-relative:margin" o:allowincell="f" filled="f" fillcolor="#4f81bd [3204]" stroked="f">
            <v:imagedata embosscolor="shadow add(51)"/>
            <v:shadow type="emboss" color="lineOrFill darken(153)" color2="shadow add(102)" offset="1pt,1pt"/>
            <v:textbox style="mso-next-textbox:#_x0000_s1028;mso-fit-shape-to-text:t" inset=",7.2pt,,7.2pt">
              <w:txbxContent>
                <w:p w:rsidR="003714AC" w:rsidRDefault="003714AC" w:rsidP="005C4275">
                  <w:pPr>
                    <w:pBdr>
                      <w:top w:val="single" w:sz="24" w:space="10" w:color="CDDDAC" w:themeColor="accent3" w:themeTint="7F"/>
                      <w:bottom w:val="single" w:sz="24" w:space="10" w:color="CDDDAC" w:themeColor="accent3" w:themeTint="7F"/>
                    </w:pBdr>
                    <w:spacing w:after="0"/>
                    <w:rPr>
                      <w:i/>
                      <w:iCs/>
                      <w:color w:val="7F7F7F" w:themeColor="background1" w:themeShade="7F"/>
                      <w:sz w:val="24"/>
                      <w:szCs w:val="28"/>
                    </w:rPr>
                  </w:pPr>
                  <w:r>
                    <w:rPr>
                      <w:i/>
                      <w:iCs/>
                      <w:color w:val="7F7F7F" w:themeColor="background1" w:themeShade="7F"/>
                      <w:sz w:val="24"/>
                      <w:szCs w:val="28"/>
                    </w:rPr>
                    <w:t>„</w:t>
                  </w:r>
                  <w:r w:rsidRPr="005C4275">
                    <w:rPr>
                      <w:i/>
                      <w:iCs/>
                      <w:color w:val="7F7F7F" w:themeColor="background1" w:themeShade="7F"/>
                      <w:sz w:val="24"/>
                      <w:szCs w:val="28"/>
                    </w:rPr>
                    <w:t>Die Vergabe ist kein Problem, auf das Zusammenleben kommt es an</w:t>
                  </w:r>
                  <w:r>
                    <w:rPr>
                      <w:i/>
                      <w:iCs/>
                      <w:color w:val="7F7F7F" w:themeColor="background1" w:themeShade="7F"/>
                      <w:sz w:val="24"/>
                      <w:szCs w:val="28"/>
                    </w:rPr>
                    <w:t xml:space="preserve">.“ </w:t>
                  </w:r>
                </w:p>
                <w:p w:rsidR="003714AC" w:rsidRPr="005C4275" w:rsidRDefault="003714AC" w:rsidP="005C4275">
                  <w:pPr>
                    <w:pBdr>
                      <w:top w:val="single" w:sz="24" w:space="10" w:color="CDDDAC" w:themeColor="accent3" w:themeTint="7F"/>
                      <w:bottom w:val="single" w:sz="24" w:space="10" w:color="CDDDAC" w:themeColor="accent3" w:themeTint="7F"/>
                    </w:pBdr>
                    <w:spacing w:after="0"/>
                    <w:rPr>
                      <w:i/>
                      <w:iCs/>
                      <w:color w:val="7F7F7F" w:themeColor="background1" w:themeShade="7F"/>
                      <w:sz w:val="24"/>
                      <w:szCs w:val="28"/>
                    </w:rPr>
                  </w:pPr>
                  <w:r>
                    <w:rPr>
                      <w:i/>
                      <w:iCs/>
                      <w:color w:val="7F7F7F" w:themeColor="background1" w:themeShade="7F"/>
                      <w:sz w:val="24"/>
                      <w:szCs w:val="28"/>
                    </w:rPr>
                    <w:t>(Einschätzung eines gemein</w:t>
                  </w:r>
                  <w:r>
                    <w:rPr>
                      <w:i/>
                      <w:iCs/>
                      <w:color w:val="7F7F7F" w:themeColor="background1" w:themeShade="7F"/>
                      <w:sz w:val="24"/>
                      <w:szCs w:val="28"/>
                    </w:rPr>
                    <w:softHyphen/>
                    <w:t>nützigen Wohnbauträgers)</w:t>
                  </w:r>
                </w:p>
              </w:txbxContent>
            </v:textbox>
            <w10:wrap type="square" anchorx="margin" anchory="margin"/>
          </v:rect>
        </w:pict>
      </w:r>
      <w:r>
        <w:t>leistung einer hohen Wohnqualität für breite Teile der Bevölkerung, das auch Teile der Mi</w:t>
      </w:r>
      <w:r>
        <w:t>t</w:t>
      </w:r>
      <w:r>
        <w:t>telschicht in den AdressatInnenkreis für Angebote der Wohnversorgung einschließt. Aufg</w:t>
      </w:r>
      <w:r>
        <w:t>a</w:t>
      </w:r>
      <w:r>
        <w:t xml:space="preserve">ben der Ökologie und des Klimaschutzes wurden in den vergangenen Jahrzehnten verstärkt mit in den Aufgabenkreis der Wohnpolitik und den entsprechenden Förderrahmen aufgenommen. Demgegenüber kommt sozialen Agenden wie etwa </w:t>
      </w:r>
      <w:r w:rsidR="00A9192C">
        <w:t>der</w:t>
      </w:r>
      <w:r>
        <w:t xml:space="preserve"> </w:t>
      </w:r>
      <w:r w:rsidR="00A9192C">
        <w:t xml:space="preserve">Wohnversorgung </w:t>
      </w:r>
      <w:r>
        <w:t xml:space="preserve">von </w:t>
      </w:r>
      <w:r w:rsidR="00A9192C">
        <w:t>Hausha</w:t>
      </w:r>
      <w:r w:rsidR="00A9192C">
        <w:t>l</w:t>
      </w:r>
      <w:r w:rsidR="00A9192C">
        <w:t xml:space="preserve">ten in </w:t>
      </w:r>
      <w:r>
        <w:t xml:space="preserve">Armutsverhältnissen eine </w:t>
      </w:r>
      <w:r w:rsidR="00A9192C">
        <w:t xml:space="preserve">zwar </w:t>
      </w:r>
      <w:r>
        <w:t xml:space="preserve">wichtige </w:t>
      </w:r>
      <w:r w:rsidR="00A9192C">
        <w:t>aber</w:t>
      </w:r>
      <w:r>
        <w:t xml:space="preserve"> doch </w:t>
      </w:r>
      <w:r w:rsidR="00A9192C">
        <w:t xml:space="preserve">eher </w:t>
      </w:r>
      <w:r>
        <w:t>nachrangige Bede</w:t>
      </w:r>
      <w:r>
        <w:t>u</w:t>
      </w:r>
      <w:r>
        <w:t xml:space="preserve">tung zu. </w:t>
      </w:r>
    </w:p>
    <w:p w:rsidR="009E2C3B" w:rsidRDefault="009E2C3B" w:rsidP="007253E8">
      <w:r>
        <w:t xml:space="preserve">Erst in den letzten Jahren sind verstärkt auch Aufgaben im Rahmen der Integration von Haushalten mit Migrationshintergrund zu einem Tätigkeitsschwerpunkt der Agenturen des öffentlichen Wohnungsmarktes geworden. </w:t>
      </w:r>
    </w:p>
    <w:p w:rsidR="007D6CEE" w:rsidRDefault="007D6CEE">
      <w:pPr>
        <w:spacing w:before="180" w:after="240" w:line="336" w:lineRule="auto"/>
        <w:jc w:val="center"/>
      </w:pPr>
      <w:r>
        <w:br w:type="page"/>
      </w:r>
    </w:p>
    <w:p w:rsidR="009E2C3B" w:rsidRDefault="009E2C3B" w:rsidP="007253E8">
      <w:r>
        <w:lastRenderedPageBreak/>
        <w:t xml:space="preserve">In der Analyse der handlungsleitenden Leitsätze und Zielsetzungen für die konkrete Vergabe von öffentlich geförderten bzw. von Gemeindewohnungen wird deutlich, dass </w:t>
      </w:r>
      <w:r w:rsidR="00C63F08">
        <w:t>insbesondere</w:t>
      </w:r>
      <w:r>
        <w:t xml:space="preserve"> die kommunalen Wohnungsämter sowie d</w:t>
      </w:r>
      <w:r w:rsidR="003D6EA6">
        <w:t>ie gemeinnützigen Wohnbauträger</w:t>
      </w:r>
      <w:r>
        <w:t xml:space="preserve"> sich folgendem Zielrahmen verpflichtet fühlen:</w:t>
      </w:r>
    </w:p>
    <w:p w:rsidR="009E2C3B" w:rsidRDefault="003672C9" w:rsidP="009E2C3B">
      <w:pPr>
        <w:pStyle w:val="Aufzhlungszeichen"/>
        <w:tabs>
          <w:tab w:val="clear" w:pos="360"/>
          <w:tab w:val="num" w:pos="1068"/>
        </w:tabs>
        <w:ind w:left="1068"/>
      </w:pPr>
      <w:r>
        <w:t xml:space="preserve">Förderung von Integration durch </w:t>
      </w:r>
      <w:r w:rsidR="003D6EA6">
        <w:t>ausgewogene</w:t>
      </w:r>
      <w:r>
        <w:t xml:space="preserve"> Durchmischung</w:t>
      </w:r>
      <w:r w:rsidRPr="003672C9">
        <w:t xml:space="preserve"> </w:t>
      </w:r>
      <w:r>
        <w:t>nach sozialen s</w:t>
      </w:r>
      <w:r>
        <w:t>o</w:t>
      </w:r>
      <w:r>
        <w:t>wie ethnischen Kriterien</w:t>
      </w:r>
    </w:p>
    <w:p w:rsidR="003672C9" w:rsidRDefault="003672C9" w:rsidP="009E2C3B">
      <w:pPr>
        <w:pStyle w:val="Aufzhlungszeichen"/>
        <w:tabs>
          <w:tab w:val="clear" w:pos="360"/>
          <w:tab w:val="num" w:pos="1068"/>
        </w:tabs>
        <w:ind w:left="1068"/>
      </w:pPr>
      <w:r>
        <w:t>Vermeidung von Ghettobildung</w:t>
      </w:r>
    </w:p>
    <w:p w:rsidR="003672C9" w:rsidRDefault="003672C9" w:rsidP="009E2C3B">
      <w:pPr>
        <w:pStyle w:val="Aufzhlungszeichen"/>
        <w:tabs>
          <w:tab w:val="clear" w:pos="360"/>
          <w:tab w:val="num" w:pos="1068"/>
        </w:tabs>
        <w:ind w:left="1068"/>
      </w:pPr>
      <w:r>
        <w:t xml:space="preserve">Prävention von Tendenzen zur </w:t>
      </w:r>
      <w:r w:rsidR="0046092E">
        <w:t xml:space="preserve">Ausbildung bzw. </w:t>
      </w:r>
      <w:r>
        <w:t>Verfestigung von parallelgesel</w:t>
      </w:r>
      <w:r>
        <w:t>l</w:t>
      </w:r>
      <w:r>
        <w:t>schaftlichen Strukturen</w:t>
      </w:r>
    </w:p>
    <w:p w:rsidR="009E2C3B" w:rsidRDefault="003672C9" w:rsidP="007253E8">
      <w:r>
        <w:t xml:space="preserve">Demgegenüber </w:t>
      </w:r>
      <w:r w:rsidR="00454689">
        <w:t>f</w:t>
      </w:r>
      <w:r>
        <w:t>ind</w:t>
      </w:r>
      <w:r w:rsidR="00454689">
        <w:t>en diese Zielsetzungen bei</w:t>
      </w:r>
      <w:r>
        <w:t xml:space="preserve"> private</w:t>
      </w:r>
      <w:r w:rsidR="00454689">
        <w:t>n</w:t>
      </w:r>
      <w:r>
        <w:t xml:space="preserve"> Bauträger</w:t>
      </w:r>
      <w:r w:rsidR="00454689">
        <w:t>n</w:t>
      </w:r>
      <w:r>
        <w:t xml:space="preserve"> sowie Einrichtungen zur Beratung, Interessensvertretung und Betreuung von WohnungswerberInnen sowie Migran</w:t>
      </w:r>
      <w:r w:rsidR="0046092E">
        <w:softHyphen/>
      </w:r>
      <w:r>
        <w:t xml:space="preserve">tInnen deutlich </w:t>
      </w:r>
      <w:r w:rsidR="00454689">
        <w:t>weniger Zustimmung</w:t>
      </w:r>
      <w:r>
        <w:t xml:space="preserve">. Vor allem bei den Beratungseinrichtungen stehen </w:t>
      </w:r>
      <w:r w:rsidR="00454689">
        <w:t xml:space="preserve">stattdessen </w:t>
      </w:r>
      <w:r>
        <w:t xml:space="preserve">Kriterien der bereichsübergreifenden </w:t>
      </w:r>
      <w:r w:rsidR="0046092E">
        <w:t>Kooperation</w:t>
      </w:r>
      <w:r>
        <w:t xml:space="preserve"> und </w:t>
      </w:r>
      <w:r w:rsidR="00454689">
        <w:t xml:space="preserve">der Realisierung von </w:t>
      </w:r>
      <w:r>
        <w:t xml:space="preserve">Unterstützungsstrukturen </w:t>
      </w:r>
      <w:r w:rsidR="00454689">
        <w:t xml:space="preserve">im Wohnumfeld </w:t>
      </w:r>
      <w:r>
        <w:t xml:space="preserve">im Vordergrund ihres Zielrahmens. </w:t>
      </w:r>
    </w:p>
    <w:p w:rsidR="00720922" w:rsidRDefault="00454689" w:rsidP="007253E8">
      <w:r>
        <w:t xml:space="preserve">Die deutlich unterschiedlich ausgeprägten Zielvorstellungen zwischen </w:t>
      </w:r>
      <w:r w:rsidR="002938BA">
        <w:t>Bauträgern und Verg</w:t>
      </w:r>
      <w:r w:rsidR="002938BA">
        <w:t>a</w:t>
      </w:r>
      <w:r w:rsidR="002938BA">
        <w:t>bestellen von öffentlich geförderten Wohnungen</w:t>
      </w:r>
      <w:r>
        <w:t xml:space="preserve"> einerseits und den Beratungseinrichtungen </w:t>
      </w:r>
      <w:r w:rsidR="0046092E">
        <w:t xml:space="preserve">andererseits </w:t>
      </w:r>
      <w:r>
        <w:t>unterstreichen die Notwendigkeit von strukturellen Grundlagen für Austausch und Kooperation.</w:t>
      </w:r>
      <w:r w:rsidR="002938BA">
        <w:br/>
      </w:r>
    </w:p>
    <w:p w:rsidR="00D71E93" w:rsidRPr="00731941" w:rsidRDefault="00D71E93" w:rsidP="00731941">
      <w:pPr>
        <w:ind w:left="360"/>
        <w:rPr>
          <w:b/>
          <w:smallCaps/>
          <w:sz w:val="24"/>
          <w:u w:val="single"/>
        </w:rPr>
      </w:pPr>
      <w:r w:rsidRPr="00731941">
        <w:rPr>
          <w:b/>
          <w:smallCaps/>
          <w:sz w:val="24"/>
          <w:u w:val="single"/>
        </w:rPr>
        <w:t>Bedarf, Perspektiven und Empfehlungen</w:t>
      </w:r>
    </w:p>
    <w:p w:rsidR="007253E8" w:rsidRDefault="0019487A" w:rsidP="007253E8">
      <w:r w:rsidRPr="0019487A">
        <w:rPr>
          <w:noProof/>
          <w:lang w:eastAsia="en-US"/>
        </w:rPr>
        <w:pict>
          <v:rect id="_x0000_s1030" style="position:absolute;margin-left:0;margin-top:450.3pt;width:181pt;height:219.65pt;rotation:-360;z-index:251664384;mso-width-percent:400;mso-position-horizontal-relative:margin;mso-position-vertical-relative:margin;mso-width-percent:400;mso-width-relative:margin;mso-height-relative:margin" o:allowincell="f" filled="f" fillcolor="#4f81bd [3204]" stroked="f">
            <v:imagedata embosscolor="shadow add(51)"/>
            <v:shadow type="emboss" color="lineOrFill darken(153)" color2="shadow add(102)" offset="1pt,1pt"/>
            <v:textbox style="mso-next-textbox:#_x0000_s1030;mso-fit-shape-to-text:t" inset=",7.2pt,,7.2pt">
              <w:txbxContent>
                <w:p w:rsidR="003714AC" w:rsidRDefault="003714AC" w:rsidP="00B379B1">
                  <w:pPr>
                    <w:pBdr>
                      <w:top w:val="single" w:sz="24" w:space="10" w:color="CDDDAC" w:themeColor="accent3" w:themeTint="7F"/>
                      <w:bottom w:val="single" w:sz="24" w:space="10" w:color="CDDDAC" w:themeColor="accent3" w:themeTint="7F"/>
                    </w:pBdr>
                    <w:spacing w:after="0"/>
                    <w:rPr>
                      <w:i/>
                      <w:iCs/>
                      <w:color w:val="7F7F7F" w:themeColor="background1" w:themeShade="7F"/>
                      <w:szCs w:val="28"/>
                    </w:rPr>
                  </w:pPr>
                  <w:r>
                    <w:rPr>
                      <w:i/>
                      <w:iCs/>
                      <w:color w:val="7F7F7F" w:themeColor="background1" w:themeShade="7F"/>
                      <w:szCs w:val="28"/>
                    </w:rPr>
                    <w:t>„</w:t>
                  </w:r>
                  <w:r w:rsidRPr="00B379B1">
                    <w:rPr>
                      <w:i/>
                      <w:iCs/>
                      <w:color w:val="7F7F7F" w:themeColor="background1" w:themeShade="7F"/>
                      <w:szCs w:val="28"/>
                    </w:rPr>
                    <w:t>Das Bemühen um die ange</w:t>
                  </w:r>
                  <w:r>
                    <w:rPr>
                      <w:i/>
                      <w:iCs/>
                      <w:color w:val="7F7F7F" w:themeColor="background1" w:themeShade="7F"/>
                      <w:szCs w:val="28"/>
                    </w:rPr>
                    <w:softHyphen/>
                  </w:r>
                  <w:r w:rsidRPr="00B379B1">
                    <w:rPr>
                      <w:i/>
                      <w:iCs/>
                      <w:color w:val="7F7F7F" w:themeColor="background1" w:themeShade="7F"/>
                      <w:szCs w:val="28"/>
                    </w:rPr>
                    <w:t xml:space="preserve">strebte Durchmischung in den Siedlungen beruht eher auf einem kontinuierlichen Lernprozess und baut </w:t>
                  </w:r>
                  <w:r>
                    <w:rPr>
                      <w:i/>
                      <w:iCs/>
                      <w:color w:val="7F7F7F" w:themeColor="background1" w:themeShade="7F"/>
                      <w:szCs w:val="28"/>
                    </w:rPr>
                    <w:t>a</w:t>
                  </w:r>
                  <w:r w:rsidRPr="00B379B1">
                    <w:rPr>
                      <w:i/>
                      <w:iCs/>
                      <w:color w:val="7F7F7F" w:themeColor="background1" w:themeShade="7F"/>
                      <w:szCs w:val="28"/>
                    </w:rPr>
                    <w:t>uf individuell gestalteten V</w:t>
                  </w:r>
                  <w:r>
                    <w:rPr>
                      <w:i/>
                      <w:iCs/>
                      <w:color w:val="7F7F7F" w:themeColor="background1" w:themeShade="7F"/>
                      <w:szCs w:val="28"/>
                    </w:rPr>
                    <w:t>orsorgen für Beratung</w:t>
                  </w:r>
                  <w:r w:rsidRPr="00B379B1">
                    <w:rPr>
                      <w:i/>
                      <w:iCs/>
                      <w:color w:val="7F7F7F" w:themeColor="background1" w:themeShade="7F"/>
                      <w:szCs w:val="28"/>
                    </w:rPr>
                    <w:t xml:space="preserve"> und </w:t>
                  </w:r>
                  <w:r>
                    <w:rPr>
                      <w:i/>
                      <w:iCs/>
                      <w:color w:val="7F7F7F" w:themeColor="background1" w:themeShade="7F"/>
                      <w:szCs w:val="28"/>
                    </w:rPr>
                    <w:t>A</w:t>
                  </w:r>
                  <w:r>
                    <w:rPr>
                      <w:i/>
                      <w:iCs/>
                      <w:color w:val="7F7F7F" w:themeColor="background1" w:themeShade="7F"/>
                      <w:szCs w:val="28"/>
                    </w:rPr>
                    <w:t>b</w:t>
                  </w:r>
                  <w:r>
                    <w:rPr>
                      <w:i/>
                      <w:iCs/>
                      <w:color w:val="7F7F7F" w:themeColor="background1" w:themeShade="7F"/>
                      <w:szCs w:val="28"/>
                    </w:rPr>
                    <w:t>klärung</w:t>
                  </w:r>
                  <w:r w:rsidRPr="00B379B1">
                    <w:rPr>
                      <w:i/>
                      <w:iCs/>
                      <w:color w:val="7F7F7F" w:themeColor="background1" w:themeShade="7F"/>
                      <w:szCs w:val="28"/>
                    </w:rPr>
                    <w:t xml:space="preserve"> der </w:t>
                  </w:r>
                  <w:r>
                    <w:rPr>
                      <w:i/>
                      <w:iCs/>
                      <w:color w:val="7F7F7F" w:themeColor="background1" w:themeShade="7F"/>
                      <w:szCs w:val="28"/>
                    </w:rPr>
                    <w:t xml:space="preserve">Bedürfnisse von </w:t>
                  </w:r>
                  <w:r w:rsidRPr="00B379B1">
                    <w:rPr>
                      <w:i/>
                      <w:iCs/>
                      <w:color w:val="7F7F7F" w:themeColor="background1" w:themeShade="7F"/>
                      <w:szCs w:val="28"/>
                    </w:rPr>
                    <w:t>WohnungswerberInnen auf.</w:t>
                  </w:r>
                  <w:r>
                    <w:rPr>
                      <w:i/>
                      <w:iCs/>
                      <w:color w:val="7F7F7F" w:themeColor="background1" w:themeShade="7F"/>
                      <w:szCs w:val="28"/>
                    </w:rPr>
                    <w:t>“</w:t>
                  </w:r>
                </w:p>
                <w:p w:rsidR="003714AC" w:rsidRPr="00B379B1" w:rsidRDefault="003714AC" w:rsidP="00B379B1">
                  <w:pPr>
                    <w:pBdr>
                      <w:top w:val="single" w:sz="24" w:space="10" w:color="CDDDAC" w:themeColor="accent3" w:themeTint="7F"/>
                      <w:bottom w:val="single" w:sz="24" w:space="10" w:color="CDDDAC" w:themeColor="accent3" w:themeTint="7F"/>
                    </w:pBdr>
                    <w:spacing w:after="0"/>
                    <w:rPr>
                      <w:i/>
                      <w:iCs/>
                      <w:color w:val="7F7F7F" w:themeColor="background1" w:themeShade="7F"/>
                      <w:szCs w:val="28"/>
                    </w:rPr>
                  </w:pPr>
                  <w:r>
                    <w:rPr>
                      <w:i/>
                      <w:iCs/>
                      <w:color w:val="7F7F7F" w:themeColor="background1" w:themeShade="7F"/>
                      <w:szCs w:val="28"/>
                    </w:rPr>
                    <w:t>(kommunales Wohnungsamt)</w:t>
                  </w:r>
                </w:p>
              </w:txbxContent>
            </v:textbox>
            <w10:wrap type="square" anchorx="margin" anchory="margin"/>
          </v:rect>
        </w:pict>
      </w:r>
    </w:p>
    <w:p w:rsidR="00E376B6" w:rsidRDefault="007F7E96" w:rsidP="00E376B6">
      <w:r>
        <w:t>Die Vergabe von öffentlich geförderten sowie G</w:t>
      </w:r>
      <w:r>
        <w:t>e</w:t>
      </w:r>
      <w:r>
        <w:t xml:space="preserve">meindewohnungen steht </w:t>
      </w:r>
      <w:r w:rsidR="002938BA">
        <w:t>vor der Anforderung</w:t>
      </w:r>
      <w:r>
        <w:t>, gle</w:t>
      </w:r>
      <w:r>
        <w:t>i</w:t>
      </w:r>
      <w:r>
        <w:t>chermaßen den vorgegebenen Leitbildern einer au</w:t>
      </w:r>
      <w:r>
        <w:t>s</w:t>
      </w:r>
      <w:r>
        <w:t>gewogenen und qualitativ hochwertigen Entwicklung von Stadtteilen und Wohnsiedlungen zu entsprechen und die vorgeschriebenen Normen der Antidiskrim</w:t>
      </w:r>
      <w:r>
        <w:t>i</w:t>
      </w:r>
      <w:r>
        <w:t xml:space="preserve">nierungsgesetze und </w:t>
      </w:r>
      <w:r w:rsidR="002938BA">
        <w:t>-</w:t>
      </w:r>
      <w:r>
        <w:t xml:space="preserve">richtlinien einzuhalten. </w:t>
      </w:r>
      <w:r w:rsidR="00F5321E">
        <w:t>Dass dies in der Praxis nicht immer und überall zur Zufri</w:t>
      </w:r>
      <w:r w:rsidR="00F5321E">
        <w:t>e</w:t>
      </w:r>
      <w:r w:rsidR="00F5321E">
        <w:t>denheit aller Beteiligten funktioniert, lässt sich zu allererst auch darin ablesen, dass es in der Bewe</w:t>
      </w:r>
      <w:r w:rsidR="00F5321E">
        <w:t>r</w:t>
      </w:r>
      <w:r w:rsidR="00F5321E">
        <w:t xml:space="preserve">tung </w:t>
      </w:r>
      <w:r w:rsidR="00F85759">
        <w:t>von</w:t>
      </w:r>
      <w:r w:rsidR="00F5321E">
        <w:t xml:space="preserve"> praktischen Erfahrungen, in Kraft gesetzten Leitbilder</w:t>
      </w:r>
      <w:r w:rsidR="00F85759">
        <w:t>n</w:t>
      </w:r>
      <w:r w:rsidR="00F5321E">
        <w:t xml:space="preserve"> und begleitenden strukturellen Vorsorgen für deren Umsetzung zu einer auffäll</w:t>
      </w:r>
      <w:r w:rsidR="00F5321E">
        <w:t>i</w:t>
      </w:r>
      <w:r w:rsidR="00F5321E">
        <w:t xml:space="preserve">gen </w:t>
      </w:r>
      <w:r w:rsidR="00E376B6">
        <w:t xml:space="preserve">Kluft zwischen Wohnungsämtern und gemeinnützigen Bauträgern auf der einen Seite </w:t>
      </w:r>
      <w:r w:rsidR="00E376B6">
        <w:lastRenderedPageBreak/>
        <w:t>und (externen) Beratungseinrichtungen auf der anderen</w:t>
      </w:r>
      <w:r w:rsidR="00F5321E">
        <w:t xml:space="preserve"> Seite kommt. Dahinter steckt ein sehr praktischer Befund:</w:t>
      </w:r>
    </w:p>
    <w:p w:rsidR="00E376B6" w:rsidRDefault="00E376B6" w:rsidP="00153C28">
      <w:pPr>
        <w:pStyle w:val="Aufzhlungszeichen"/>
        <w:tabs>
          <w:tab w:val="clear" w:pos="360"/>
          <w:tab w:val="num" w:pos="720"/>
        </w:tabs>
        <w:ind w:left="720"/>
      </w:pPr>
      <w:r>
        <w:t>Mangel an strukturellen Grundlagen für Kommunikation, Austausch und Kooperation</w:t>
      </w:r>
    </w:p>
    <w:p w:rsidR="00E376B6" w:rsidRDefault="00F5321E" w:rsidP="00153C28">
      <w:pPr>
        <w:pStyle w:val="Aufzhlungszeichen"/>
        <w:tabs>
          <w:tab w:val="clear" w:pos="360"/>
          <w:tab w:val="num" w:pos="720"/>
        </w:tabs>
        <w:ind w:left="720"/>
      </w:pPr>
      <w:r>
        <w:t>bestenfalls</w:t>
      </w:r>
      <w:r w:rsidR="00E376B6">
        <w:t xml:space="preserve"> punktuelle Erfahrungen mit vernetzter bereichs-und einrichtungsübergre</w:t>
      </w:r>
      <w:r w:rsidR="00E376B6">
        <w:t>i</w:t>
      </w:r>
      <w:r w:rsidR="00E376B6">
        <w:t>fender Kooperation</w:t>
      </w:r>
    </w:p>
    <w:p w:rsidR="00E376B6" w:rsidRDefault="00F85759" w:rsidP="00153C28">
      <w:pPr>
        <w:pStyle w:val="Aufzhlungszeichen"/>
        <w:tabs>
          <w:tab w:val="clear" w:pos="360"/>
          <w:tab w:val="num" w:pos="720"/>
        </w:tabs>
        <w:ind w:left="720"/>
      </w:pPr>
      <w:r>
        <w:t>fehlende inter- und transdisziplinäre</w:t>
      </w:r>
      <w:r w:rsidR="00E376B6">
        <w:t xml:space="preserve"> Arbei</w:t>
      </w:r>
      <w:r>
        <w:t>tsansätze.</w:t>
      </w:r>
    </w:p>
    <w:p w:rsidR="00720922" w:rsidRDefault="007F7E96" w:rsidP="00C23315">
      <w:r>
        <w:t>Dementsprechend richten sich die Bedarfsanmeldungen und Vorschläge vor allem daran aus, die Rahmenbedingungen für die Wohnungsvergabe vor Ort zu entl</w:t>
      </w:r>
      <w:r w:rsidR="00F5321E">
        <w:t>asten und die Integration von neuen MieterInnen (mit Armuts- und / oder Migrationshintergrund)</w:t>
      </w:r>
      <w:r>
        <w:t xml:space="preserve"> </w:t>
      </w:r>
      <w:r w:rsidR="002A42B7">
        <w:t xml:space="preserve">durch entsprechende Maßnahmen im Kontext der Stadtteile und Wohnsiedlungen </w:t>
      </w:r>
      <w:r>
        <w:t>zu unterstützen</w:t>
      </w:r>
      <w:r w:rsidR="002A42B7">
        <w:t xml:space="preserve">. </w:t>
      </w:r>
      <w:r w:rsidR="00F5321E">
        <w:t>Im Einzelnen finden sich sowohl in den individuellen Randbemerkungen im Rahmen der Online-Befragung als auch in den Interviews und Gesprächsrunden mit ExpertInnen der örtlichen / regionalen Wohnpolitik praktische Hinweise auf modellhafte Umsetzungen, überwiegend jedoch ei</w:t>
      </w:r>
      <w:r w:rsidR="00F5321E">
        <w:t>n</w:t>
      </w:r>
      <w:r w:rsidR="00F5321E">
        <w:t>sc</w:t>
      </w:r>
      <w:r w:rsidR="00C23315">
        <w:t xml:space="preserve">hlägige Bedarfsanmeldungen nach </w:t>
      </w:r>
      <w:r w:rsidR="00773016">
        <w:t>Öffentlichkeitsarbeit und Förderung der Akzeptanz</w:t>
      </w:r>
      <w:r w:rsidR="00C23315">
        <w:t>; ve</w:t>
      </w:r>
      <w:r w:rsidR="00C23315">
        <w:t>r</w:t>
      </w:r>
      <w:r w:rsidR="00C23315">
        <w:t xml:space="preserve">netzte </w:t>
      </w:r>
      <w:r w:rsidR="00FD57C2">
        <w:t xml:space="preserve">/ bereichsübergreifend </w:t>
      </w:r>
      <w:r w:rsidR="00C23315">
        <w:t>Angebote für</w:t>
      </w:r>
      <w:r w:rsidR="00FD57C2">
        <w:t xml:space="preserve"> </w:t>
      </w:r>
      <w:r w:rsidR="00773016">
        <w:t>Fortbildung, Austausch und Kommunikation</w:t>
      </w:r>
      <w:r w:rsidR="00C23315">
        <w:t xml:space="preserve">; </w:t>
      </w:r>
      <w:r w:rsidR="00773016">
        <w:t>strukturelle Grundlagen für Kommunikation und Kooperation zwischen den wohnungsmark</w:t>
      </w:r>
      <w:r w:rsidR="00773016">
        <w:t>t</w:t>
      </w:r>
      <w:r w:rsidR="00773016">
        <w:t xml:space="preserve">relevanten </w:t>
      </w:r>
      <w:r w:rsidR="00F85759">
        <w:t>Einrichtung</w:t>
      </w:r>
      <w:r w:rsidR="00773016">
        <w:t>en</w:t>
      </w:r>
      <w:r w:rsidR="00C23315">
        <w:t xml:space="preserve">; </w:t>
      </w:r>
      <w:r w:rsidR="00773016">
        <w:t>Förderung von Integration durch wohnortnahe / nachgehende soziale Arbeit und Gemeinwesenarbeit</w:t>
      </w:r>
      <w:r w:rsidR="00C23315">
        <w:t xml:space="preserve">; </w:t>
      </w:r>
      <w:r w:rsidR="00FD57C2">
        <w:t xml:space="preserve">inklusive Modelle </w:t>
      </w:r>
      <w:r w:rsidR="00F85759">
        <w:t>der</w:t>
      </w:r>
      <w:r w:rsidR="00FD57C2">
        <w:t xml:space="preserve"> Förderung</w:t>
      </w:r>
      <w:r w:rsidR="00F85759">
        <w:t xml:space="preserve"> (z.B. durch</w:t>
      </w:r>
      <w:r w:rsidR="00FD57C2">
        <w:t xml:space="preserve"> finanzie</w:t>
      </w:r>
      <w:r w:rsidR="00FD57C2">
        <w:t>l</w:t>
      </w:r>
      <w:r w:rsidR="00FD57C2">
        <w:t>le Hilfe</w:t>
      </w:r>
      <w:r w:rsidR="00F85759">
        <w:t>stellunge</w:t>
      </w:r>
      <w:r w:rsidR="00FD57C2">
        <w:t>n</w:t>
      </w:r>
      <w:r w:rsidR="00F85759">
        <w:t>);</w:t>
      </w:r>
      <w:r w:rsidR="00FD57C2">
        <w:t xml:space="preserve"> Vorgaben der Stadt- und Siedlungsplanung</w:t>
      </w:r>
      <w:r w:rsidR="00C23315">
        <w:t>.</w:t>
      </w:r>
      <w:r w:rsidR="002938BA">
        <w:br/>
      </w:r>
    </w:p>
    <w:p w:rsidR="00773016" w:rsidRDefault="00773016" w:rsidP="00731941">
      <w:pPr>
        <w:ind w:left="360"/>
      </w:pPr>
      <w:r w:rsidRPr="00731941">
        <w:rPr>
          <w:b/>
          <w:smallCaps/>
          <w:sz w:val="24"/>
          <w:u w:val="single"/>
        </w:rPr>
        <w:t>Modelle diskriminierungsfreier und integrationsfördernder Wohnung</w:t>
      </w:r>
      <w:r w:rsidRPr="00731941">
        <w:rPr>
          <w:b/>
          <w:smallCaps/>
          <w:sz w:val="24"/>
          <w:u w:val="single"/>
        </w:rPr>
        <w:t>s</w:t>
      </w:r>
      <w:r w:rsidRPr="00731941">
        <w:rPr>
          <w:b/>
          <w:smallCaps/>
          <w:sz w:val="24"/>
          <w:u w:val="single"/>
        </w:rPr>
        <w:t>politik auf kommunaler und regionaler Ebene</w:t>
      </w:r>
      <w:r w:rsidR="00803679" w:rsidRPr="00731941">
        <w:rPr>
          <w:b/>
          <w:smallCaps/>
          <w:sz w:val="24"/>
          <w:u w:val="single"/>
        </w:rPr>
        <w:br/>
      </w:r>
    </w:p>
    <w:p w:rsidR="00803679" w:rsidRDefault="00803679" w:rsidP="007253E8">
      <w:r>
        <w:t>In den untersuchten Modellregionen findet sich eine Reihe von strukturellen sowie punktue</w:t>
      </w:r>
      <w:r>
        <w:t>l</w:t>
      </w:r>
      <w:r>
        <w:t>len Maßnahmen, die sich in der Praxis der Wohnvergabe bereits bewährt haben oder zumi</w:t>
      </w:r>
      <w:r>
        <w:t>n</w:t>
      </w:r>
      <w:r>
        <w:t>dest Perspektiven für eine nachhaltige Verbesserung der Wohnversorgung von benachteili</w:t>
      </w:r>
      <w:r>
        <w:t>g</w:t>
      </w:r>
      <w:r>
        <w:t xml:space="preserve">ten Haushalten skizzieren. </w:t>
      </w:r>
      <w:r w:rsidR="00AA30D9">
        <w:t xml:space="preserve">Die </w:t>
      </w:r>
      <w:r>
        <w:t>In</w:t>
      </w:r>
      <w:r w:rsidR="00AA30D9">
        <w:t>terviewpartnerInnen sowie TeilnehmerInnen an den regi</w:t>
      </w:r>
      <w:r w:rsidR="00AA30D9">
        <w:t>o</w:t>
      </w:r>
      <w:r w:rsidR="00AA30D9">
        <w:t xml:space="preserve">nalen Gesprächsrunden </w:t>
      </w:r>
      <w:r w:rsidR="00F85759">
        <w:t>haben</w:t>
      </w:r>
      <w:r>
        <w:t xml:space="preserve"> </w:t>
      </w:r>
      <w:r w:rsidR="002938BA">
        <w:t>Beispiele aus ihrem Bemühen um eine möglichst diskrimini</w:t>
      </w:r>
      <w:r w:rsidR="002938BA">
        <w:t>e</w:t>
      </w:r>
      <w:r w:rsidR="002938BA">
        <w:t>rungsfreie und integrationsfördernde Vergabe vorgestellt. Nach den Kriterien Tran</w:t>
      </w:r>
      <w:r w:rsidR="006619CC">
        <w:t>s</w:t>
      </w:r>
      <w:r w:rsidR="002938BA">
        <w:t xml:space="preserve">parenz, Mitwirkung, Vernetzung, interkulturelle Vorsorgen und Diversität hat das </w:t>
      </w:r>
      <w:r w:rsidR="007D6CEE">
        <w:t>Projekt</w:t>
      </w:r>
      <w:r w:rsidR="002938BA">
        <w:t xml:space="preserve">team von „Equality in Housing“ </w:t>
      </w:r>
      <w:r w:rsidR="00F85759">
        <w:t xml:space="preserve">folgende </w:t>
      </w:r>
      <w:r>
        <w:t xml:space="preserve">Modelle guter </w:t>
      </w:r>
      <w:r w:rsidR="002938BA">
        <w:t>Vergabe</w:t>
      </w:r>
      <w:r>
        <w:t>praxis</w:t>
      </w:r>
      <w:r w:rsidR="00F85759">
        <w:t xml:space="preserve"> </w:t>
      </w:r>
      <w:r w:rsidR="002938BA">
        <w:t xml:space="preserve">ausgewählt, um diese in den vorgesehenen Workshops im Herbst 2011 </w:t>
      </w:r>
      <w:r w:rsidR="006619CC">
        <w:t>näher ausarbeiten zu können</w:t>
      </w:r>
      <w:r>
        <w:t>.</w:t>
      </w:r>
      <w:r w:rsidR="00AA274F">
        <w:t xml:space="preserve"> </w:t>
      </w:r>
      <w:r w:rsidR="00153C28">
        <w:br/>
      </w:r>
    </w:p>
    <w:p w:rsidR="00773016" w:rsidRPr="00142103" w:rsidRDefault="0058218F" w:rsidP="007253E8">
      <w:pPr>
        <w:rPr>
          <w:rStyle w:val="SchwacherVerweis"/>
        </w:rPr>
      </w:pPr>
      <w:r w:rsidRPr="00142103">
        <w:rPr>
          <w:rStyle w:val="SchwacherVerweis"/>
        </w:rPr>
        <w:lastRenderedPageBreak/>
        <w:t>Bekämpfung von Armut und sozialer Ausgrenzung</w:t>
      </w:r>
      <w:r w:rsidR="006619CC">
        <w:rPr>
          <w:rStyle w:val="Funotenzeichen"/>
          <w:smallCaps/>
          <w:color w:val="C0504D" w:themeColor="accent2"/>
          <w:u w:val="single"/>
        </w:rPr>
        <w:footnoteReference w:id="5"/>
      </w:r>
    </w:p>
    <w:p w:rsidR="0058218F" w:rsidRDefault="00AA30D9" w:rsidP="00AA30D9">
      <w:pPr>
        <w:pStyle w:val="Aufzhlungszeichen"/>
        <w:tabs>
          <w:tab w:val="clear" w:pos="360"/>
          <w:tab w:val="num" w:pos="720"/>
        </w:tabs>
        <w:ind w:left="720"/>
      </w:pPr>
      <w:r>
        <w:t xml:space="preserve">Wohnplattform </w:t>
      </w:r>
      <w:r w:rsidR="00B14DAB">
        <w:t xml:space="preserve">/ </w:t>
      </w:r>
      <w:r>
        <w:t xml:space="preserve">Oberösterreich und Soziales Netzwerk Wohnen </w:t>
      </w:r>
      <w:r w:rsidR="00B14DAB">
        <w:t>/</w:t>
      </w:r>
      <w:r>
        <w:t xml:space="preserve"> Vorarlberg</w:t>
      </w:r>
    </w:p>
    <w:p w:rsidR="008149FB" w:rsidRDefault="008149FB" w:rsidP="00AA30D9">
      <w:pPr>
        <w:pStyle w:val="Aufzhlungszeichen"/>
        <w:tabs>
          <w:tab w:val="clear" w:pos="360"/>
          <w:tab w:val="num" w:pos="720"/>
        </w:tabs>
        <w:ind w:left="720"/>
      </w:pPr>
      <w:r>
        <w:t>Wohnassistenz Niederösterreich</w:t>
      </w:r>
    </w:p>
    <w:p w:rsidR="00F615E0" w:rsidRDefault="00F615E0" w:rsidP="00AA30D9">
      <w:pPr>
        <w:pStyle w:val="Aufzhlungszeichen"/>
        <w:tabs>
          <w:tab w:val="clear" w:pos="360"/>
          <w:tab w:val="num" w:pos="720"/>
        </w:tabs>
        <w:ind w:left="720"/>
      </w:pPr>
      <w:r>
        <w:t>bereichsübergreifend angelegter partizipativer Prozess zur Erarbeitung und Ausform</w:t>
      </w:r>
      <w:r>
        <w:t>u</w:t>
      </w:r>
      <w:r>
        <w:t>lierung von sozialen Kriterien für die Feststellung von Wohnbedarf, unter Beiziehung von ExpertInnen / Wien</w:t>
      </w:r>
    </w:p>
    <w:p w:rsidR="00F615E0" w:rsidRDefault="00F615E0" w:rsidP="00AA30D9">
      <w:pPr>
        <w:pStyle w:val="Aufzhlungszeichen"/>
        <w:tabs>
          <w:tab w:val="clear" w:pos="360"/>
          <w:tab w:val="num" w:pos="720"/>
        </w:tabs>
        <w:ind w:left="720"/>
      </w:pPr>
      <w:r>
        <w:t>gremiale Beratung über Anträge von Armutshaushalten unter Beteiligung von Ber</w:t>
      </w:r>
      <w:r>
        <w:t>a</w:t>
      </w:r>
      <w:r>
        <w:t xml:space="preserve">tungs-/Betreuungseinrichtungen </w:t>
      </w:r>
      <w:r w:rsidR="006619CC">
        <w:t xml:space="preserve">auf die Vergabe von Notfallswohnungen </w:t>
      </w:r>
      <w:r>
        <w:t xml:space="preserve">/ </w:t>
      </w:r>
      <w:r w:rsidR="00AA274F">
        <w:t xml:space="preserve">Soziale Wohnungsvergabe </w:t>
      </w:r>
      <w:r>
        <w:t>Wien</w:t>
      </w:r>
    </w:p>
    <w:p w:rsidR="006619CC" w:rsidRDefault="00AA30D9" w:rsidP="00AA30D9">
      <w:pPr>
        <w:pStyle w:val="Aufzhlungszeichen"/>
        <w:tabs>
          <w:tab w:val="clear" w:pos="360"/>
          <w:tab w:val="num" w:pos="720"/>
        </w:tabs>
        <w:ind w:left="720"/>
      </w:pPr>
      <w:r>
        <w:t>Superförderung als armuts- und integrationsrelevantes Angebot der Wohnbau</w:t>
      </w:r>
      <w:r w:rsidR="003737BC">
        <w:softHyphen/>
      </w:r>
      <w:r>
        <w:t xml:space="preserve">förderung </w:t>
      </w:r>
      <w:r w:rsidR="003737BC">
        <w:t>/ Wien</w:t>
      </w:r>
      <w:r w:rsidR="006619CC" w:rsidRPr="006619CC">
        <w:t xml:space="preserve"> </w:t>
      </w:r>
    </w:p>
    <w:p w:rsidR="00AA30D9" w:rsidRDefault="006619CC" w:rsidP="00AA30D9">
      <w:pPr>
        <w:pStyle w:val="Aufzhlungszeichen"/>
        <w:tabs>
          <w:tab w:val="clear" w:pos="360"/>
          <w:tab w:val="num" w:pos="720"/>
        </w:tabs>
        <w:ind w:left="720"/>
      </w:pPr>
      <w:r>
        <w:t>Soziale Nachhaltigkeit als zusätzliches Kriterium bei Bauträgerwettbewerben / Wien</w:t>
      </w:r>
    </w:p>
    <w:p w:rsidR="00142103" w:rsidRDefault="00142103" w:rsidP="00AA30D9">
      <w:pPr>
        <w:pStyle w:val="Aufzhlungszeichen"/>
        <w:tabs>
          <w:tab w:val="clear" w:pos="360"/>
          <w:tab w:val="num" w:pos="720"/>
        </w:tabs>
        <w:ind w:left="720"/>
      </w:pPr>
      <w:r>
        <w:t>Bereitstellung von Vergabekontingenten für besonders benachteiligte Haushalte</w:t>
      </w:r>
      <w:r w:rsidR="00F615E0">
        <w:t xml:space="preserve"> (z.B. Jugendliche, SeniorInnen, AlleinerzieherInnen etc.) / Wien, Bregenz, Tirol, Linz</w:t>
      </w:r>
    </w:p>
    <w:p w:rsidR="00AA30D9" w:rsidRDefault="00AA30D9" w:rsidP="00AA30D9">
      <w:pPr>
        <w:pStyle w:val="Aufzhlungszeichen"/>
        <w:tabs>
          <w:tab w:val="clear" w:pos="360"/>
          <w:tab w:val="num" w:pos="720"/>
        </w:tabs>
        <w:ind w:left="720"/>
      </w:pPr>
      <w:r>
        <w:t>Online-</w:t>
      </w:r>
      <w:r w:rsidR="00BD740F">
        <w:t>Wohnr</w:t>
      </w:r>
      <w:r>
        <w:t xml:space="preserve">echner für Wohnkosten </w:t>
      </w:r>
      <w:r w:rsidR="00B14DAB">
        <w:t>/</w:t>
      </w:r>
      <w:r>
        <w:t xml:space="preserve"> Niederösterreich</w:t>
      </w:r>
      <w:r w:rsidR="00153C28">
        <w:br/>
      </w:r>
    </w:p>
    <w:p w:rsidR="0058218F" w:rsidRPr="00142103" w:rsidRDefault="0058218F" w:rsidP="007253E8">
      <w:pPr>
        <w:rPr>
          <w:rStyle w:val="SchwacherVerweis"/>
        </w:rPr>
      </w:pPr>
      <w:r w:rsidRPr="00142103">
        <w:rPr>
          <w:rStyle w:val="SchwacherVerweis"/>
        </w:rPr>
        <w:t>Bekämpfung von Diskriminierung und (ethnischer) Ausgrenzung</w:t>
      </w:r>
      <w:r w:rsidR="00F615E0">
        <w:rPr>
          <w:rStyle w:val="SchwacherVerweis"/>
        </w:rPr>
        <w:t xml:space="preserve"> bei der Wohnungsvergabe</w:t>
      </w:r>
    </w:p>
    <w:p w:rsidR="0058218F" w:rsidRDefault="00AA30D9" w:rsidP="00AA30D9">
      <w:pPr>
        <w:pStyle w:val="Aufzhlungszeichen"/>
        <w:tabs>
          <w:tab w:val="clear" w:pos="360"/>
          <w:tab w:val="num" w:pos="720"/>
        </w:tabs>
        <w:ind w:left="720"/>
      </w:pPr>
      <w:r>
        <w:t xml:space="preserve">interdisziplinäre Zusammensetzung des administrativen Vergabeausschusses </w:t>
      </w:r>
      <w:r w:rsidR="00B14DAB">
        <w:t>/</w:t>
      </w:r>
      <w:r>
        <w:t xml:space="preserve"> </w:t>
      </w:r>
      <w:r w:rsidR="007D6CEE">
        <w:br/>
      </w:r>
      <w:r>
        <w:t>Bregenz</w:t>
      </w:r>
    </w:p>
    <w:p w:rsidR="00F615E0" w:rsidRDefault="00F615E0" w:rsidP="00AA30D9">
      <w:pPr>
        <w:pStyle w:val="Aufzhlungszeichen"/>
        <w:tabs>
          <w:tab w:val="clear" w:pos="360"/>
          <w:tab w:val="num" w:pos="720"/>
        </w:tabs>
        <w:ind w:left="720"/>
      </w:pPr>
      <w:r>
        <w:t>positive Diskriminierung von MigrantInnen mit besonderem Förderbedarf, z.B. in sprachlicher, kultureller etc. Hinsicht / Bregenz</w:t>
      </w:r>
    </w:p>
    <w:p w:rsidR="00F615E0" w:rsidRDefault="00F615E0" w:rsidP="00AA30D9">
      <w:pPr>
        <w:pStyle w:val="Aufzhlungszeichen"/>
        <w:tabs>
          <w:tab w:val="clear" w:pos="360"/>
          <w:tab w:val="num" w:pos="720"/>
        </w:tabs>
        <w:ind w:left="720"/>
      </w:pPr>
      <w:r>
        <w:t>Transparenz für WohnungswerberInnen – relevante Informationen werden frühzeitig im Internet und / oder per Aushang zugänglich gemacht / Wien, Bregenz</w:t>
      </w:r>
    </w:p>
    <w:p w:rsidR="00142103" w:rsidRDefault="00142103" w:rsidP="00AA30D9">
      <w:pPr>
        <w:pStyle w:val="Aufzhlungszeichen"/>
        <w:tabs>
          <w:tab w:val="clear" w:pos="360"/>
          <w:tab w:val="num" w:pos="720"/>
        </w:tabs>
        <w:ind w:left="720"/>
      </w:pPr>
      <w:r>
        <w:t>Vergabegremium auf der Ebene des Landes für planmäßige Steuerung der Vergabe öffentlichen Wohnraums</w:t>
      </w:r>
      <w:r w:rsidR="00F615E0">
        <w:t xml:space="preserve"> / Niederösterreich</w:t>
      </w:r>
    </w:p>
    <w:p w:rsidR="00142103" w:rsidRDefault="00142103" w:rsidP="00AA30D9">
      <w:pPr>
        <w:pStyle w:val="Aufzhlungszeichen"/>
        <w:tabs>
          <w:tab w:val="clear" w:pos="360"/>
          <w:tab w:val="num" w:pos="720"/>
        </w:tabs>
        <w:ind w:left="720"/>
      </w:pPr>
      <w:r>
        <w:t>proaktive Information von Gemeinden und Wohnbauträgern im Zuge der Bewilligung von Fördermitteln aus der Wohnbauförderung über Vergaberegeln und Definition des AdressatInnenkreises</w:t>
      </w:r>
      <w:r w:rsidR="00F615E0">
        <w:t xml:space="preserve"> / Tirol</w:t>
      </w:r>
    </w:p>
    <w:p w:rsidR="006619CC" w:rsidRDefault="006619CC" w:rsidP="006619CC">
      <w:pPr>
        <w:pStyle w:val="Aufzhlungszeichen"/>
        <w:tabs>
          <w:tab w:val="clear" w:pos="360"/>
          <w:tab w:val="num" w:pos="720"/>
        </w:tabs>
        <w:ind w:left="720"/>
      </w:pPr>
      <w:r>
        <w:t>Diversität im MitarbeiterInnenstab für die Betreuung von MigrantInnen / Wien</w:t>
      </w:r>
      <w:r>
        <w:br/>
      </w:r>
    </w:p>
    <w:p w:rsidR="00A40ACD" w:rsidRDefault="00A40ACD">
      <w:pPr>
        <w:spacing w:before="180" w:after="240" w:line="336" w:lineRule="auto"/>
        <w:jc w:val="center"/>
        <w:rPr>
          <w:rStyle w:val="SchwacherVerweis"/>
        </w:rPr>
      </w:pPr>
      <w:r>
        <w:rPr>
          <w:rStyle w:val="SchwacherVerweis"/>
        </w:rPr>
        <w:br w:type="page"/>
      </w:r>
    </w:p>
    <w:p w:rsidR="0058218F" w:rsidRPr="00142103" w:rsidRDefault="0058218F" w:rsidP="007253E8">
      <w:pPr>
        <w:rPr>
          <w:rStyle w:val="SchwacherVerweis"/>
        </w:rPr>
      </w:pPr>
      <w:r w:rsidRPr="00142103">
        <w:rPr>
          <w:rStyle w:val="SchwacherVerweis"/>
        </w:rPr>
        <w:lastRenderedPageBreak/>
        <w:t>Förderung von Integration und Zusammenleben</w:t>
      </w:r>
    </w:p>
    <w:p w:rsidR="00BD740F" w:rsidRDefault="00BD740F" w:rsidP="00AA30D9">
      <w:pPr>
        <w:pStyle w:val="Aufzhlungszeichen"/>
        <w:tabs>
          <w:tab w:val="clear" w:pos="360"/>
          <w:tab w:val="num" w:pos="720"/>
        </w:tabs>
        <w:ind w:left="720"/>
      </w:pPr>
      <w:r>
        <w:t xml:space="preserve">Mitwirkung </w:t>
      </w:r>
      <w:r w:rsidR="00C63F08">
        <w:t xml:space="preserve">und (nach Möglichkeit) Berücksichtigung individueller Wünsche </w:t>
      </w:r>
      <w:r>
        <w:t>/ Bregenz</w:t>
      </w:r>
    </w:p>
    <w:p w:rsidR="00BD740F" w:rsidRDefault="00BD740F" w:rsidP="00AA30D9">
      <w:pPr>
        <w:pStyle w:val="Aufzhlungszeichen"/>
        <w:tabs>
          <w:tab w:val="clear" w:pos="360"/>
          <w:tab w:val="num" w:pos="720"/>
        </w:tabs>
        <w:ind w:left="720"/>
      </w:pPr>
      <w:r>
        <w:t>Wohnungsamt als lernende Organisation / Innsbruck</w:t>
      </w:r>
    </w:p>
    <w:p w:rsidR="00A40ACD" w:rsidRDefault="00A40ACD" w:rsidP="006619CC">
      <w:pPr>
        <w:pStyle w:val="Aufzhlungszeichen"/>
        <w:tabs>
          <w:tab w:val="clear" w:pos="360"/>
          <w:tab w:val="num" w:pos="720"/>
        </w:tabs>
        <w:ind w:left="720"/>
      </w:pPr>
      <w:r>
        <w:t>Vernetzung und Zusammenarbeit von Wohnungsamt und Hausverwaltungen / Innsbruck</w:t>
      </w:r>
    </w:p>
    <w:p w:rsidR="00A40ACD" w:rsidRDefault="00A40ACD" w:rsidP="00A40ACD">
      <w:pPr>
        <w:pStyle w:val="Aufzhlungszeichen"/>
        <w:tabs>
          <w:tab w:val="clear" w:pos="360"/>
          <w:tab w:val="num" w:pos="720"/>
        </w:tabs>
        <w:ind w:left="720"/>
      </w:pPr>
      <w:r>
        <w:t>Beratung und Unterstützung von Gemeinden in Integrationsfragen / Vorarlberg und Oberösterreich</w:t>
      </w:r>
    </w:p>
    <w:p w:rsidR="006619CC" w:rsidRDefault="006619CC" w:rsidP="006619CC">
      <w:pPr>
        <w:pStyle w:val="Aufzhlungszeichen"/>
        <w:tabs>
          <w:tab w:val="clear" w:pos="360"/>
          <w:tab w:val="num" w:pos="720"/>
        </w:tabs>
        <w:ind w:left="720"/>
      </w:pPr>
      <w:r>
        <w:t>Proaktive Sensibilisierung im Wohnumfeld / Niederösterreich</w:t>
      </w:r>
    </w:p>
    <w:p w:rsidR="006619CC" w:rsidRDefault="006619CC" w:rsidP="006619CC">
      <w:pPr>
        <w:pStyle w:val="Aufzhlungszeichen"/>
        <w:tabs>
          <w:tab w:val="clear" w:pos="360"/>
          <w:tab w:val="num" w:pos="720"/>
        </w:tabs>
        <w:ind w:left="720"/>
      </w:pPr>
      <w:r>
        <w:t>Verbesserung der sozialen Durchmischung im Wohnungsbestand durch gezielte Stadtentwicklungsmaßnahmen wie Förderung von Dachbodenausbau, Verdichtung etc. / Wien</w:t>
      </w:r>
    </w:p>
    <w:p w:rsidR="006619CC" w:rsidRDefault="006619CC" w:rsidP="006619CC">
      <w:pPr>
        <w:pStyle w:val="Aufzhlungszeichen"/>
        <w:tabs>
          <w:tab w:val="clear" w:pos="360"/>
          <w:tab w:val="num" w:pos="720"/>
        </w:tabs>
        <w:ind w:left="720"/>
      </w:pPr>
      <w:r>
        <w:t>flexible Grundrisse in Neubauvorhaben / Wien</w:t>
      </w:r>
    </w:p>
    <w:p w:rsidR="00C63F08" w:rsidRDefault="00C63F08" w:rsidP="00AA30D9">
      <w:pPr>
        <w:pStyle w:val="Aufzhlungszeichen"/>
        <w:tabs>
          <w:tab w:val="clear" w:pos="360"/>
          <w:tab w:val="num" w:pos="720"/>
        </w:tabs>
        <w:ind w:left="720"/>
      </w:pPr>
      <w:r>
        <w:t>interkulturelle Konfliktmediation und integrationsfördernde Projekte im Wohnumfeld (Wohnpartner) / Wien</w:t>
      </w:r>
    </w:p>
    <w:p w:rsidR="00C63F08" w:rsidRDefault="00C63F08" w:rsidP="00AA30D9">
      <w:pPr>
        <w:pStyle w:val="Aufzhlungszeichen"/>
        <w:tabs>
          <w:tab w:val="clear" w:pos="360"/>
          <w:tab w:val="num" w:pos="720"/>
        </w:tabs>
        <w:ind w:left="720"/>
      </w:pPr>
      <w:r>
        <w:t>Integrationsförderung als Querschnittagenda beginnend mit Start der Siedlungspl</w:t>
      </w:r>
      <w:r>
        <w:t>a</w:t>
      </w:r>
      <w:r>
        <w:t>nung, bereichsübergreifende Kooperation in der Wohnungsvergabe und begleitende Angebote in der Besiedlungsphase (z.B. Projekt Nordbahnhof) / Wien</w:t>
      </w:r>
    </w:p>
    <w:p w:rsidR="00F615E0" w:rsidRDefault="00F615E0" w:rsidP="00F615E0">
      <w:pPr>
        <w:pStyle w:val="Aufzhlungszeichen"/>
        <w:tabs>
          <w:tab w:val="clear" w:pos="360"/>
          <w:tab w:val="num" w:pos="720"/>
        </w:tabs>
        <w:ind w:left="720"/>
      </w:pPr>
      <w:r>
        <w:t>Projekt „hinschauen statt wegschauen“, Kooperation mit externen Einrichtungen zur Betreuung von MieterInneninitiativen und Mediation von Konflikten; Bereitstellung von Räumlichkeiten in der Siedlung für Unterstützungs- und Förderangebote (z.B. Deutschkurse etc.) / Oberösterreich</w:t>
      </w:r>
    </w:p>
    <w:p w:rsidR="00A44CAA" w:rsidRDefault="00A44CAA" w:rsidP="00AA30D9">
      <w:pPr>
        <w:pStyle w:val="Aufzhlungszeichen"/>
        <w:tabs>
          <w:tab w:val="clear" w:pos="360"/>
          <w:tab w:val="num" w:pos="720"/>
        </w:tabs>
        <w:ind w:left="720"/>
      </w:pPr>
      <w:r>
        <w:t>Besiedlungsbegleitung und Angebote für MieterInnen im Wohnumfeld / Wien, Vorar</w:t>
      </w:r>
      <w:r>
        <w:t>l</w:t>
      </w:r>
      <w:r>
        <w:t>berg, Oberösterreich</w:t>
      </w:r>
    </w:p>
    <w:p w:rsidR="00A44CAA" w:rsidRDefault="00A44CAA" w:rsidP="00AA30D9">
      <w:pPr>
        <w:pStyle w:val="Aufzhlungszeichen"/>
        <w:tabs>
          <w:tab w:val="clear" w:pos="360"/>
          <w:tab w:val="num" w:pos="720"/>
        </w:tabs>
        <w:ind w:left="720"/>
      </w:pPr>
      <w:r>
        <w:t>integrierte Förderangebote im Wohnumfeld, einschl</w:t>
      </w:r>
      <w:r w:rsidR="00153C28">
        <w:t>ießlich Bildung, Gesundheit</w:t>
      </w:r>
      <w:r>
        <w:t xml:space="preserve"> / Wien</w:t>
      </w:r>
      <w:r w:rsidR="003737BC">
        <w:br/>
      </w:r>
    </w:p>
    <w:p w:rsidR="0058218F" w:rsidRDefault="00CA4996" w:rsidP="00731941">
      <w:pPr>
        <w:ind w:left="360"/>
      </w:pPr>
      <w:r w:rsidRPr="00731941">
        <w:rPr>
          <w:b/>
          <w:smallCaps/>
          <w:sz w:val="24"/>
          <w:u w:val="single"/>
        </w:rPr>
        <w:t>Fallbeispiele kommunaler / regionaler Vergabemodelle</w:t>
      </w:r>
      <w:r w:rsidR="000D2265">
        <w:rPr>
          <w:rStyle w:val="Funotenzeichen"/>
          <w:b/>
          <w:smallCaps/>
          <w:sz w:val="24"/>
          <w:u w:val="single"/>
        </w:rPr>
        <w:footnoteReference w:id="6"/>
      </w:r>
      <w:r w:rsidR="00153C28" w:rsidRPr="00731941">
        <w:rPr>
          <w:b/>
          <w:smallCaps/>
          <w:sz w:val="24"/>
          <w:u w:val="single"/>
        </w:rPr>
        <w:br/>
      </w:r>
    </w:p>
    <w:p w:rsidR="007A252D" w:rsidRPr="008A4DEE" w:rsidRDefault="007A252D" w:rsidP="007A252D">
      <w:pPr>
        <w:rPr>
          <w:b/>
          <w:u w:val="single"/>
          <w:lang w:eastAsia="en-US"/>
        </w:rPr>
      </w:pPr>
      <w:r>
        <w:rPr>
          <w:b/>
          <w:u w:val="single"/>
          <w:lang w:eastAsia="en-US"/>
        </w:rPr>
        <w:t xml:space="preserve">Fallbeispiel </w:t>
      </w:r>
      <w:r w:rsidRPr="008A4DEE">
        <w:rPr>
          <w:b/>
          <w:u w:val="single"/>
          <w:lang w:eastAsia="en-US"/>
        </w:rPr>
        <w:t>Bregenz</w:t>
      </w:r>
    </w:p>
    <w:tbl>
      <w:tblPr>
        <w:tblStyle w:val="Tabellengitternetz"/>
        <w:tblW w:w="0" w:type="auto"/>
        <w:tblLook w:val="04A0"/>
      </w:tblPr>
      <w:tblGrid>
        <w:gridCol w:w="1601"/>
        <w:gridCol w:w="7687"/>
      </w:tblGrid>
      <w:tr w:rsidR="007A252D" w:rsidRPr="00DA5171" w:rsidTr="008F60B0">
        <w:tc>
          <w:tcPr>
            <w:tcW w:w="1384" w:type="dxa"/>
          </w:tcPr>
          <w:p w:rsidR="007A252D" w:rsidRPr="00F14F85" w:rsidRDefault="007A252D" w:rsidP="00044AF0">
            <w:pPr>
              <w:spacing w:beforeLines="40" w:afterLines="40" w:line="240" w:lineRule="auto"/>
              <w:rPr>
                <w:smallCaps/>
                <w:sz w:val="20"/>
              </w:rPr>
            </w:pPr>
            <w:r w:rsidRPr="00F14F85">
              <w:rPr>
                <w:smallCaps/>
                <w:sz w:val="20"/>
              </w:rPr>
              <w:t>Zugang zu g</w:t>
            </w:r>
            <w:r w:rsidRPr="00F14F85">
              <w:rPr>
                <w:smallCaps/>
                <w:sz w:val="20"/>
              </w:rPr>
              <w:t>e</w:t>
            </w:r>
            <w:r w:rsidRPr="00F14F85">
              <w:rPr>
                <w:smallCaps/>
                <w:sz w:val="20"/>
              </w:rPr>
              <w:t>förderten Mietwohnungen</w:t>
            </w:r>
          </w:p>
        </w:tc>
        <w:tc>
          <w:tcPr>
            <w:tcW w:w="7828" w:type="dxa"/>
          </w:tcPr>
          <w:p w:rsidR="00587957" w:rsidRDefault="007A252D" w:rsidP="00044AF0">
            <w:pPr>
              <w:spacing w:beforeLines="40" w:afterLines="40" w:line="240" w:lineRule="auto"/>
              <w:jc w:val="left"/>
              <w:rPr>
                <w:sz w:val="18"/>
                <w:szCs w:val="24"/>
              </w:rPr>
            </w:pPr>
            <w:r w:rsidRPr="005501C4">
              <w:rPr>
                <w:sz w:val="18"/>
              </w:rPr>
              <w:t>Oberste Norm der Vergaberegeln in Bregenz (seit 2008 in Kraft) ist die Förderwürdigkeit der WohnungswerberInnen. Die Förderwürdigkeit wird gemäß der Definition im Wohnbauförde</w:t>
            </w:r>
            <w:r w:rsidR="003D6EA6">
              <w:rPr>
                <w:sz w:val="18"/>
              </w:rPr>
              <w:softHyphen/>
            </w:r>
            <w:r w:rsidRPr="005501C4">
              <w:rPr>
                <w:sz w:val="18"/>
              </w:rPr>
              <w:t xml:space="preserve">rungsgesetz des Landes bestimmt und entscheidet darüber, ob ein Antrag berücksichtigt werden kann oder nicht. </w:t>
            </w:r>
          </w:p>
          <w:p w:rsidR="00E06418" w:rsidRDefault="007A252D" w:rsidP="00044AF0">
            <w:pPr>
              <w:spacing w:beforeLines="40" w:afterLines="40" w:line="240" w:lineRule="auto"/>
              <w:jc w:val="left"/>
              <w:rPr>
                <w:sz w:val="18"/>
              </w:rPr>
            </w:pPr>
            <w:r w:rsidRPr="005501C4">
              <w:rPr>
                <w:sz w:val="18"/>
              </w:rPr>
              <w:t>Förderwürdig sind ÖsterreicherInnen und Gleichgestellte sowie Personen mit legalem Aufen</w:t>
            </w:r>
            <w:r w:rsidRPr="005501C4">
              <w:rPr>
                <w:sz w:val="18"/>
              </w:rPr>
              <w:t>t</w:t>
            </w:r>
            <w:r w:rsidRPr="005501C4">
              <w:rPr>
                <w:sz w:val="18"/>
              </w:rPr>
              <w:t>haltstitel.</w:t>
            </w:r>
            <w:r w:rsidR="003D6EA6">
              <w:rPr>
                <w:sz w:val="18"/>
              </w:rPr>
              <w:t xml:space="preserve"> </w:t>
            </w:r>
          </w:p>
          <w:p w:rsidR="001E30B4" w:rsidRDefault="003737BC" w:rsidP="00044AF0">
            <w:pPr>
              <w:spacing w:beforeLines="40" w:afterLines="40" w:line="240" w:lineRule="auto"/>
              <w:jc w:val="left"/>
              <w:rPr>
                <w:sz w:val="18"/>
                <w:szCs w:val="24"/>
              </w:rPr>
            </w:pPr>
            <w:r>
              <w:rPr>
                <w:sz w:val="18"/>
              </w:rPr>
              <w:lastRenderedPageBreak/>
              <w:t>Im Juni 2011</w:t>
            </w:r>
            <w:r w:rsidR="003D6EA6">
              <w:rPr>
                <w:sz w:val="18"/>
              </w:rPr>
              <w:t xml:space="preserve"> wurde vom Vorarlberger Landtag </w:t>
            </w:r>
            <w:r w:rsidR="00E06418">
              <w:rPr>
                <w:sz w:val="18"/>
              </w:rPr>
              <w:t xml:space="preserve">in </w:t>
            </w:r>
            <w:r w:rsidR="003D6EA6">
              <w:rPr>
                <w:sz w:val="18"/>
              </w:rPr>
              <w:t>eine</w:t>
            </w:r>
            <w:r w:rsidR="00E06418">
              <w:rPr>
                <w:sz w:val="18"/>
              </w:rPr>
              <w:t>r</w:t>
            </w:r>
            <w:r w:rsidR="003D6EA6">
              <w:rPr>
                <w:sz w:val="18"/>
              </w:rPr>
              <w:t xml:space="preserve"> Novellierung des WBFG </w:t>
            </w:r>
            <w:r w:rsidR="00E06418">
              <w:rPr>
                <w:sz w:val="18"/>
              </w:rPr>
              <w:t>festgelegt</w:t>
            </w:r>
            <w:r w:rsidR="003D6EA6">
              <w:rPr>
                <w:sz w:val="18"/>
              </w:rPr>
              <w:t xml:space="preserve">, </w:t>
            </w:r>
            <w:r w:rsidR="00E06418">
              <w:rPr>
                <w:sz w:val="18"/>
              </w:rPr>
              <w:t>dass</w:t>
            </w:r>
            <w:r w:rsidR="003D6EA6">
              <w:rPr>
                <w:sz w:val="18"/>
              </w:rPr>
              <w:t xml:space="preserve"> eine Wohnungsvergabe an den Nachweis ausreichender Deutschkenntnisse gebunden ist. Diese Maßnahme wird mit dem Hinweis darauf begründet, dass Integration wesentlich auf vorhandenen Deutschkenntnissen beruhe.</w:t>
            </w:r>
            <w:r w:rsidR="00E06418">
              <w:rPr>
                <w:sz w:val="18"/>
              </w:rPr>
              <w:t xml:space="preserve"> Ob und inwieweit die neue gesetzliche Vorgabe zur Bewertung der Sprachkenntnisse sich auf die Wohnungsvergabe in Bregenz auswirken wird, kann derzeit nicht abgeschätzt werden.</w:t>
            </w:r>
          </w:p>
          <w:p w:rsidR="001E30B4" w:rsidRDefault="007A252D" w:rsidP="00044AF0">
            <w:pPr>
              <w:spacing w:beforeLines="40" w:afterLines="40" w:line="240" w:lineRule="auto"/>
              <w:jc w:val="left"/>
              <w:rPr>
                <w:sz w:val="18"/>
                <w:szCs w:val="24"/>
              </w:rPr>
            </w:pPr>
            <w:r w:rsidRPr="005501C4">
              <w:rPr>
                <w:sz w:val="18"/>
              </w:rPr>
              <w:t xml:space="preserve">Weitere Aspekte im Zusammenhang mit dem Migrationshintergrund (wie Staatsbürgerschaft, Religion etc.) spielen bei der Wohnungsvergabe </w:t>
            </w:r>
            <w:r w:rsidR="000D2265">
              <w:rPr>
                <w:sz w:val="18"/>
              </w:rPr>
              <w:t>nach Einschätzung der InterviewpartnerI</w:t>
            </w:r>
            <w:r w:rsidR="000D2265">
              <w:rPr>
                <w:sz w:val="18"/>
              </w:rPr>
              <w:t>n</w:t>
            </w:r>
            <w:r w:rsidR="000D2265">
              <w:rPr>
                <w:sz w:val="18"/>
              </w:rPr>
              <w:t>nen</w:t>
            </w:r>
            <w:r w:rsidRPr="005501C4">
              <w:rPr>
                <w:sz w:val="18"/>
              </w:rPr>
              <w:t xml:space="preserve"> keine Rolle</w:t>
            </w:r>
            <w:r w:rsidR="003D6EA6">
              <w:rPr>
                <w:sz w:val="18"/>
              </w:rPr>
              <w:t>.</w:t>
            </w:r>
            <w:r w:rsidR="003737BC">
              <w:rPr>
                <w:sz w:val="18"/>
              </w:rPr>
              <w:t xml:space="preserve"> </w:t>
            </w:r>
          </w:p>
        </w:tc>
      </w:tr>
      <w:tr w:rsidR="007A252D" w:rsidRPr="00DA5171" w:rsidTr="008F60B0">
        <w:tc>
          <w:tcPr>
            <w:tcW w:w="1384" w:type="dxa"/>
          </w:tcPr>
          <w:p w:rsidR="007A252D" w:rsidRPr="00F14F85" w:rsidRDefault="007A252D" w:rsidP="00044AF0">
            <w:pPr>
              <w:spacing w:beforeLines="40" w:afterLines="40" w:line="240" w:lineRule="auto"/>
              <w:rPr>
                <w:smallCaps/>
                <w:sz w:val="20"/>
              </w:rPr>
            </w:pPr>
            <w:r w:rsidRPr="00F14F85">
              <w:rPr>
                <w:smallCaps/>
                <w:sz w:val="20"/>
              </w:rPr>
              <w:lastRenderedPageBreak/>
              <w:t>Vergabe</w:t>
            </w:r>
          </w:p>
        </w:tc>
        <w:tc>
          <w:tcPr>
            <w:tcW w:w="7828" w:type="dxa"/>
          </w:tcPr>
          <w:p w:rsidR="00587957" w:rsidRDefault="007A252D" w:rsidP="00044AF0">
            <w:pPr>
              <w:spacing w:beforeLines="40" w:afterLines="40" w:line="240" w:lineRule="auto"/>
              <w:jc w:val="left"/>
              <w:rPr>
                <w:sz w:val="18"/>
                <w:szCs w:val="24"/>
              </w:rPr>
            </w:pPr>
            <w:r w:rsidRPr="005501C4">
              <w:rPr>
                <w:sz w:val="18"/>
              </w:rPr>
              <w:t>Bei gegebener Förderwürdigkeit werden die spezifischen Lebensverhältnisse der Wo</w:t>
            </w:r>
            <w:r w:rsidRPr="005501C4">
              <w:rPr>
                <w:sz w:val="18"/>
              </w:rPr>
              <w:t>h</w:t>
            </w:r>
            <w:r w:rsidRPr="005501C4">
              <w:rPr>
                <w:sz w:val="18"/>
              </w:rPr>
              <w:t>nungswerberInnen wie Erwerbstätigkeit, Einkommen, Zusammensetzung des Haushaltes, Dringlichkeit der Wohnversorgung und Dauer der laufenden Beantragung analysiert und die Ergebnisse in einem Punktesystem bewertet.</w:t>
            </w:r>
          </w:p>
          <w:p w:rsidR="001E30B4" w:rsidRDefault="007A252D" w:rsidP="00044AF0">
            <w:pPr>
              <w:spacing w:beforeLines="40" w:afterLines="40" w:line="240" w:lineRule="auto"/>
              <w:jc w:val="left"/>
              <w:rPr>
                <w:sz w:val="18"/>
                <w:szCs w:val="24"/>
              </w:rPr>
            </w:pPr>
            <w:r w:rsidRPr="005501C4">
              <w:rPr>
                <w:sz w:val="18"/>
                <w:lang w:val="de-AT"/>
              </w:rPr>
              <w:t>Seit 2008 gibt es für die Bewerbung um eine Wohnung in Bregenz keine Auflage hinsichtlich der Dauer des Aufenthalts im Gemeindegebiet mehr.</w:t>
            </w:r>
          </w:p>
        </w:tc>
      </w:tr>
      <w:tr w:rsidR="007A252D" w:rsidRPr="00DA5171" w:rsidTr="008F60B0">
        <w:tc>
          <w:tcPr>
            <w:tcW w:w="1384" w:type="dxa"/>
          </w:tcPr>
          <w:p w:rsidR="007A252D" w:rsidRPr="00F14F85" w:rsidRDefault="007A252D" w:rsidP="00044AF0">
            <w:pPr>
              <w:spacing w:beforeLines="40" w:afterLines="40" w:line="240" w:lineRule="auto"/>
              <w:rPr>
                <w:smallCaps/>
                <w:sz w:val="20"/>
              </w:rPr>
            </w:pPr>
            <w:r w:rsidRPr="00F14F85">
              <w:rPr>
                <w:smallCaps/>
                <w:sz w:val="20"/>
              </w:rPr>
              <w:t>Spielraum</w:t>
            </w:r>
          </w:p>
        </w:tc>
        <w:tc>
          <w:tcPr>
            <w:tcW w:w="7828" w:type="dxa"/>
          </w:tcPr>
          <w:p w:rsidR="00587957" w:rsidRDefault="007A252D" w:rsidP="00044AF0">
            <w:pPr>
              <w:spacing w:beforeLines="40" w:afterLines="40" w:line="240" w:lineRule="auto"/>
              <w:jc w:val="left"/>
              <w:rPr>
                <w:sz w:val="18"/>
                <w:szCs w:val="24"/>
              </w:rPr>
            </w:pPr>
            <w:r w:rsidRPr="005501C4">
              <w:rPr>
                <w:sz w:val="18"/>
              </w:rPr>
              <w:t>Bei der Vergabe der Wohnungen wird zum überwiegenden Teil auf diese Liste Bezug genom</w:t>
            </w:r>
            <w:r w:rsidR="003D6EA6">
              <w:rPr>
                <w:sz w:val="18"/>
              </w:rPr>
              <w:softHyphen/>
            </w:r>
            <w:r w:rsidRPr="005501C4">
              <w:rPr>
                <w:sz w:val="18"/>
              </w:rPr>
              <w:t>men, daneben gibt es jedoch auch Spielraum für die Entscheidungsfindung, wonach es mög</w:t>
            </w:r>
            <w:r w:rsidR="003D6EA6">
              <w:rPr>
                <w:sz w:val="18"/>
              </w:rPr>
              <w:softHyphen/>
            </w:r>
            <w:r w:rsidRPr="005501C4">
              <w:rPr>
                <w:sz w:val="18"/>
              </w:rPr>
              <w:t>lich ist, auf besondere Bedürfnisse etc. und spezielle Überlegungen in Hinblick auf die Lage der zu vergebenen Wohnung (aktueller sozialer / ethnischer Mix etc.) Rücksicht zu nehmen.</w:t>
            </w:r>
          </w:p>
          <w:p w:rsidR="001E30B4" w:rsidRDefault="008B6C9F" w:rsidP="00044AF0">
            <w:pPr>
              <w:spacing w:beforeLines="40" w:afterLines="40" w:line="240" w:lineRule="auto"/>
              <w:jc w:val="left"/>
              <w:rPr>
                <w:sz w:val="18"/>
                <w:szCs w:val="24"/>
              </w:rPr>
            </w:pPr>
            <w:r>
              <w:rPr>
                <w:sz w:val="18"/>
              </w:rPr>
              <w:t>„</w:t>
            </w:r>
            <w:r w:rsidR="007A252D" w:rsidRPr="005501C4">
              <w:rPr>
                <w:sz w:val="18"/>
              </w:rPr>
              <w:t>Etwa 80% der Vergaben erfolgen strikt nach der Punktereihung und den individuellen Wün</w:t>
            </w:r>
            <w:r w:rsidR="003D6EA6">
              <w:rPr>
                <w:sz w:val="18"/>
              </w:rPr>
              <w:softHyphen/>
            </w:r>
            <w:r w:rsidR="007A252D" w:rsidRPr="005501C4">
              <w:rPr>
                <w:sz w:val="18"/>
              </w:rPr>
              <w:t>schen der WohnungswerberInnen; bei etwa 20% der Vergaben spielen Interessenserwägun</w:t>
            </w:r>
            <w:r w:rsidR="003D6EA6">
              <w:rPr>
                <w:sz w:val="18"/>
              </w:rPr>
              <w:softHyphen/>
            </w:r>
            <w:r w:rsidR="007A252D" w:rsidRPr="005501C4">
              <w:rPr>
                <w:sz w:val="18"/>
              </w:rPr>
              <w:t>gen (in Hinblick auf Stadtplanung, Siedlungsstruktur, positive Diskriminierung etc.) in der Entscheidung eine gewichtige Rolle.</w:t>
            </w:r>
            <w:r>
              <w:rPr>
                <w:sz w:val="18"/>
              </w:rPr>
              <w:t>“</w:t>
            </w:r>
          </w:p>
        </w:tc>
      </w:tr>
      <w:tr w:rsidR="007A252D" w:rsidRPr="00DA5171" w:rsidTr="008F60B0">
        <w:tc>
          <w:tcPr>
            <w:tcW w:w="1384" w:type="dxa"/>
          </w:tcPr>
          <w:p w:rsidR="007A252D" w:rsidRPr="00F14F85" w:rsidRDefault="007A252D" w:rsidP="00044AF0">
            <w:pPr>
              <w:spacing w:beforeLines="40" w:afterLines="40" w:line="240" w:lineRule="auto"/>
              <w:rPr>
                <w:smallCaps/>
                <w:sz w:val="20"/>
              </w:rPr>
            </w:pPr>
            <w:r w:rsidRPr="00F14F85">
              <w:rPr>
                <w:smallCaps/>
                <w:sz w:val="20"/>
              </w:rPr>
              <w:t>Mitwirkung</w:t>
            </w:r>
          </w:p>
        </w:tc>
        <w:tc>
          <w:tcPr>
            <w:tcW w:w="7828" w:type="dxa"/>
          </w:tcPr>
          <w:p w:rsidR="00587957" w:rsidRDefault="007A252D" w:rsidP="00044AF0">
            <w:pPr>
              <w:spacing w:beforeLines="40" w:afterLines="40" w:line="240" w:lineRule="auto"/>
              <w:jc w:val="left"/>
              <w:rPr>
                <w:sz w:val="18"/>
                <w:szCs w:val="24"/>
              </w:rPr>
            </w:pPr>
            <w:r w:rsidRPr="005501C4">
              <w:rPr>
                <w:sz w:val="18"/>
              </w:rPr>
              <w:t xml:space="preserve">Den WohnungswerberInnen wird eine weitgehende Mitwirkung bei der Auswahl der Wohnung (Transparenz über Internet) ermöglicht, in der Entscheidung werden </w:t>
            </w:r>
            <w:r w:rsidR="00E06418">
              <w:rPr>
                <w:sz w:val="18"/>
              </w:rPr>
              <w:t>ihre</w:t>
            </w:r>
            <w:r w:rsidRPr="005501C4">
              <w:rPr>
                <w:sz w:val="18"/>
              </w:rPr>
              <w:t xml:space="preserve"> Wünsche nach Möglichkeit berücksichtigt. </w:t>
            </w:r>
            <w:r w:rsidR="003737BC">
              <w:rPr>
                <w:sz w:val="18"/>
              </w:rPr>
              <w:t xml:space="preserve">Allerdings: </w:t>
            </w:r>
            <w:r w:rsidRPr="005501C4">
              <w:rPr>
                <w:sz w:val="18"/>
              </w:rPr>
              <w:t>Es gibt kein Recht auf eine bestimmte Wohnung.</w:t>
            </w:r>
          </w:p>
        </w:tc>
      </w:tr>
      <w:tr w:rsidR="007A252D" w:rsidRPr="00DA5171" w:rsidTr="008F60B0">
        <w:tc>
          <w:tcPr>
            <w:tcW w:w="1384" w:type="dxa"/>
          </w:tcPr>
          <w:p w:rsidR="007A252D" w:rsidRPr="00F14F85" w:rsidRDefault="007A252D" w:rsidP="00044AF0">
            <w:pPr>
              <w:spacing w:beforeLines="40" w:afterLines="40" w:line="240" w:lineRule="auto"/>
              <w:rPr>
                <w:smallCaps/>
                <w:sz w:val="20"/>
              </w:rPr>
            </w:pPr>
            <w:r w:rsidRPr="00F14F85">
              <w:rPr>
                <w:smallCaps/>
                <w:sz w:val="20"/>
              </w:rPr>
              <w:t>Zugang zu g</w:t>
            </w:r>
            <w:r w:rsidRPr="00F14F85">
              <w:rPr>
                <w:smallCaps/>
                <w:sz w:val="20"/>
              </w:rPr>
              <w:t>e</w:t>
            </w:r>
            <w:r w:rsidRPr="00F14F85">
              <w:rPr>
                <w:smallCaps/>
                <w:sz w:val="20"/>
              </w:rPr>
              <w:t>fördertem Wohneigentum</w:t>
            </w:r>
          </w:p>
        </w:tc>
        <w:tc>
          <w:tcPr>
            <w:tcW w:w="7828" w:type="dxa"/>
          </w:tcPr>
          <w:p w:rsidR="00587957" w:rsidRDefault="007A252D" w:rsidP="00044AF0">
            <w:pPr>
              <w:spacing w:beforeLines="40" w:afterLines="40" w:line="240" w:lineRule="auto"/>
              <w:jc w:val="left"/>
              <w:rPr>
                <w:sz w:val="18"/>
                <w:szCs w:val="24"/>
              </w:rPr>
            </w:pPr>
            <w:r w:rsidRPr="005501C4">
              <w:rPr>
                <w:sz w:val="18"/>
                <w:lang w:val="de-AT"/>
              </w:rPr>
              <w:t xml:space="preserve">Der Zugang zu geförderten Eigentumswohnungen ist auf österreichische StaatsbürgerInnen und Gleichgestellte beschränkt. </w:t>
            </w:r>
            <w:r w:rsidR="000D2265">
              <w:rPr>
                <w:sz w:val="18"/>
                <w:lang w:val="de-AT"/>
              </w:rPr>
              <w:t>In den letzten Jahren konnte in Bregenz festgestellt werden</w:t>
            </w:r>
            <w:r w:rsidRPr="005501C4">
              <w:rPr>
                <w:sz w:val="18"/>
                <w:lang w:val="de-AT"/>
              </w:rPr>
              <w:t>, dass die Einbürgerung von türkisch-stämmigen BewohnerInnen deutlich gestiegen ist</w:t>
            </w:r>
            <w:r w:rsidR="000D2265">
              <w:rPr>
                <w:sz w:val="18"/>
                <w:lang w:val="de-AT"/>
              </w:rPr>
              <w:t>.</w:t>
            </w:r>
            <w:r w:rsidRPr="005501C4">
              <w:rPr>
                <w:sz w:val="18"/>
                <w:lang w:val="de-AT"/>
              </w:rPr>
              <w:t xml:space="preserve"> </w:t>
            </w:r>
            <w:r w:rsidR="000D2265" w:rsidRPr="005501C4">
              <w:rPr>
                <w:sz w:val="18"/>
                <w:lang w:val="de-AT"/>
              </w:rPr>
              <w:t>Die</w:t>
            </w:r>
            <w:r w:rsidR="000D2265">
              <w:rPr>
                <w:sz w:val="18"/>
                <w:lang w:val="de-AT"/>
              </w:rPr>
              <w:t>se Beobachtung wird damit begründet, dass</w:t>
            </w:r>
            <w:r w:rsidR="000D2265" w:rsidRPr="005501C4">
              <w:rPr>
                <w:sz w:val="18"/>
                <w:lang w:val="de-AT"/>
              </w:rPr>
              <w:t xml:space="preserve"> </w:t>
            </w:r>
            <w:r w:rsidRPr="005501C4">
              <w:rPr>
                <w:sz w:val="18"/>
                <w:lang w:val="de-AT"/>
              </w:rPr>
              <w:t xml:space="preserve">damit eine Option auf den Erwerb eines geförderten Wohneigentums </w:t>
            </w:r>
            <w:r w:rsidR="00E06418">
              <w:rPr>
                <w:sz w:val="18"/>
                <w:lang w:val="de-AT"/>
              </w:rPr>
              <w:t>ge</w:t>
            </w:r>
            <w:r w:rsidRPr="005501C4">
              <w:rPr>
                <w:sz w:val="18"/>
                <w:lang w:val="de-AT"/>
              </w:rPr>
              <w:t>sicher</w:t>
            </w:r>
            <w:r w:rsidR="00E06418">
              <w:rPr>
                <w:sz w:val="18"/>
                <w:lang w:val="de-AT"/>
              </w:rPr>
              <w:t>t wird</w:t>
            </w:r>
            <w:r w:rsidRPr="005501C4">
              <w:rPr>
                <w:sz w:val="18"/>
                <w:lang w:val="de-AT"/>
              </w:rPr>
              <w:t>.</w:t>
            </w:r>
          </w:p>
        </w:tc>
      </w:tr>
      <w:tr w:rsidR="007A252D" w:rsidRPr="00DA5171" w:rsidTr="008F60B0">
        <w:tc>
          <w:tcPr>
            <w:tcW w:w="1384" w:type="dxa"/>
          </w:tcPr>
          <w:p w:rsidR="007A252D" w:rsidRPr="00F14F85" w:rsidRDefault="007A252D" w:rsidP="00044AF0">
            <w:pPr>
              <w:spacing w:beforeLines="40" w:afterLines="40" w:line="240" w:lineRule="auto"/>
              <w:rPr>
                <w:smallCaps/>
                <w:sz w:val="20"/>
              </w:rPr>
            </w:pPr>
            <w:r w:rsidRPr="00F14F85">
              <w:rPr>
                <w:smallCaps/>
                <w:sz w:val="20"/>
              </w:rPr>
              <w:t>Leitlinien für die Vergabe</w:t>
            </w:r>
          </w:p>
        </w:tc>
        <w:tc>
          <w:tcPr>
            <w:tcW w:w="7828" w:type="dxa"/>
          </w:tcPr>
          <w:p w:rsidR="00587957" w:rsidRDefault="007A252D" w:rsidP="00044AF0">
            <w:pPr>
              <w:spacing w:beforeLines="40" w:afterLines="40" w:line="240" w:lineRule="auto"/>
              <w:jc w:val="left"/>
              <w:rPr>
                <w:sz w:val="18"/>
                <w:szCs w:val="24"/>
                <w:lang w:val="de-AT"/>
              </w:rPr>
            </w:pPr>
            <w:r w:rsidRPr="005501C4">
              <w:rPr>
                <w:sz w:val="18"/>
                <w:lang w:val="de-AT"/>
              </w:rPr>
              <w:t>Zuoberst steht das Bekenntnis, einen ‚guten‘ sozialen Mix anzustreben. Die Frage der ethni</w:t>
            </w:r>
            <w:r w:rsidR="003D6EA6">
              <w:rPr>
                <w:sz w:val="18"/>
                <w:lang w:val="de-AT"/>
              </w:rPr>
              <w:softHyphen/>
            </w:r>
            <w:r w:rsidRPr="005501C4">
              <w:rPr>
                <w:sz w:val="18"/>
                <w:lang w:val="de-AT"/>
              </w:rPr>
              <w:t xml:space="preserve">schen Zugehörigkeit spielt dabei eine eher nachrangige Bedeutung, u.a. weil es in den letzten Jahren vermehrt zu Einbürgerungen, </w:t>
            </w:r>
            <w:r w:rsidR="00C63F08">
              <w:rPr>
                <w:sz w:val="18"/>
                <w:lang w:val="de-AT"/>
              </w:rPr>
              <w:t>insbesondere</w:t>
            </w:r>
            <w:r w:rsidRPr="005501C4">
              <w:rPr>
                <w:sz w:val="18"/>
                <w:lang w:val="de-AT"/>
              </w:rPr>
              <w:t xml:space="preserve"> ehemals türkischer StaatsbürgerInnen, gekommen ist. In diesem Zusammenhang stellt sich das Problem, dass die sozialen Kriterien für die Gestaltung eines sozialverträglichen Mix eher unklar, schwammig, unscharf, intranspa</w:t>
            </w:r>
            <w:r w:rsidR="003D6EA6">
              <w:rPr>
                <w:sz w:val="18"/>
                <w:lang w:val="de-AT"/>
              </w:rPr>
              <w:softHyphen/>
            </w:r>
            <w:r w:rsidRPr="005501C4">
              <w:rPr>
                <w:sz w:val="18"/>
                <w:lang w:val="de-AT"/>
              </w:rPr>
              <w:t>rent etc. sind.</w:t>
            </w:r>
          </w:p>
        </w:tc>
      </w:tr>
      <w:tr w:rsidR="007A252D" w:rsidRPr="00DA5171" w:rsidTr="008F60B0">
        <w:tc>
          <w:tcPr>
            <w:tcW w:w="1384" w:type="dxa"/>
          </w:tcPr>
          <w:p w:rsidR="007A252D" w:rsidRPr="00F14F85" w:rsidRDefault="007A252D" w:rsidP="00044AF0">
            <w:pPr>
              <w:spacing w:beforeLines="40" w:afterLines="40" w:line="240" w:lineRule="auto"/>
              <w:rPr>
                <w:smallCaps/>
                <w:sz w:val="20"/>
              </w:rPr>
            </w:pPr>
            <w:r w:rsidRPr="00F14F85">
              <w:rPr>
                <w:smallCaps/>
                <w:sz w:val="20"/>
              </w:rPr>
              <w:t>Trends, Vorh</w:t>
            </w:r>
            <w:r w:rsidRPr="00F14F85">
              <w:rPr>
                <w:smallCaps/>
                <w:sz w:val="20"/>
              </w:rPr>
              <w:t>a</w:t>
            </w:r>
            <w:r w:rsidRPr="00F14F85">
              <w:rPr>
                <w:smallCaps/>
                <w:sz w:val="20"/>
              </w:rPr>
              <w:t>ben</w:t>
            </w:r>
          </w:p>
        </w:tc>
        <w:tc>
          <w:tcPr>
            <w:tcW w:w="7828" w:type="dxa"/>
          </w:tcPr>
          <w:p w:rsidR="00587957" w:rsidRDefault="007A252D" w:rsidP="00044AF0">
            <w:pPr>
              <w:spacing w:beforeLines="40" w:afterLines="40" w:line="240" w:lineRule="auto"/>
              <w:jc w:val="left"/>
              <w:rPr>
                <w:sz w:val="18"/>
                <w:szCs w:val="24"/>
                <w:lang w:val="de-AT"/>
              </w:rPr>
            </w:pPr>
            <w:r w:rsidRPr="005501C4">
              <w:rPr>
                <w:sz w:val="18"/>
                <w:lang w:val="de-AT"/>
              </w:rPr>
              <w:t>In der näheren Zukunft sollen die Mitsprache- und Mitwirkungsmöglichkeiten ausgebaut we</w:t>
            </w:r>
            <w:r w:rsidRPr="005501C4">
              <w:rPr>
                <w:sz w:val="18"/>
                <w:lang w:val="de-AT"/>
              </w:rPr>
              <w:t>r</w:t>
            </w:r>
            <w:r w:rsidRPr="005501C4">
              <w:rPr>
                <w:sz w:val="18"/>
                <w:lang w:val="de-AT"/>
              </w:rPr>
              <w:t>den. Weiters gilt es, die Einkommensgrenzen flexibler zu formulieren, damit es mehr Spie</w:t>
            </w:r>
            <w:r w:rsidRPr="005501C4">
              <w:rPr>
                <w:sz w:val="18"/>
                <w:lang w:val="de-AT"/>
              </w:rPr>
              <w:t>l</w:t>
            </w:r>
            <w:r w:rsidRPr="005501C4">
              <w:rPr>
                <w:sz w:val="18"/>
                <w:lang w:val="de-AT"/>
              </w:rPr>
              <w:t>räume im Kontext der hard facts und bei der Berücksichtigung von soft facts / weichen Krit</w:t>
            </w:r>
            <w:r w:rsidRPr="005501C4">
              <w:rPr>
                <w:sz w:val="18"/>
                <w:lang w:val="de-AT"/>
              </w:rPr>
              <w:t>e</w:t>
            </w:r>
            <w:r w:rsidRPr="005501C4">
              <w:rPr>
                <w:sz w:val="18"/>
                <w:lang w:val="de-AT"/>
              </w:rPr>
              <w:t xml:space="preserve">rien in der Vergabe geben kann. </w:t>
            </w:r>
          </w:p>
          <w:p w:rsidR="001E30B4" w:rsidRDefault="007A252D" w:rsidP="00044AF0">
            <w:pPr>
              <w:spacing w:beforeLines="40" w:afterLines="40" w:line="240" w:lineRule="auto"/>
              <w:jc w:val="left"/>
              <w:rPr>
                <w:sz w:val="18"/>
                <w:szCs w:val="24"/>
                <w:lang w:val="de-AT"/>
              </w:rPr>
            </w:pPr>
            <w:r w:rsidRPr="005501C4">
              <w:rPr>
                <w:sz w:val="18"/>
                <w:lang w:val="de-AT"/>
              </w:rPr>
              <w:t>Grundlage für die Vergabeentscheidung soll verstärkt das persönliche Gespräch sein, aber nicht einmischend</w:t>
            </w:r>
            <w:r w:rsidR="00E96F92">
              <w:rPr>
                <w:sz w:val="18"/>
                <w:lang w:val="de-AT"/>
              </w:rPr>
              <w:t xml:space="preserve">, </w:t>
            </w:r>
            <w:r w:rsidRPr="005501C4">
              <w:rPr>
                <w:sz w:val="18"/>
                <w:lang w:val="de-AT"/>
              </w:rPr>
              <w:t>sondern unterstützend.</w:t>
            </w:r>
          </w:p>
        </w:tc>
      </w:tr>
    </w:tbl>
    <w:p w:rsidR="00F14F85" w:rsidRDefault="00F14F85" w:rsidP="003D6EA6">
      <w:pPr>
        <w:spacing w:before="180" w:after="240" w:line="336" w:lineRule="auto"/>
        <w:rPr>
          <w:b/>
          <w:u w:val="single"/>
          <w:lang w:eastAsia="en-US"/>
        </w:rPr>
      </w:pPr>
    </w:p>
    <w:p w:rsidR="00A74454" w:rsidRDefault="00A74454">
      <w:pPr>
        <w:spacing w:before="180" w:after="240" w:line="336" w:lineRule="auto"/>
        <w:jc w:val="center"/>
        <w:rPr>
          <w:b/>
          <w:u w:val="single"/>
          <w:lang w:eastAsia="en-US"/>
        </w:rPr>
      </w:pPr>
      <w:r>
        <w:rPr>
          <w:b/>
          <w:u w:val="single"/>
          <w:lang w:eastAsia="en-US"/>
        </w:rPr>
        <w:br w:type="page"/>
      </w:r>
    </w:p>
    <w:p w:rsidR="007A252D" w:rsidRPr="008A4DEE" w:rsidRDefault="007A252D" w:rsidP="007A252D">
      <w:pPr>
        <w:rPr>
          <w:b/>
          <w:u w:val="single"/>
          <w:lang w:eastAsia="en-US"/>
        </w:rPr>
      </w:pPr>
      <w:r w:rsidRPr="008A4DEE">
        <w:rPr>
          <w:b/>
          <w:u w:val="single"/>
          <w:lang w:eastAsia="en-US"/>
        </w:rPr>
        <w:lastRenderedPageBreak/>
        <w:t>Fallbeispiel Linz</w:t>
      </w:r>
      <w:r w:rsidR="00A724FC">
        <w:rPr>
          <w:b/>
          <w:u w:val="single"/>
          <w:lang w:eastAsia="en-US"/>
        </w:rPr>
        <w:t>/ OÖ</w:t>
      </w:r>
    </w:p>
    <w:tbl>
      <w:tblPr>
        <w:tblStyle w:val="Tabellengitternetz"/>
        <w:tblW w:w="0" w:type="auto"/>
        <w:tblLayout w:type="fixed"/>
        <w:tblLook w:val="04A0"/>
      </w:tblPr>
      <w:tblGrid>
        <w:gridCol w:w="1668"/>
        <w:gridCol w:w="7620"/>
      </w:tblGrid>
      <w:tr w:rsidR="003D6EA6" w:rsidRPr="00DA5171" w:rsidTr="005A2CD8">
        <w:tc>
          <w:tcPr>
            <w:tcW w:w="1668" w:type="dxa"/>
          </w:tcPr>
          <w:p w:rsidR="003D6EA6" w:rsidRPr="00F14F85" w:rsidRDefault="003D6EA6" w:rsidP="00044AF0">
            <w:pPr>
              <w:spacing w:beforeLines="40" w:afterLines="40" w:line="240" w:lineRule="auto"/>
              <w:rPr>
                <w:smallCaps/>
                <w:sz w:val="20"/>
              </w:rPr>
            </w:pPr>
            <w:r w:rsidRPr="00F14F85">
              <w:rPr>
                <w:smallCaps/>
                <w:sz w:val="20"/>
              </w:rPr>
              <w:t>Zugang zu g</w:t>
            </w:r>
            <w:r w:rsidRPr="00F14F85">
              <w:rPr>
                <w:smallCaps/>
                <w:sz w:val="20"/>
              </w:rPr>
              <w:t>e</w:t>
            </w:r>
            <w:r w:rsidRPr="00F14F85">
              <w:rPr>
                <w:smallCaps/>
                <w:sz w:val="20"/>
              </w:rPr>
              <w:t>förderten Mietwohnungen</w:t>
            </w:r>
          </w:p>
        </w:tc>
        <w:tc>
          <w:tcPr>
            <w:tcW w:w="7620" w:type="dxa"/>
          </w:tcPr>
          <w:p w:rsidR="00587957" w:rsidRDefault="003D6EA6" w:rsidP="00044AF0">
            <w:pPr>
              <w:spacing w:beforeLines="40" w:afterLines="40" w:line="240" w:lineRule="auto"/>
              <w:jc w:val="left"/>
              <w:rPr>
                <w:sz w:val="18"/>
                <w:szCs w:val="26"/>
              </w:rPr>
            </w:pPr>
            <w:r w:rsidRPr="00AE457C">
              <w:rPr>
                <w:sz w:val="18"/>
                <w:szCs w:val="26"/>
              </w:rPr>
              <w:t xml:space="preserve">Die Wohnungsvergabe </w:t>
            </w:r>
            <w:r>
              <w:rPr>
                <w:sz w:val="18"/>
                <w:szCs w:val="26"/>
              </w:rPr>
              <w:t>liegt</w:t>
            </w:r>
            <w:r w:rsidRPr="00AE457C">
              <w:rPr>
                <w:sz w:val="18"/>
                <w:szCs w:val="26"/>
              </w:rPr>
              <w:t xml:space="preserve"> </w:t>
            </w:r>
            <w:r>
              <w:rPr>
                <w:sz w:val="18"/>
                <w:szCs w:val="26"/>
              </w:rPr>
              <w:t xml:space="preserve">in Oberösterreich </w:t>
            </w:r>
            <w:r w:rsidRPr="00AE457C">
              <w:rPr>
                <w:sz w:val="18"/>
                <w:szCs w:val="26"/>
              </w:rPr>
              <w:t>grundsätzlich</w:t>
            </w:r>
            <w:r>
              <w:rPr>
                <w:sz w:val="18"/>
                <w:szCs w:val="26"/>
              </w:rPr>
              <w:t xml:space="preserve"> in der Kompetenz von</w:t>
            </w:r>
            <w:r w:rsidRPr="00AE457C">
              <w:rPr>
                <w:sz w:val="18"/>
                <w:szCs w:val="26"/>
              </w:rPr>
              <w:t xml:space="preserve"> Gemei</w:t>
            </w:r>
            <w:r w:rsidRPr="00AE457C">
              <w:rPr>
                <w:sz w:val="18"/>
                <w:szCs w:val="26"/>
              </w:rPr>
              <w:t>n</w:t>
            </w:r>
            <w:r w:rsidRPr="00AE457C">
              <w:rPr>
                <w:sz w:val="18"/>
                <w:szCs w:val="26"/>
              </w:rPr>
              <w:t>den, Städte</w:t>
            </w:r>
            <w:r>
              <w:rPr>
                <w:sz w:val="18"/>
                <w:szCs w:val="26"/>
              </w:rPr>
              <w:t>n</w:t>
            </w:r>
            <w:r w:rsidRPr="00AE457C">
              <w:rPr>
                <w:sz w:val="18"/>
                <w:szCs w:val="26"/>
              </w:rPr>
              <w:t xml:space="preserve"> und </w:t>
            </w:r>
            <w:r>
              <w:rPr>
                <w:sz w:val="18"/>
                <w:szCs w:val="26"/>
              </w:rPr>
              <w:t>der</w:t>
            </w:r>
            <w:r w:rsidRPr="00AE457C">
              <w:rPr>
                <w:sz w:val="18"/>
                <w:szCs w:val="26"/>
              </w:rPr>
              <w:t xml:space="preserve"> Land</w:t>
            </w:r>
            <w:r>
              <w:rPr>
                <w:sz w:val="18"/>
                <w:szCs w:val="26"/>
              </w:rPr>
              <w:t>esregierung</w:t>
            </w:r>
            <w:r w:rsidRPr="00AE457C">
              <w:rPr>
                <w:sz w:val="18"/>
                <w:szCs w:val="26"/>
              </w:rPr>
              <w:t xml:space="preserve">, die ein Zuweisungsrecht haben. </w:t>
            </w:r>
            <w:r>
              <w:rPr>
                <w:sz w:val="18"/>
                <w:szCs w:val="26"/>
              </w:rPr>
              <w:t>Eine Ausnahme stellt jedoch die Situation in der Stadt Linz dar, die nicht nur die ehemaligen Gemeindewo</w:t>
            </w:r>
            <w:r>
              <w:rPr>
                <w:sz w:val="18"/>
                <w:szCs w:val="26"/>
              </w:rPr>
              <w:t>h</w:t>
            </w:r>
            <w:r>
              <w:rPr>
                <w:sz w:val="18"/>
                <w:szCs w:val="26"/>
              </w:rPr>
              <w:t>nungen in eine Gemeinnützige Wohngenossenschaft ausgelagert hat, sondern auch die Vergabe der geförderten Mietwohnungen durchgängig den Genossenschaften übertragen hat. Demgemäß gibt es in Linz keine zentrale Wohnungsvergabe und nur eine eingeschrän</w:t>
            </w:r>
            <w:r>
              <w:rPr>
                <w:sz w:val="18"/>
                <w:szCs w:val="26"/>
              </w:rPr>
              <w:t>k</w:t>
            </w:r>
            <w:r>
              <w:rPr>
                <w:sz w:val="18"/>
                <w:szCs w:val="26"/>
              </w:rPr>
              <w:t>te Transparenz über freie Wohnungen und Prozedere der Vergabe. Wohnungssuchende sind darauf verwiesen, sich bei den Genossenschaften anzumelden.</w:t>
            </w:r>
          </w:p>
          <w:p w:rsidR="001E30B4" w:rsidRDefault="00A724FC" w:rsidP="00044AF0">
            <w:pPr>
              <w:spacing w:beforeLines="40" w:afterLines="40" w:line="240" w:lineRule="auto"/>
              <w:jc w:val="left"/>
              <w:rPr>
                <w:sz w:val="18"/>
                <w:szCs w:val="26"/>
              </w:rPr>
            </w:pPr>
            <w:r>
              <w:rPr>
                <w:sz w:val="18"/>
                <w:szCs w:val="26"/>
              </w:rPr>
              <w:t xml:space="preserve">Gemeinnütziger Wohnbauträger: </w:t>
            </w:r>
            <w:r w:rsidR="000D2265">
              <w:rPr>
                <w:sz w:val="18"/>
                <w:szCs w:val="26"/>
              </w:rPr>
              <w:t>„</w:t>
            </w:r>
            <w:r w:rsidR="003D6EA6">
              <w:rPr>
                <w:sz w:val="18"/>
                <w:szCs w:val="26"/>
              </w:rPr>
              <w:t>Die</w:t>
            </w:r>
            <w:r w:rsidR="003D6EA6" w:rsidRPr="005E6DAF">
              <w:rPr>
                <w:sz w:val="18"/>
                <w:szCs w:val="26"/>
              </w:rPr>
              <w:t xml:space="preserve"> Vergaberichtlinien </w:t>
            </w:r>
            <w:r w:rsidR="003D6EA6">
              <w:rPr>
                <w:sz w:val="18"/>
                <w:szCs w:val="26"/>
              </w:rPr>
              <w:t xml:space="preserve">der Wohnbauförderung sehen vor, dass Wohnungen </w:t>
            </w:r>
            <w:r w:rsidR="003D6EA6" w:rsidRPr="005E6DAF">
              <w:rPr>
                <w:sz w:val="18"/>
                <w:szCs w:val="26"/>
              </w:rPr>
              <w:t xml:space="preserve">an </w:t>
            </w:r>
            <w:r w:rsidR="003D6EA6">
              <w:rPr>
                <w:sz w:val="18"/>
                <w:szCs w:val="26"/>
              </w:rPr>
              <w:t xml:space="preserve">InländerInnen sowie an EU- und </w:t>
            </w:r>
            <w:r w:rsidR="003D6EA6" w:rsidRPr="005E6DAF">
              <w:rPr>
                <w:sz w:val="18"/>
                <w:szCs w:val="26"/>
              </w:rPr>
              <w:t>EWR Bürger</w:t>
            </w:r>
            <w:r w:rsidR="003D6EA6">
              <w:rPr>
                <w:sz w:val="18"/>
                <w:szCs w:val="26"/>
              </w:rPr>
              <w:t xml:space="preserve">Innen, an </w:t>
            </w:r>
            <w:r w:rsidR="003D6EA6" w:rsidRPr="005E6DAF">
              <w:rPr>
                <w:sz w:val="18"/>
                <w:szCs w:val="26"/>
              </w:rPr>
              <w:t>Konvention</w:t>
            </w:r>
            <w:r w:rsidR="003D6EA6" w:rsidRPr="005E6DAF">
              <w:rPr>
                <w:sz w:val="18"/>
                <w:szCs w:val="26"/>
              </w:rPr>
              <w:t>s</w:t>
            </w:r>
            <w:r w:rsidR="003D6EA6" w:rsidRPr="005E6DAF">
              <w:rPr>
                <w:sz w:val="18"/>
                <w:szCs w:val="26"/>
              </w:rPr>
              <w:t>flüchtlinge</w:t>
            </w:r>
            <w:r w:rsidR="003D6EA6">
              <w:rPr>
                <w:sz w:val="18"/>
                <w:szCs w:val="26"/>
              </w:rPr>
              <w:t xml:space="preserve"> sowie Drittstaatsangehörige aus Bosnien, Kroatien, Mazedonien oder der Türkei vergeben werden können</w:t>
            </w:r>
            <w:r w:rsidR="003D6EA6" w:rsidRPr="005E6DAF">
              <w:rPr>
                <w:sz w:val="18"/>
                <w:szCs w:val="26"/>
              </w:rPr>
              <w:t>.</w:t>
            </w:r>
            <w:r w:rsidR="000D2265">
              <w:rPr>
                <w:sz w:val="18"/>
                <w:szCs w:val="26"/>
              </w:rPr>
              <w:t>“</w:t>
            </w:r>
          </w:p>
          <w:p w:rsidR="00543105" w:rsidRPr="00543105" w:rsidRDefault="00543105" w:rsidP="00044AF0">
            <w:pPr>
              <w:spacing w:beforeLines="40" w:afterLines="40" w:line="240" w:lineRule="auto"/>
              <w:jc w:val="left"/>
              <w:rPr>
                <w:sz w:val="18"/>
                <w:szCs w:val="20"/>
                <w:lang w:val="de-AT"/>
              </w:rPr>
            </w:pPr>
            <w:r w:rsidRPr="00543105">
              <w:rPr>
                <w:sz w:val="18"/>
                <w:szCs w:val="20"/>
                <w:lang w:val="de-AT"/>
              </w:rPr>
              <w:t>Konventionsflüchtlinge sind bei der Definition von förderwürdigen Personen im Wohnbaufö</w:t>
            </w:r>
            <w:r w:rsidRPr="00543105">
              <w:rPr>
                <w:sz w:val="18"/>
                <w:szCs w:val="20"/>
                <w:lang w:val="de-AT"/>
              </w:rPr>
              <w:t>r</w:t>
            </w:r>
            <w:r w:rsidRPr="00543105">
              <w:rPr>
                <w:sz w:val="18"/>
                <w:szCs w:val="20"/>
                <w:lang w:val="de-AT"/>
              </w:rPr>
              <w:t>derungsgesetz nicht explizit angeführt, haben jedoch bei einzelnen genossenschaftlichen Bauträgern uneingeschränkten Zugang zu geförderten Mietwohnungen.</w:t>
            </w:r>
          </w:p>
          <w:p w:rsidR="001E30B4" w:rsidRDefault="00543105" w:rsidP="00044AF0">
            <w:pPr>
              <w:spacing w:beforeLines="40" w:afterLines="40" w:line="240" w:lineRule="auto"/>
              <w:jc w:val="left"/>
              <w:rPr>
                <w:sz w:val="18"/>
                <w:szCs w:val="24"/>
              </w:rPr>
            </w:pPr>
            <w:r w:rsidRPr="00543105">
              <w:rPr>
                <w:sz w:val="18"/>
                <w:szCs w:val="20"/>
                <w:lang w:val="de-AT"/>
              </w:rPr>
              <w:t>Subsidiär Schutzberechtigte sind nicht dezidiert ausgeschlossen und können bei einzelnen genossenschaftlichen Bauträgern einen Antrag auf Wohnversorgung einbringen.</w:t>
            </w:r>
          </w:p>
        </w:tc>
      </w:tr>
      <w:tr w:rsidR="00A74454" w:rsidRPr="00DA5171" w:rsidTr="005A2CD8">
        <w:tc>
          <w:tcPr>
            <w:tcW w:w="1668" w:type="dxa"/>
          </w:tcPr>
          <w:p w:rsidR="00A74454" w:rsidRPr="00F14F85" w:rsidRDefault="00A74454" w:rsidP="00044AF0">
            <w:pPr>
              <w:spacing w:beforeLines="40" w:afterLines="40" w:line="240" w:lineRule="auto"/>
              <w:rPr>
                <w:smallCaps/>
                <w:sz w:val="20"/>
              </w:rPr>
            </w:pPr>
            <w:r>
              <w:rPr>
                <w:smallCaps/>
                <w:sz w:val="20"/>
              </w:rPr>
              <w:t>Gefördertes Wohneigentum</w:t>
            </w:r>
          </w:p>
        </w:tc>
        <w:tc>
          <w:tcPr>
            <w:tcW w:w="7620" w:type="dxa"/>
          </w:tcPr>
          <w:p w:rsidR="00C65096" w:rsidRDefault="00C65096" w:rsidP="00044AF0">
            <w:pPr>
              <w:spacing w:beforeLines="40" w:afterLines="40" w:line="240" w:lineRule="auto"/>
              <w:jc w:val="left"/>
              <w:rPr>
                <w:sz w:val="18"/>
                <w:szCs w:val="26"/>
              </w:rPr>
            </w:pPr>
            <w:r>
              <w:rPr>
                <w:sz w:val="18"/>
                <w:szCs w:val="26"/>
              </w:rPr>
              <w:t>Uneingeschränkten Zugang zu gefördertem Wohneigentum haben InländerInnen und EWR-AusländerInnen. Konventionsflüchtlinge sind in der Regelung der Gleichstellung mit Inländ</w:t>
            </w:r>
            <w:r>
              <w:rPr>
                <w:sz w:val="18"/>
                <w:szCs w:val="26"/>
              </w:rPr>
              <w:t>e</w:t>
            </w:r>
            <w:r>
              <w:rPr>
                <w:sz w:val="18"/>
                <w:szCs w:val="26"/>
              </w:rPr>
              <w:t>rInnen nicht dezidiert erwähnt.</w:t>
            </w:r>
          </w:p>
          <w:p w:rsidR="00C65096" w:rsidRPr="00AE457C" w:rsidRDefault="00A74454" w:rsidP="00044AF0">
            <w:pPr>
              <w:spacing w:beforeLines="40" w:afterLines="40" w:line="240" w:lineRule="auto"/>
              <w:jc w:val="left"/>
              <w:rPr>
                <w:sz w:val="18"/>
                <w:szCs w:val="26"/>
              </w:rPr>
            </w:pPr>
            <w:r>
              <w:rPr>
                <w:sz w:val="18"/>
                <w:szCs w:val="26"/>
              </w:rPr>
              <w:t>Drittstaatsangehörige haben nach einem fünfjährigen regulären Aufenthalt in Österreich Zugang zu gefördertem Wohneigentum</w:t>
            </w:r>
            <w:r w:rsidR="00C65096">
              <w:rPr>
                <w:sz w:val="18"/>
                <w:szCs w:val="26"/>
              </w:rPr>
              <w:t>, erforderlich dafür ist eine Grunderwerbsgenehm</w:t>
            </w:r>
            <w:r w:rsidR="00C65096">
              <w:rPr>
                <w:sz w:val="18"/>
                <w:szCs w:val="26"/>
              </w:rPr>
              <w:t>i</w:t>
            </w:r>
            <w:r w:rsidR="00C65096">
              <w:rPr>
                <w:sz w:val="18"/>
                <w:szCs w:val="26"/>
              </w:rPr>
              <w:t xml:space="preserve">gung. </w:t>
            </w:r>
          </w:p>
        </w:tc>
      </w:tr>
      <w:tr w:rsidR="003D6EA6" w:rsidRPr="00DA5171" w:rsidTr="005A2CD8">
        <w:tc>
          <w:tcPr>
            <w:tcW w:w="1668" w:type="dxa"/>
          </w:tcPr>
          <w:p w:rsidR="003D6EA6" w:rsidRPr="00F14F85" w:rsidRDefault="003D6EA6" w:rsidP="00044AF0">
            <w:pPr>
              <w:spacing w:beforeLines="40" w:afterLines="40" w:line="240" w:lineRule="auto"/>
              <w:rPr>
                <w:smallCaps/>
                <w:sz w:val="20"/>
              </w:rPr>
            </w:pPr>
            <w:r w:rsidRPr="00F14F85">
              <w:rPr>
                <w:smallCaps/>
                <w:sz w:val="20"/>
              </w:rPr>
              <w:t>Vergabe</w:t>
            </w:r>
          </w:p>
        </w:tc>
        <w:tc>
          <w:tcPr>
            <w:tcW w:w="7620" w:type="dxa"/>
          </w:tcPr>
          <w:p w:rsidR="00587957" w:rsidRDefault="003D6EA6" w:rsidP="00044AF0">
            <w:pPr>
              <w:spacing w:beforeLines="40" w:afterLines="40" w:line="240" w:lineRule="auto"/>
              <w:jc w:val="left"/>
              <w:rPr>
                <w:sz w:val="18"/>
                <w:szCs w:val="26"/>
              </w:rPr>
            </w:pPr>
            <w:r w:rsidRPr="00C55B67">
              <w:rPr>
                <w:sz w:val="18"/>
                <w:szCs w:val="26"/>
                <w:u w:val="single"/>
              </w:rPr>
              <w:t>Gemeinnütziger Wohnbauträger</w:t>
            </w:r>
            <w:r>
              <w:rPr>
                <w:sz w:val="18"/>
                <w:szCs w:val="26"/>
              </w:rPr>
              <w:t xml:space="preserve">: Die Wohnungsvergabe erfolgt nach den Richtlinien der Wohnbauförderung. </w:t>
            </w:r>
            <w:r w:rsidRPr="00C413B9">
              <w:rPr>
                <w:sz w:val="18"/>
                <w:szCs w:val="26"/>
              </w:rPr>
              <w:t xml:space="preserve">Die </w:t>
            </w:r>
            <w:r>
              <w:rPr>
                <w:sz w:val="18"/>
                <w:szCs w:val="26"/>
              </w:rPr>
              <w:t>WohnungswerberInnen</w:t>
            </w:r>
            <w:r w:rsidRPr="00C413B9">
              <w:rPr>
                <w:sz w:val="18"/>
                <w:szCs w:val="26"/>
              </w:rPr>
              <w:t xml:space="preserve"> können </w:t>
            </w:r>
            <w:r>
              <w:rPr>
                <w:sz w:val="18"/>
                <w:szCs w:val="26"/>
              </w:rPr>
              <w:t xml:space="preserve">sich </w:t>
            </w:r>
            <w:r w:rsidRPr="00C413B9">
              <w:rPr>
                <w:sz w:val="18"/>
                <w:szCs w:val="26"/>
              </w:rPr>
              <w:t xml:space="preserve">über die Homepage </w:t>
            </w:r>
            <w:r>
              <w:rPr>
                <w:sz w:val="18"/>
                <w:szCs w:val="26"/>
              </w:rPr>
              <w:t>des g</w:t>
            </w:r>
            <w:r>
              <w:rPr>
                <w:sz w:val="18"/>
                <w:szCs w:val="26"/>
              </w:rPr>
              <w:t>e</w:t>
            </w:r>
            <w:r>
              <w:rPr>
                <w:sz w:val="18"/>
                <w:szCs w:val="26"/>
              </w:rPr>
              <w:t>meinnützigen Trägers direkt anmelden</w:t>
            </w:r>
            <w:r w:rsidRPr="00C413B9">
              <w:rPr>
                <w:sz w:val="18"/>
                <w:szCs w:val="26"/>
              </w:rPr>
              <w:t xml:space="preserve">. Bei der Auswahl </w:t>
            </w:r>
            <w:r>
              <w:rPr>
                <w:sz w:val="18"/>
                <w:szCs w:val="26"/>
              </w:rPr>
              <w:t xml:space="preserve">der WohnungswerberInnen geht es wesentlich </w:t>
            </w:r>
            <w:r w:rsidRPr="00C413B9">
              <w:rPr>
                <w:sz w:val="18"/>
                <w:szCs w:val="26"/>
              </w:rPr>
              <w:t>um das Einkommen in Relation zu Wohnungs- und Familiengröße. Es entscheidet ein Team</w:t>
            </w:r>
            <w:r>
              <w:rPr>
                <w:sz w:val="18"/>
                <w:szCs w:val="26"/>
              </w:rPr>
              <w:t xml:space="preserve">. Für die Vergabe selbst gibt </w:t>
            </w:r>
            <w:r w:rsidRPr="00C413B9">
              <w:rPr>
                <w:sz w:val="18"/>
                <w:szCs w:val="26"/>
              </w:rPr>
              <w:t>es keine schriftlichen Richtlinien. Migrationshinte</w:t>
            </w:r>
            <w:r w:rsidRPr="00C413B9">
              <w:rPr>
                <w:sz w:val="18"/>
                <w:szCs w:val="26"/>
              </w:rPr>
              <w:t>r</w:t>
            </w:r>
            <w:r w:rsidRPr="00C413B9">
              <w:rPr>
                <w:sz w:val="18"/>
                <w:szCs w:val="26"/>
              </w:rPr>
              <w:t xml:space="preserve">grund </w:t>
            </w:r>
            <w:r>
              <w:rPr>
                <w:sz w:val="18"/>
                <w:szCs w:val="26"/>
              </w:rPr>
              <w:t xml:space="preserve">bei WohnungswerberInnen </w:t>
            </w:r>
            <w:r w:rsidRPr="00C413B9">
              <w:rPr>
                <w:sz w:val="18"/>
                <w:szCs w:val="26"/>
              </w:rPr>
              <w:t xml:space="preserve">ist </w:t>
            </w:r>
            <w:r>
              <w:rPr>
                <w:sz w:val="18"/>
                <w:szCs w:val="26"/>
              </w:rPr>
              <w:t>gemäß der Selbsteinschätzung durch Interviewpartn</w:t>
            </w:r>
            <w:r>
              <w:rPr>
                <w:sz w:val="18"/>
                <w:szCs w:val="26"/>
              </w:rPr>
              <w:t>e</w:t>
            </w:r>
            <w:r>
              <w:rPr>
                <w:sz w:val="18"/>
                <w:szCs w:val="26"/>
              </w:rPr>
              <w:t xml:space="preserve">rInnen aus diesem Bereich bei der Vergabe </w:t>
            </w:r>
            <w:r w:rsidRPr="00C413B9">
              <w:rPr>
                <w:sz w:val="18"/>
                <w:szCs w:val="26"/>
              </w:rPr>
              <w:t>kein Thema</w:t>
            </w:r>
            <w:r>
              <w:rPr>
                <w:sz w:val="18"/>
                <w:szCs w:val="26"/>
              </w:rPr>
              <w:t>.</w:t>
            </w:r>
            <w:r w:rsidRPr="00C413B9">
              <w:rPr>
                <w:sz w:val="18"/>
                <w:szCs w:val="26"/>
              </w:rPr>
              <w:t xml:space="preserve"> </w:t>
            </w:r>
          </w:p>
          <w:p w:rsidR="001E30B4" w:rsidRDefault="003D6EA6" w:rsidP="00044AF0">
            <w:pPr>
              <w:spacing w:beforeLines="40" w:afterLines="40" w:line="240" w:lineRule="auto"/>
              <w:jc w:val="left"/>
              <w:rPr>
                <w:sz w:val="18"/>
                <w:szCs w:val="26"/>
              </w:rPr>
            </w:pPr>
            <w:r>
              <w:rPr>
                <w:sz w:val="18"/>
                <w:szCs w:val="26"/>
                <w:u w:val="single"/>
              </w:rPr>
              <w:t>Beratungseinrichtung für MigrantInnen</w:t>
            </w:r>
            <w:r w:rsidRPr="00C55B67">
              <w:rPr>
                <w:sz w:val="18"/>
                <w:szCs w:val="26"/>
              </w:rPr>
              <w:t xml:space="preserve">: </w:t>
            </w:r>
            <w:r>
              <w:rPr>
                <w:sz w:val="18"/>
                <w:szCs w:val="26"/>
              </w:rPr>
              <w:t>Einzelne InterviewpartnerInnen verweisen auf ihren Eindruck, wonach es MigrantInnen schwerer haben als InländerInnen, eine Wohnung zu erhalten, dass es bei ihnen länger dauert und / oder dass eine Intervention durch eine Ber</w:t>
            </w:r>
            <w:r>
              <w:rPr>
                <w:sz w:val="18"/>
                <w:szCs w:val="26"/>
              </w:rPr>
              <w:t>a</w:t>
            </w:r>
            <w:r>
              <w:rPr>
                <w:sz w:val="18"/>
                <w:szCs w:val="26"/>
              </w:rPr>
              <w:t>tungs- oder Vertretungsstelle erforderlich ist, damit diese einen persönlichen Termin zur Darstellung ihres konkreten Wohnbedarfs erhalten.</w:t>
            </w:r>
          </w:p>
          <w:p w:rsidR="001E30B4" w:rsidRDefault="003D6EA6" w:rsidP="00044AF0">
            <w:pPr>
              <w:spacing w:beforeLines="40" w:afterLines="40" w:line="240" w:lineRule="auto"/>
              <w:jc w:val="left"/>
              <w:rPr>
                <w:sz w:val="18"/>
                <w:szCs w:val="26"/>
              </w:rPr>
            </w:pPr>
            <w:r w:rsidRPr="00C1732B">
              <w:rPr>
                <w:sz w:val="18"/>
                <w:szCs w:val="26"/>
                <w:u w:val="single"/>
              </w:rPr>
              <w:t>Flüchtlingshilfe</w:t>
            </w:r>
            <w:r>
              <w:rPr>
                <w:sz w:val="18"/>
                <w:szCs w:val="26"/>
              </w:rPr>
              <w:t>: KlientInnen der Flüchtlingshilfe beklagen, dass sie trotz Anerkennung als Konventionsflüchtling bei der Antragstellung auf eine geförderte Wohnung einen Nachweis über eine langfristige Aufenthaltsbewilligung beibringen müssen – analog zu Drittstaatsa</w:t>
            </w:r>
            <w:r>
              <w:rPr>
                <w:sz w:val="18"/>
                <w:szCs w:val="26"/>
              </w:rPr>
              <w:t>n</w:t>
            </w:r>
            <w:r>
              <w:rPr>
                <w:sz w:val="18"/>
                <w:szCs w:val="26"/>
              </w:rPr>
              <w:t>gehörigen. Es bedarf in diesen Fällen einer Intervention der Beratungsstelle, damit ane</w:t>
            </w:r>
            <w:r>
              <w:rPr>
                <w:sz w:val="18"/>
                <w:szCs w:val="26"/>
              </w:rPr>
              <w:t>r</w:t>
            </w:r>
            <w:r>
              <w:rPr>
                <w:sz w:val="18"/>
                <w:szCs w:val="26"/>
              </w:rPr>
              <w:t>kannte Flüchtlinge gemäß ihrem Status und Anspruch auf Gleichbehandlung bei der Wo</w:t>
            </w:r>
            <w:r>
              <w:rPr>
                <w:sz w:val="18"/>
                <w:szCs w:val="26"/>
              </w:rPr>
              <w:t>h</w:t>
            </w:r>
            <w:r>
              <w:rPr>
                <w:sz w:val="18"/>
                <w:szCs w:val="26"/>
              </w:rPr>
              <w:t>nungsvergabe berücksichtigt werden. Erschwert wird die Wohnungsvergabe an Konvention</w:t>
            </w:r>
            <w:r>
              <w:rPr>
                <w:sz w:val="18"/>
                <w:szCs w:val="26"/>
              </w:rPr>
              <w:t>s</w:t>
            </w:r>
            <w:r>
              <w:rPr>
                <w:sz w:val="18"/>
                <w:szCs w:val="26"/>
              </w:rPr>
              <w:t>flüchtlinge dadurch, dass sie sich erst nach Beendigung der Bundesbetreuung um eine g</w:t>
            </w:r>
            <w:r>
              <w:rPr>
                <w:sz w:val="18"/>
                <w:szCs w:val="26"/>
              </w:rPr>
              <w:t>e</w:t>
            </w:r>
            <w:r>
              <w:rPr>
                <w:sz w:val="18"/>
                <w:szCs w:val="26"/>
              </w:rPr>
              <w:t>förderte Wohnung bewerben dürfen, dann jedoch damit konfrontiert sind, dass sie die erfo</w:t>
            </w:r>
            <w:r>
              <w:rPr>
                <w:sz w:val="18"/>
                <w:szCs w:val="26"/>
              </w:rPr>
              <w:t>r</w:t>
            </w:r>
            <w:r>
              <w:rPr>
                <w:sz w:val="18"/>
                <w:szCs w:val="26"/>
              </w:rPr>
              <w:t>derlichen Meldezeiten (durchschnittlich zwei Jahre wohnhaft vor Ort) nicht erbringen kö</w:t>
            </w:r>
            <w:r>
              <w:rPr>
                <w:sz w:val="18"/>
                <w:szCs w:val="26"/>
              </w:rPr>
              <w:t>n</w:t>
            </w:r>
            <w:r>
              <w:rPr>
                <w:sz w:val="18"/>
                <w:szCs w:val="26"/>
              </w:rPr>
              <w:t>nen.</w:t>
            </w:r>
          </w:p>
          <w:p w:rsidR="001E30B4" w:rsidRDefault="003D6EA6" w:rsidP="00044AF0">
            <w:pPr>
              <w:spacing w:beforeLines="40" w:afterLines="40" w:line="240" w:lineRule="auto"/>
              <w:jc w:val="left"/>
              <w:rPr>
                <w:sz w:val="18"/>
                <w:szCs w:val="24"/>
              </w:rPr>
            </w:pPr>
            <w:r>
              <w:rPr>
                <w:sz w:val="18"/>
                <w:szCs w:val="26"/>
                <w:u w:val="single"/>
              </w:rPr>
              <w:t>WLH / Betreutes Wohnen</w:t>
            </w:r>
            <w:r>
              <w:rPr>
                <w:sz w:val="18"/>
                <w:szCs w:val="26"/>
              </w:rPr>
              <w:t>: Die Vergabe von geförderten Wohnungen erfolgt auf der Grun</w:t>
            </w:r>
            <w:r>
              <w:rPr>
                <w:sz w:val="18"/>
                <w:szCs w:val="26"/>
              </w:rPr>
              <w:t>d</w:t>
            </w:r>
            <w:r>
              <w:rPr>
                <w:sz w:val="18"/>
                <w:szCs w:val="26"/>
              </w:rPr>
              <w:t>lage einer bewährten Kooperation zwischen WLH und Gemeinnützigen Wohnbauträgern (insbesondere im Kontext der Vernetzung in der Wohnplattform) und ist von wechselseit</w:t>
            </w:r>
            <w:r>
              <w:rPr>
                <w:sz w:val="18"/>
                <w:szCs w:val="26"/>
              </w:rPr>
              <w:t>i</w:t>
            </w:r>
            <w:r>
              <w:rPr>
                <w:sz w:val="18"/>
                <w:szCs w:val="26"/>
              </w:rPr>
              <w:t>gem Vertrauen bestimmt. Eine Empfehlung durch eine MitarbeiterIn des Betreuten Wohnens stellt in diesem Sinne auch eine Verpflichtungserklärung dar, bei Problemen / Konflikten / Beschwerden einzuspringen.</w:t>
            </w:r>
          </w:p>
        </w:tc>
      </w:tr>
      <w:tr w:rsidR="003D6EA6" w:rsidRPr="00DA5171" w:rsidTr="005A2CD8">
        <w:tc>
          <w:tcPr>
            <w:tcW w:w="1668" w:type="dxa"/>
          </w:tcPr>
          <w:p w:rsidR="003D6EA6" w:rsidRPr="00F14F85" w:rsidRDefault="003D6EA6" w:rsidP="00044AF0">
            <w:pPr>
              <w:spacing w:beforeLines="40" w:afterLines="40" w:line="240" w:lineRule="auto"/>
              <w:rPr>
                <w:smallCaps/>
                <w:sz w:val="20"/>
              </w:rPr>
            </w:pPr>
            <w:r w:rsidRPr="00F14F85">
              <w:rPr>
                <w:smallCaps/>
                <w:sz w:val="20"/>
              </w:rPr>
              <w:t>Leitlinien für die Vergabe</w:t>
            </w:r>
          </w:p>
        </w:tc>
        <w:tc>
          <w:tcPr>
            <w:tcW w:w="7620" w:type="dxa"/>
          </w:tcPr>
          <w:p w:rsidR="00587957" w:rsidRDefault="003D6EA6" w:rsidP="00044AF0">
            <w:pPr>
              <w:spacing w:beforeLines="40" w:afterLines="40" w:line="240" w:lineRule="auto"/>
              <w:jc w:val="left"/>
              <w:rPr>
                <w:sz w:val="18"/>
                <w:szCs w:val="26"/>
                <w:u w:val="single"/>
              </w:rPr>
            </w:pPr>
            <w:r>
              <w:rPr>
                <w:sz w:val="18"/>
                <w:szCs w:val="26"/>
                <w:u w:val="single"/>
              </w:rPr>
              <w:t>Gemeinnütziger Wohnbauträger</w:t>
            </w:r>
            <w:r w:rsidRPr="00934BB6">
              <w:rPr>
                <w:sz w:val="18"/>
                <w:szCs w:val="26"/>
              </w:rPr>
              <w:t xml:space="preserve">: </w:t>
            </w:r>
            <w:r>
              <w:rPr>
                <w:sz w:val="18"/>
                <w:szCs w:val="26"/>
              </w:rPr>
              <w:t>In</w:t>
            </w:r>
            <w:r w:rsidRPr="00A863CF">
              <w:rPr>
                <w:sz w:val="18"/>
                <w:szCs w:val="26"/>
              </w:rPr>
              <w:t xml:space="preserve"> der Vergabe </w:t>
            </w:r>
            <w:r>
              <w:rPr>
                <w:sz w:val="18"/>
                <w:szCs w:val="26"/>
              </w:rPr>
              <w:t>wird eine soziale</w:t>
            </w:r>
            <w:r w:rsidRPr="00A863CF">
              <w:rPr>
                <w:sz w:val="18"/>
                <w:szCs w:val="26"/>
              </w:rPr>
              <w:t xml:space="preserve"> Durchmischung</w:t>
            </w:r>
            <w:r>
              <w:rPr>
                <w:sz w:val="18"/>
                <w:szCs w:val="26"/>
              </w:rPr>
              <w:t xml:space="preserve"> ang</w:t>
            </w:r>
            <w:r>
              <w:rPr>
                <w:sz w:val="18"/>
                <w:szCs w:val="26"/>
              </w:rPr>
              <w:t>e</w:t>
            </w:r>
            <w:r>
              <w:rPr>
                <w:sz w:val="18"/>
                <w:szCs w:val="26"/>
              </w:rPr>
              <w:t>strebt</w:t>
            </w:r>
            <w:r w:rsidRPr="00A863CF">
              <w:rPr>
                <w:sz w:val="18"/>
                <w:szCs w:val="26"/>
              </w:rPr>
              <w:t xml:space="preserve">. </w:t>
            </w:r>
            <w:r>
              <w:rPr>
                <w:sz w:val="18"/>
                <w:szCs w:val="26"/>
              </w:rPr>
              <w:t>„Aufbauend auf</w:t>
            </w:r>
            <w:r w:rsidRPr="00A863CF">
              <w:rPr>
                <w:sz w:val="18"/>
                <w:szCs w:val="26"/>
              </w:rPr>
              <w:t xml:space="preserve"> eine</w:t>
            </w:r>
            <w:r>
              <w:rPr>
                <w:sz w:val="18"/>
                <w:szCs w:val="26"/>
              </w:rPr>
              <w:t>r</w:t>
            </w:r>
            <w:r w:rsidRPr="00A863CF">
              <w:rPr>
                <w:sz w:val="18"/>
                <w:szCs w:val="26"/>
              </w:rPr>
              <w:t xml:space="preserve"> gute</w:t>
            </w:r>
            <w:r>
              <w:rPr>
                <w:sz w:val="18"/>
                <w:szCs w:val="26"/>
              </w:rPr>
              <w:t>n</w:t>
            </w:r>
            <w:r w:rsidRPr="00A863CF">
              <w:rPr>
                <w:sz w:val="18"/>
                <w:szCs w:val="26"/>
              </w:rPr>
              <w:t xml:space="preserve"> Durchmischung kann ich was machen.</w:t>
            </w:r>
            <w:r>
              <w:rPr>
                <w:sz w:val="18"/>
                <w:szCs w:val="26"/>
              </w:rPr>
              <w:t>“</w:t>
            </w:r>
          </w:p>
          <w:p w:rsidR="001E30B4" w:rsidRDefault="003D6EA6" w:rsidP="00044AF0">
            <w:pPr>
              <w:spacing w:beforeLines="40" w:afterLines="40" w:line="240" w:lineRule="auto"/>
              <w:jc w:val="left"/>
              <w:rPr>
                <w:sz w:val="18"/>
                <w:szCs w:val="26"/>
              </w:rPr>
            </w:pPr>
            <w:r w:rsidRPr="00C55B67">
              <w:rPr>
                <w:sz w:val="18"/>
                <w:szCs w:val="26"/>
                <w:u w:val="single"/>
              </w:rPr>
              <w:t>Gebäude- und Siedlungsverwaltung</w:t>
            </w:r>
            <w:r>
              <w:rPr>
                <w:sz w:val="18"/>
                <w:szCs w:val="26"/>
              </w:rPr>
              <w:t xml:space="preserve">: Eine </w:t>
            </w:r>
            <w:r w:rsidRPr="00A863CF">
              <w:rPr>
                <w:sz w:val="18"/>
                <w:szCs w:val="26"/>
              </w:rPr>
              <w:t xml:space="preserve">Hauptaufgabe </w:t>
            </w:r>
            <w:r>
              <w:rPr>
                <w:sz w:val="18"/>
                <w:szCs w:val="26"/>
              </w:rPr>
              <w:t>in der Gebäude- und Siedlungsve</w:t>
            </w:r>
            <w:r>
              <w:rPr>
                <w:sz w:val="18"/>
                <w:szCs w:val="26"/>
              </w:rPr>
              <w:t>r</w:t>
            </w:r>
            <w:r>
              <w:rPr>
                <w:sz w:val="18"/>
                <w:szCs w:val="26"/>
              </w:rPr>
              <w:t xml:space="preserve">waltung </w:t>
            </w:r>
            <w:r w:rsidRPr="00A863CF">
              <w:rPr>
                <w:sz w:val="18"/>
                <w:szCs w:val="26"/>
              </w:rPr>
              <w:t xml:space="preserve">ist das Konfliktmanagement, </w:t>
            </w:r>
            <w:r>
              <w:rPr>
                <w:sz w:val="18"/>
                <w:szCs w:val="26"/>
              </w:rPr>
              <w:t xml:space="preserve">wobei auf die Beobachtung verwiesen wird, dass </w:t>
            </w:r>
            <w:r w:rsidRPr="00A863CF">
              <w:rPr>
                <w:sz w:val="18"/>
                <w:szCs w:val="26"/>
              </w:rPr>
              <w:t xml:space="preserve">es </w:t>
            </w:r>
            <w:r w:rsidR="003D6C00">
              <w:rPr>
                <w:sz w:val="18"/>
                <w:szCs w:val="26"/>
              </w:rPr>
              <w:t>„</w:t>
            </w:r>
            <w:r w:rsidRPr="00A863CF">
              <w:rPr>
                <w:sz w:val="18"/>
                <w:szCs w:val="26"/>
              </w:rPr>
              <w:t xml:space="preserve">oft auch innerhalb von türkischen Familien </w:t>
            </w:r>
            <w:r>
              <w:rPr>
                <w:sz w:val="18"/>
                <w:szCs w:val="26"/>
              </w:rPr>
              <w:t>zu Konflikten kommt</w:t>
            </w:r>
            <w:r w:rsidR="003D6C00">
              <w:rPr>
                <w:sz w:val="18"/>
                <w:szCs w:val="26"/>
              </w:rPr>
              <w:t>“</w:t>
            </w:r>
            <w:r w:rsidRPr="00A863CF">
              <w:rPr>
                <w:sz w:val="18"/>
                <w:szCs w:val="26"/>
              </w:rPr>
              <w:t>.</w:t>
            </w:r>
          </w:p>
          <w:p w:rsidR="001E30B4" w:rsidRDefault="003D6EA6" w:rsidP="00044AF0">
            <w:pPr>
              <w:spacing w:beforeLines="40" w:afterLines="40" w:line="240" w:lineRule="auto"/>
              <w:jc w:val="left"/>
              <w:rPr>
                <w:sz w:val="18"/>
                <w:szCs w:val="26"/>
              </w:rPr>
            </w:pPr>
            <w:r w:rsidRPr="00934BB6">
              <w:rPr>
                <w:sz w:val="18"/>
                <w:szCs w:val="26"/>
                <w:u w:val="single"/>
              </w:rPr>
              <w:lastRenderedPageBreak/>
              <w:t>WLH/BEWO</w:t>
            </w:r>
            <w:r>
              <w:rPr>
                <w:sz w:val="18"/>
                <w:szCs w:val="26"/>
              </w:rPr>
              <w:t xml:space="preserve">: In Zusammenarbeit </w:t>
            </w:r>
            <w:r w:rsidR="00C65096">
              <w:rPr>
                <w:sz w:val="18"/>
                <w:szCs w:val="26"/>
              </w:rPr>
              <w:t>von</w:t>
            </w:r>
            <w:r w:rsidR="003D6C00">
              <w:rPr>
                <w:sz w:val="18"/>
                <w:szCs w:val="26"/>
              </w:rPr>
              <w:t xml:space="preserve"> Beratungsstellen </w:t>
            </w:r>
            <w:r w:rsidR="00C65096">
              <w:rPr>
                <w:sz w:val="18"/>
                <w:szCs w:val="26"/>
              </w:rPr>
              <w:t>und</w:t>
            </w:r>
            <w:r>
              <w:rPr>
                <w:sz w:val="18"/>
                <w:szCs w:val="26"/>
              </w:rPr>
              <w:t xml:space="preserve"> Gemeinnützigen Wohnbautr</w:t>
            </w:r>
            <w:r>
              <w:rPr>
                <w:sz w:val="18"/>
                <w:szCs w:val="26"/>
              </w:rPr>
              <w:t>ä</w:t>
            </w:r>
            <w:r>
              <w:rPr>
                <w:sz w:val="18"/>
                <w:szCs w:val="26"/>
              </w:rPr>
              <w:t xml:space="preserve">gern </w:t>
            </w:r>
            <w:r w:rsidR="003D6C00">
              <w:rPr>
                <w:sz w:val="18"/>
                <w:szCs w:val="26"/>
              </w:rPr>
              <w:t xml:space="preserve">hat sich </w:t>
            </w:r>
            <w:r>
              <w:rPr>
                <w:sz w:val="18"/>
                <w:szCs w:val="26"/>
              </w:rPr>
              <w:t xml:space="preserve">die Wohnungsvergabe als </w:t>
            </w:r>
            <w:r w:rsidR="003D6C00">
              <w:rPr>
                <w:sz w:val="18"/>
                <w:szCs w:val="26"/>
              </w:rPr>
              <w:t>Bekämpfung von Ausgrenzung und Armut bewährt</w:t>
            </w:r>
            <w:r>
              <w:rPr>
                <w:sz w:val="18"/>
                <w:szCs w:val="26"/>
              </w:rPr>
              <w:t>.</w:t>
            </w:r>
          </w:p>
          <w:p w:rsidR="001E30B4" w:rsidRDefault="003D6EA6" w:rsidP="00044AF0">
            <w:pPr>
              <w:spacing w:beforeLines="40" w:afterLines="40" w:line="240" w:lineRule="auto"/>
              <w:jc w:val="left"/>
              <w:rPr>
                <w:sz w:val="18"/>
                <w:szCs w:val="26"/>
              </w:rPr>
            </w:pPr>
            <w:r w:rsidRPr="00934BB6">
              <w:rPr>
                <w:sz w:val="18"/>
                <w:szCs w:val="26"/>
                <w:u w:val="single"/>
              </w:rPr>
              <w:t>Beratung von MigrantInnen</w:t>
            </w:r>
            <w:r>
              <w:rPr>
                <w:sz w:val="18"/>
                <w:szCs w:val="26"/>
              </w:rPr>
              <w:t xml:space="preserve">: Leitlinien für die Vergabe sind nicht ausreichend transparent, ausländische WohnungswerberInnen </w:t>
            </w:r>
            <w:r w:rsidR="00C65096">
              <w:rPr>
                <w:sz w:val="18"/>
                <w:szCs w:val="26"/>
              </w:rPr>
              <w:t xml:space="preserve">sind erfahrungsgemäß </w:t>
            </w:r>
            <w:r>
              <w:rPr>
                <w:sz w:val="18"/>
                <w:szCs w:val="26"/>
              </w:rPr>
              <w:t xml:space="preserve">auf </w:t>
            </w:r>
            <w:r w:rsidR="00C65096">
              <w:rPr>
                <w:sz w:val="18"/>
                <w:szCs w:val="26"/>
              </w:rPr>
              <w:t xml:space="preserve">die </w:t>
            </w:r>
            <w:r>
              <w:rPr>
                <w:sz w:val="18"/>
                <w:szCs w:val="26"/>
              </w:rPr>
              <w:t xml:space="preserve">Unterstützung durch Beratungsstellen </w:t>
            </w:r>
            <w:r w:rsidR="00C65096">
              <w:rPr>
                <w:sz w:val="18"/>
                <w:szCs w:val="26"/>
              </w:rPr>
              <w:t xml:space="preserve">sowie auf externe Intervention </w:t>
            </w:r>
            <w:r>
              <w:rPr>
                <w:sz w:val="18"/>
                <w:szCs w:val="26"/>
              </w:rPr>
              <w:t>angewiesen.</w:t>
            </w:r>
          </w:p>
        </w:tc>
      </w:tr>
      <w:tr w:rsidR="003D6EA6" w:rsidRPr="00DA5171" w:rsidTr="005A2CD8">
        <w:tc>
          <w:tcPr>
            <w:tcW w:w="1668" w:type="dxa"/>
          </w:tcPr>
          <w:p w:rsidR="003D6EA6" w:rsidRPr="00F14F85" w:rsidRDefault="003D6EA6" w:rsidP="00044AF0">
            <w:pPr>
              <w:spacing w:beforeLines="40" w:afterLines="40" w:line="240" w:lineRule="auto"/>
              <w:rPr>
                <w:smallCaps/>
                <w:sz w:val="20"/>
              </w:rPr>
            </w:pPr>
            <w:r w:rsidRPr="00F14F85">
              <w:rPr>
                <w:smallCaps/>
                <w:sz w:val="20"/>
              </w:rPr>
              <w:lastRenderedPageBreak/>
              <w:t xml:space="preserve">Good </w:t>
            </w:r>
            <w:r w:rsidRPr="0027635D">
              <w:rPr>
                <w:smallCaps/>
                <w:sz w:val="20"/>
                <w:lang w:val="en-US"/>
              </w:rPr>
              <w:t>Practice</w:t>
            </w:r>
          </w:p>
        </w:tc>
        <w:tc>
          <w:tcPr>
            <w:tcW w:w="7620" w:type="dxa"/>
          </w:tcPr>
          <w:p w:rsidR="00587957" w:rsidRDefault="003D6EA6" w:rsidP="00044AF0">
            <w:pPr>
              <w:spacing w:beforeLines="40" w:afterLines="40" w:line="240" w:lineRule="auto"/>
              <w:jc w:val="left"/>
              <w:rPr>
                <w:sz w:val="18"/>
                <w:szCs w:val="26"/>
              </w:rPr>
            </w:pPr>
            <w:r w:rsidRPr="003046A7">
              <w:rPr>
                <w:sz w:val="18"/>
                <w:szCs w:val="26"/>
                <w:u w:val="single"/>
              </w:rPr>
              <w:t>Kooperation und Vernetzung</w:t>
            </w:r>
            <w:r>
              <w:rPr>
                <w:sz w:val="18"/>
                <w:szCs w:val="26"/>
              </w:rPr>
              <w:t>: Enge Kooperation zwischen Genossenschaften, insbesondere GWG, und den Mitgliedsvereinen der Wohnplattform: Wohnversorgung wird hier als wicht</w:t>
            </w:r>
            <w:r>
              <w:rPr>
                <w:sz w:val="18"/>
                <w:szCs w:val="26"/>
              </w:rPr>
              <w:t>i</w:t>
            </w:r>
            <w:r>
              <w:rPr>
                <w:sz w:val="18"/>
                <w:szCs w:val="26"/>
              </w:rPr>
              <w:t>ger Beitrag zur Armutsbekämpfung verstanden. Dementsprechend erhalten die Betreuung</w:t>
            </w:r>
            <w:r>
              <w:rPr>
                <w:sz w:val="18"/>
                <w:szCs w:val="26"/>
              </w:rPr>
              <w:t>s</w:t>
            </w:r>
            <w:r>
              <w:rPr>
                <w:sz w:val="18"/>
                <w:szCs w:val="26"/>
              </w:rPr>
              <w:t>einrichtungen bei der Vergabe von Wohnungen eine Mitsprache- und Mitwirkungsmöglic</w:t>
            </w:r>
            <w:r>
              <w:rPr>
                <w:sz w:val="18"/>
                <w:szCs w:val="26"/>
              </w:rPr>
              <w:t>h</w:t>
            </w:r>
            <w:r>
              <w:rPr>
                <w:sz w:val="18"/>
                <w:szCs w:val="26"/>
              </w:rPr>
              <w:t>keit, z.B. beim Wechsel aus einer Wohnplattformwohnung in eine weiterführende eigenstä</w:t>
            </w:r>
            <w:r>
              <w:rPr>
                <w:sz w:val="18"/>
                <w:szCs w:val="26"/>
              </w:rPr>
              <w:t>n</w:t>
            </w:r>
            <w:r>
              <w:rPr>
                <w:sz w:val="18"/>
                <w:szCs w:val="26"/>
              </w:rPr>
              <w:t>dige Wohnversorgung. Individuelle Bedürfnisse nach Größe, Lage und Kosten der Wohnung werden nach Möglichkeit berücksichtigt. In Ausnahmefällen ist es dabei auch möglich, dass der Mietvertrag direkt auf die MieterInnen umgeschrieben wird und sich eine weitere Übe</w:t>
            </w:r>
            <w:r>
              <w:rPr>
                <w:sz w:val="18"/>
                <w:szCs w:val="26"/>
              </w:rPr>
              <w:t>r</w:t>
            </w:r>
            <w:r>
              <w:rPr>
                <w:sz w:val="18"/>
                <w:szCs w:val="26"/>
              </w:rPr>
              <w:t>siedlung erübrigt.</w:t>
            </w:r>
          </w:p>
          <w:p w:rsidR="00587957" w:rsidRDefault="003D6EA6" w:rsidP="00044AF0">
            <w:pPr>
              <w:spacing w:beforeLines="40" w:afterLines="40" w:line="240" w:lineRule="auto"/>
              <w:jc w:val="left"/>
              <w:rPr>
                <w:sz w:val="18"/>
                <w:szCs w:val="26"/>
              </w:rPr>
            </w:pPr>
            <w:r w:rsidRPr="003046A7">
              <w:rPr>
                <w:sz w:val="18"/>
                <w:szCs w:val="26"/>
                <w:u w:val="single"/>
              </w:rPr>
              <w:t>Gemeinwesenarbeit und Integrationsförderung</w:t>
            </w:r>
            <w:r>
              <w:rPr>
                <w:sz w:val="18"/>
                <w:szCs w:val="26"/>
              </w:rPr>
              <w:t xml:space="preserve">: </w:t>
            </w:r>
            <w:r w:rsidRPr="00AE457C">
              <w:rPr>
                <w:sz w:val="18"/>
                <w:szCs w:val="26"/>
              </w:rPr>
              <w:t xml:space="preserve">In </w:t>
            </w:r>
            <w:r>
              <w:rPr>
                <w:sz w:val="18"/>
                <w:szCs w:val="26"/>
              </w:rPr>
              <w:t>ein</w:t>
            </w:r>
            <w:r w:rsidRPr="00AE457C">
              <w:rPr>
                <w:sz w:val="18"/>
                <w:szCs w:val="26"/>
              </w:rPr>
              <w:t xml:space="preserve">er </w:t>
            </w:r>
            <w:r>
              <w:rPr>
                <w:sz w:val="18"/>
                <w:szCs w:val="26"/>
              </w:rPr>
              <w:t>großen Wohna</w:t>
            </w:r>
            <w:r w:rsidRPr="00AE457C">
              <w:rPr>
                <w:sz w:val="18"/>
                <w:szCs w:val="26"/>
              </w:rPr>
              <w:t xml:space="preserve">nlage </w:t>
            </w:r>
            <w:r>
              <w:rPr>
                <w:sz w:val="18"/>
                <w:szCs w:val="26"/>
              </w:rPr>
              <w:t>eines gemein</w:t>
            </w:r>
            <w:r>
              <w:rPr>
                <w:sz w:val="18"/>
                <w:szCs w:val="26"/>
              </w:rPr>
              <w:softHyphen/>
              <w:t xml:space="preserve">nützigen Bauträgers </w:t>
            </w:r>
            <w:r w:rsidRPr="00AE457C">
              <w:rPr>
                <w:sz w:val="18"/>
                <w:szCs w:val="26"/>
              </w:rPr>
              <w:t xml:space="preserve">wohnen </w:t>
            </w:r>
            <w:r>
              <w:rPr>
                <w:sz w:val="18"/>
                <w:szCs w:val="26"/>
              </w:rPr>
              <w:t xml:space="preserve">Menschen aus </w:t>
            </w:r>
            <w:r w:rsidRPr="00AE457C">
              <w:rPr>
                <w:sz w:val="18"/>
                <w:szCs w:val="26"/>
              </w:rPr>
              <w:t>25 Nationen</w:t>
            </w:r>
            <w:r>
              <w:rPr>
                <w:sz w:val="18"/>
                <w:szCs w:val="26"/>
              </w:rPr>
              <w:t>.</w:t>
            </w:r>
            <w:r w:rsidRPr="00AE457C">
              <w:rPr>
                <w:sz w:val="18"/>
                <w:szCs w:val="26"/>
              </w:rPr>
              <w:t xml:space="preserve"> Die An</w:t>
            </w:r>
            <w:r w:rsidR="00C65096">
              <w:rPr>
                <w:sz w:val="18"/>
                <w:szCs w:val="26"/>
              </w:rPr>
              <w:t>lage ist sozial sehr gut durch</w:t>
            </w:r>
            <w:r w:rsidRPr="00AE457C">
              <w:rPr>
                <w:sz w:val="18"/>
                <w:szCs w:val="26"/>
              </w:rPr>
              <w:t xml:space="preserve">mischt, das hat sich eher zufällig ergeben. Auf Grund des hohen Migrationsanteils </w:t>
            </w:r>
            <w:r>
              <w:rPr>
                <w:sz w:val="18"/>
                <w:szCs w:val="26"/>
              </w:rPr>
              <w:t xml:space="preserve">wurde </w:t>
            </w:r>
            <w:r w:rsidRPr="00AE457C">
              <w:rPr>
                <w:sz w:val="18"/>
                <w:szCs w:val="26"/>
              </w:rPr>
              <w:t xml:space="preserve">diese Anlage für das Projekt „hinschauen statt wegschauen“ ausgewählt. Teil des Projektes ist eine Umfrage zur Zufriedenheit mit der Anlage und dem Wohnumfeld. </w:t>
            </w:r>
            <w:r>
              <w:rPr>
                <w:sz w:val="18"/>
                <w:szCs w:val="26"/>
              </w:rPr>
              <w:t>Gemei</w:t>
            </w:r>
            <w:r>
              <w:rPr>
                <w:sz w:val="18"/>
                <w:szCs w:val="26"/>
              </w:rPr>
              <w:t>n</w:t>
            </w:r>
            <w:r>
              <w:rPr>
                <w:sz w:val="18"/>
                <w:szCs w:val="26"/>
              </w:rPr>
              <w:t xml:space="preserve">sam mit einem externen Beratungsunternehmen soll </w:t>
            </w:r>
            <w:r w:rsidRPr="00AE457C">
              <w:rPr>
                <w:sz w:val="18"/>
                <w:szCs w:val="26"/>
              </w:rPr>
              <w:t>eine Wohnumge</w:t>
            </w:r>
            <w:r>
              <w:rPr>
                <w:sz w:val="18"/>
                <w:szCs w:val="26"/>
              </w:rPr>
              <w:softHyphen/>
            </w:r>
            <w:r w:rsidRPr="00AE457C">
              <w:rPr>
                <w:sz w:val="18"/>
                <w:szCs w:val="26"/>
              </w:rPr>
              <w:t xml:space="preserve">bung </w:t>
            </w:r>
            <w:r>
              <w:rPr>
                <w:sz w:val="18"/>
                <w:szCs w:val="26"/>
              </w:rPr>
              <w:t>zum Wohlfühlen ge</w:t>
            </w:r>
            <w:r w:rsidRPr="00AE457C">
              <w:rPr>
                <w:sz w:val="18"/>
                <w:szCs w:val="26"/>
              </w:rPr>
              <w:t>schaffen</w:t>
            </w:r>
            <w:r>
              <w:rPr>
                <w:sz w:val="18"/>
                <w:szCs w:val="26"/>
              </w:rPr>
              <w:t xml:space="preserve"> werden. Unter anderem werden </w:t>
            </w:r>
            <w:r w:rsidRPr="00AE457C">
              <w:rPr>
                <w:sz w:val="18"/>
                <w:szCs w:val="26"/>
              </w:rPr>
              <w:t xml:space="preserve">gemeinsam mit den MieterInnen Regeln </w:t>
            </w:r>
            <w:r>
              <w:rPr>
                <w:sz w:val="18"/>
                <w:szCs w:val="26"/>
              </w:rPr>
              <w:t xml:space="preserve">des Zusammenlebens </w:t>
            </w:r>
            <w:r w:rsidRPr="00AE457C">
              <w:rPr>
                <w:sz w:val="18"/>
                <w:szCs w:val="26"/>
              </w:rPr>
              <w:t>aus</w:t>
            </w:r>
            <w:r>
              <w:rPr>
                <w:sz w:val="18"/>
                <w:szCs w:val="26"/>
              </w:rPr>
              <w:t>ge</w:t>
            </w:r>
            <w:r w:rsidRPr="00AE457C">
              <w:rPr>
                <w:sz w:val="18"/>
                <w:szCs w:val="26"/>
              </w:rPr>
              <w:t>arbeite</w:t>
            </w:r>
            <w:r>
              <w:rPr>
                <w:sz w:val="18"/>
                <w:szCs w:val="26"/>
              </w:rPr>
              <w:t>t</w:t>
            </w:r>
            <w:r w:rsidRPr="00AE457C">
              <w:rPr>
                <w:sz w:val="18"/>
                <w:szCs w:val="26"/>
              </w:rPr>
              <w:t xml:space="preserve"> und um</w:t>
            </w:r>
            <w:r>
              <w:rPr>
                <w:sz w:val="18"/>
                <w:szCs w:val="26"/>
              </w:rPr>
              <w:t>ge</w:t>
            </w:r>
            <w:r w:rsidRPr="00AE457C">
              <w:rPr>
                <w:sz w:val="18"/>
                <w:szCs w:val="26"/>
              </w:rPr>
              <w:t>setz</w:t>
            </w:r>
            <w:r>
              <w:rPr>
                <w:sz w:val="18"/>
                <w:szCs w:val="26"/>
              </w:rPr>
              <w:t>t</w:t>
            </w:r>
            <w:r w:rsidRPr="00AE457C">
              <w:rPr>
                <w:sz w:val="18"/>
                <w:szCs w:val="26"/>
              </w:rPr>
              <w:t>.</w:t>
            </w:r>
          </w:p>
          <w:p w:rsidR="001E30B4" w:rsidRDefault="003D6EA6" w:rsidP="00044AF0">
            <w:pPr>
              <w:spacing w:beforeLines="40" w:afterLines="40" w:line="240" w:lineRule="auto"/>
              <w:jc w:val="left"/>
              <w:rPr>
                <w:sz w:val="18"/>
                <w:szCs w:val="24"/>
              </w:rPr>
            </w:pPr>
            <w:r w:rsidRPr="00D56ECD">
              <w:rPr>
                <w:sz w:val="18"/>
                <w:szCs w:val="26"/>
              </w:rPr>
              <w:t xml:space="preserve">Die </w:t>
            </w:r>
            <w:r>
              <w:rPr>
                <w:sz w:val="18"/>
                <w:szCs w:val="26"/>
              </w:rPr>
              <w:t>Genossenschaft</w:t>
            </w:r>
            <w:r w:rsidRPr="00D56ECD">
              <w:rPr>
                <w:sz w:val="18"/>
                <w:szCs w:val="26"/>
              </w:rPr>
              <w:t xml:space="preserve"> hat </w:t>
            </w:r>
            <w:r>
              <w:rPr>
                <w:sz w:val="18"/>
                <w:szCs w:val="26"/>
              </w:rPr>
              <w:t xml:space="preserve">dem externen </w:t>
            </w:r>
            <w:r w:rsidR="00322768">
              <w:rPr>
                <w:sz w:val="18"/>
                <w:szCs w:val="26"/>
              </w:rPr>
              <w:t>Kooperationspartner</w:t>
            </w:r>
            <w:r w:rsidRPr="00D56ECD">
              <w:rPr>
                <w:sz w:val="18"/>
                <w:szCs w:val="26"/>
              </w:rPr>
              <w:t xml:space="preserve"> Räume </w:t>
            </w:r>
            <w:r w:rsidR="00322768">
              <w:rPr>
                <w:sz w:val="18"/>
                <w:szCs w:val="26"/>
              </w:rPr>
              <w:t xml:space="preserve">in der Wohnanlage </w:t>
            </w:r>
            <w:r w:rsidRPr="00D56ECD">
              <w:rPr>
                <w:sz w:val="18"/>
                <w:szCs w:val="26"/>
              </w:rPr>
              <w:t xml:space="preserve">zur Verfügung gestellt, wo aktuelle Themen und Probleme besprochen und direkt vor Ort gelöst werden können. </w:t>
            </w:r>
            <w:r>
              <w:rPr>
                <w:sz w:val="18"/>
                <w:szCs w:val="26"/>
              </w:rPr>
              <w:t xml:space="preserve">Weiters werden hier auch </w:t>
            </w:r>
            <w:r w:rsidRPr="00D56ECD">
              <w:rPr>
                <w:sz w:val="18"/>
                <w:szCs w:val="26"/>
              </w:rPr>
              <w:t>Deutschkurse und Kinderbetreuung angeboten.</w:t>
            </w:r>
          </w:p>
        </w:tc>
      </w:tr>
      <w:tr w:rsidR="003D6EA6" w:rsidRPr="003B5E03" w:rsidTr="005A2CD8">
        <w:tc>
          <w:tcPr>
            <w:tcW w:w="1668" w:type="dxa"/>
          </w:tcPr>
          <w:p w:rsidR="003D6EA6" w:rsidRPr="00F14F85" w:rsidRDefault="003D6EA6" w:rsidP="00044AF0">
            <w:pPr>
              <w:spacing w:beforeLines="40" w:afterLines="40" w:line="240" w:lineRule="auto"/>
              <w:rPr>
                <w:smallCaps/>
                <w:sz w:val="20"/>
                <w:lang w:val="en-US"/>
              </w:rPr>
            </w:pPr>
            <w:r w:rsidRPr="0069163B">
              <w:rPr>
                <w:smallCaps/>
                <w:sz w:val="20"/>
              </w:rPr>
              <w:t>Reflexion</w:t>
            </w:r>
            <w:r w:rsidRPr="00F14F85">
              <w:rPr>
                <w:smallCaps/>
                <w:sz w:val="20"/>
                <w:lang w:val="en-US"/>
              </w:rPr>
              <w:t xml:space="preserve">, </w:t>
            </w:r>
            <w:r w:rsidRPr="0069163B">
              <w:rPr>
                <w:smallCaps/>
                <w:sz w:val="20"/>
              </w:rPr>
              <w:t>We</w:t>
            </w:r>
            <w:r w:rsidRPr="0069163B">
              <w:rPr>
                <w:smallCaps/>
                <w:sz w:val="20"/>
              </w:rPr>
              <w:t>i</w:t>
            </w:r>
            <w:r w:rsidRPr="0069163B">
              <w:rPr>
                <w:smallCaps/>
                <w:sz w:val="20"/>
              </w:rPr>
              <w:t>terbildung</w:t>
            </w:r>
          </w:p>
        </w:tc>
        <w:tc>
          <w:tcPr>
            <w:tcW w:w="7620" w:type="dxa"/>
          </w:tcPr>
          <w:p w:rsidR="00587957" w:rsidRDefault="003D6EA6" w:rsidP="00044AF0">
            <w:pPr>
              <w:spacing w:beforeLines="40" w:afterLines="40" w:line="240" w:lineRule="auto"/>
              <w:jc w:val="left"/>
              <w:rPr>
                <w:sz w:val="18"/>
                <w:szCs w:val="26"/>
              </w:rPr>
            </w:pPr>
            <w:r>
              <w:rPr>
                <w:sz w:val="18"/>
                <w:szCs w:val="26"/>
              </w:rPr>
              <w:t xml:space="preserve">Gleichbehandlung war in den vergangenen Jahren </w:t>
            </w:r>
            <w:r w:rsidRPr="005E6DAF">
              <w:rPr>
                <w:sz w:val="18"/>
                <w:szCs w:val="26"/>
              </w:rPr>
              <w:t>kein Thema bei Dienst- oder Teamb</w:t>
            </w:r>
            <w:r w:rsidRPr="005E6DAF">
              <w:rPr>
                <w:sz w:val="18"/>
                <w:szCs w:val="26"/>
              </w:rPr>
              <w:t>e</w:t>
            </w:r>
            <w:r w:rsidRPr="005E6DAF">
              <w:rPr>
                <w:sz w:val="18"/>
                <w:szCs w:val="26"/>
              </w:rPr>
              <w:t xml:space="preserve">sprechungen, oder </w:t>
            </w:r>
            <w:r>
              <w:rPr>
                <w:sz w:val="18"/>
                <w:szCs w:val="26"/>
              </w:rPr>
              <w:t>im Rahmen von</w:t>
            </w:r>
            <w:r w:rsidRPr="005E6DAF">
              <w:rPr>
                <w:sz w:val="18"/>
                <w:szCs w:val="26"/>
              </w:rPr>
              <w:t xml:space="preserve"> Organisationsentwicklung</w:t>
            </w:r>
            <w:r>
              <w:rPr>
                <w:sz w:val="18"/>
                <w:szCs w:val="26"/>
              </w:rPr>
              <w:t>sprozessen</w:t>
            </w:r>
            <w:r w:rsidRPr="005E6DAF">
              <w:rPr>
                <w:sz w:val="18"/>
                <w:szCs w:val="26"/>
              </w:rPr>
              <w:t xml:space="preserve">. </w:t>
            </w:r>
          </w:p>
          <w:p w:rsidR="001E30B4" w:rsidRDefault="003D6EA6" w:rsidP="00044AF0">
            <w:pPr>
              <w:spacing w:beforeLines="40" w:afterLines="40" w:line="240" w:lineRule="auto"/>
              <w:jc w:val="left"/>
              <w:rPr>
                <w:sz w:val="18"/>
                <w:szCs w:val="26"/>
              </w:rPr>
            </w:pPr>
            <w:r>
              <w:rPr>
                <w:sz w:val="18"/>
                <w:szCs w:val="26"/>
              </w:rPr>
              <w:t>Persönliche Teilnahme</w:t>
            </w:r>
            <w:r w:rsidRPr="005E6DAF">
              <w:rPr>
                <w:sz w:val="18"/>
                <w:szCs w:val="26"/>
              </w:rPr>
              <w:t xml:space="preserve"> bei Fortbildungen zum Thema Integration und Konfliktmanagement</w:t>
            </w:r>
            <w:r>
              <w:rPr>
                <w:sz w:val="18"/>
                <w:szCs w:val="26"/>
              </w:rPr>
              <w:t xml:space="preserve"> sowie von entsprechenden</w:t>
            </w:r>
            <w:r w:rsidRPr="005E6DAF">
              <w:rPr>
                <w:sz w:val="18"/>
                <w:szCs w:val="26"/>
              </w:rPr>
              <w:t xml:space="preserve"> Veranstaltungen</w:t>
            </w:r>
            <w:r>
              <w:rPr>
                <w:sz w:val="18"/>
                <w:szCs w:val="26"/>
              </w:rPr>
              <w:t xml:space="preserve"> externer Träger.</w:t>
            </w:r>
          </w:p>
          <w:p w:rsidR="001E30B4" w:rsidRDefault="003D6EA6" w:rsidP="00044AF0">
            <w:pPr>
              <w:spacing w:beforeLines="40" w:afterLines="40" w:line="240" w:lineRule="auto"/>
              <w:jc w:val="left"/>
              <w:rPr>
                <w:sz w:val="10"/>
                <w:szCs w:val="26"/>
              </w:rPr>
            </w:pPr>
            <w:r w:rsidRPr="00E052F5">
              <w:rPr>
                <w:sz w:val="18"/>
                <w:szCs w:val="26"/>
              </w:rPr>
              <w:t xml:space="preserve">Fortbildungen </w:t>
            </w:r>
            <w:r>
              <w:rPr>
                <w:sz w:val="18"/>
                <w:szCs w:val="26"/>
              </w:rPr>
              <w:t>bewirken</w:t>
            </w:r>
            <w:r w:rsidRPr="00E052F5">
              <w:rPr>
                <w:sz w:val="18"/>
                <w:szCs w:val="26"/>
              </w:rPr>
              <w:t>, dass man vieles mit anderen Augen sieht. Warum Probleme beim Wohnen so sind. Man muss die Dinge auch aus Sicht der Zuwanderer sehen und aus ihrer Sicht begreife, man muss sich öffnen. Wenn das nur ein Bruchteil unserer BewohnerInnen auch so sehen würde hätten wir weniger Probleme.</w:t>
            </w:r>
          </w:p>
          <w:p w:rsidR="001E30B4" w:rsidRDefault="003D6EA6" w:rsidP="00044AF0">
            <w:pPr>
              <w:spacing w:beforeLines="40" w:afterLines="40" w:line="240" w:lineRule="auto"/>
              <w:jc w:val="left"/>
              <w:rPr>
                <w:sz w:val="18"/>
                <w:szCs w:val="24"/>
              </w:rPr>
            </w:pPr>
            <w:r>
              <w:rPr>
                <w:sz w:val="18"/>
                <w:szCs w:val="26"/>
              </w:rPr>
              <w:t xml:space="preserve">Wunsch eines Interviewpartners: </w:t>
            </w:r>
            <w:r w:rsidRPr="00E052F5">
              <w:rPr>
                <w:sz w:val="18"/>
                <w:szCs w:val="26"/>
              </w:rPr>
              <w:t>Fortbildung</w:t>
            </w:r>
            <w:r>
              <w:rPr>
                <w:sz w:val="18"/>
                <w:szCs w:val="26"/>
              </w:rPr>
              <w:t>sangebote</w:t>
            </w:r>
            <w:r w:rsidRPr="00E052F5">
              <w:rPr>
                <w:sz w:val="18"/>
                <w:szCs w:val="26"/>
              </w:rPr>
              <w:t xml:space="preserve"> </w:t>
            </w:r>
            <w:r>
              <w:rPr>
                <w:sz w:val="18"/>
                <w:szCs w:val="26"/>
              </w:rPr>
              <w:t>sollten</w:t>
            </w:r>
            <w:r w:rsidRPr="00E052F5">
              <w:rPr>
                <w:sz w:val="18"/>
                <w:szCs w:val="26"/>
              </w:rPr>
              <w:t xml:space="preserve"> weniger </w:t>
            </w:r>
            <w:r>
              <w:rPr>
                <w:sz w:val="18"/>
                <w:szCs w:val="26"/>
              </w:rPr>
              <w:t>das Thema de</w:t>
            </w:r>
            <w:r w:rsidRPr="00E052F5">
              <w:rPr>
                <w:sz w:val="18"/>
                <w:szCs w:val="26"/>
              </w:rPr>
              <w:t>r Ve</w:t>
            </w:r>
            <w:r w:rsidRPr="00E052F5">
              <w:rPr>
                <w:sz w:val="18"/>
                <w:szCs w:val="26"/>
              </w:rPr>
              <w:t>r</w:t>
            </w:r>
            <w:r w:rsidRPr="00E052F5">
              <w:rPr>
                <w:sz w:val="18"/>
                <w:szCs w:val="26"/>
              </w:rPr>
              <w:t xml:space="preserve">gabe als </w:t>
            </w:r>
            <w:r>
              <w:rPr>
                <w:sz w:val="18"/>
                <w:szCs w:val="26"/>
              </w:rPr>
              <w:t>viel</w:t>
            </w:r>
            <w:r w:rsidRPr="00E052F5">
              <w:rPr>
                <w:sz w:val="18"/>
                <w:szCs w:val="26"/>
              </w:rPr>
              <w:t xml:space="preserve">mehr </w:t>
            </w:r>
            <w:r>
              <w:rPr>
                <w:sz w:val="18"/>
                <w:szCs w:val="26"/>
              </w:rPr>
              <w:t>Fragen des (Zusammen)</w:t>
            </w:r>
            <w:r w:rsidRPr="00E052F5">
              <w:rPr>
                <w:sz w:val="18"/>
                <w:szCs w:val="26"/>
              </w:rPr>
              <w:t>Wohnen</w:t>
            </w:r>
            <w:r>
              <w:rPr>
                <w:sz w:val="18"/>
                <w:szCs w:val="26"/>
              </w:rPr>
              <w:t>s</w:t>
            </w:r>
            <w:r w:rsidRPr="00E052F5">
              <w:rPr>
                <w:sz w:val="18"/>
                <w:szCs w:val="26"/>
              </w:rPr>
              <w:t xml:space="preserve">, </w:t>
            </w:r>
            <w:r>
              <w:rPr>
                <w:sz w:val="18"/>
                <w:szCs w:val="26"/>
              </w:rPr>
              <w:t xml:space="preserve">der </w:t>
            </w:r>
            <w:r w:rsidRPr="00E052F5">
              <w:rPr>
                <w:sz w:val="18"/>
                <w:szCs w:val="26"/>
              </w:rPr>
              <w:t>Wohnumfeld</w:t>
            </w:r>
            <w:r>
              <w:rPr>
                <w:sz w:val="18"/>
                <w:szCs w:val="26"/>
              </w:rPr>
              <w:t>gestaltung und des</w:t>
            </w:r>
            <w:r w:rsidRPr="00E052F5">
              <w:rPr>
                <w:sz w:val="18"/>
                <w:szCs w:val="26"/>
              </w:rPr>
              <w:t xml:space="preserve"> Konfliktmanagement </w:t>
            </w:r>
            <w:r>
              <w:rPr>
                <w:sz w:val="18"/>
                <w:szCs w:val="26"/>
              </w:rPr>
              <w:t>behandeln</w:t>
            </w:r>
            <w:r w:rsidRPr="00E052F5">
              <w:rPr>
                <w:sz w:val="18"/>
                <w:szCs w:val="26"/>
              </w:rPr>
              <w:t>.</w:t>
            </w:r>
          </w:p>
        </w:tc>
      </w:tr>
    </w:tbl>
    <w:p w:rsidR="007A252D" w:rsidRPr="003D6EA6" w:rsidRDefault="007A252D" w:rsidP="007A252D">
      <w:pPr>
        <w:rPr>
          <w:lang w:eastAsia="en-US"/>
        </w:rPr>
      </w:pPr>
    </w:p>
    <w:p w:rsidR="007A252D" w:rsidRPr="008A4DEE" w:rsidRDefault="007A252D" w:rsidP="007A252D">
      <w:pPr>
        <w:rPr>
          <w:b/>
          <w:u w:val="single"/>
          <w:lang w:eastAsia="en-US"/>
        </w:rPr>
      </w:pPr>
      <w:r>
        <w:rPr>
          <w:b/>
          <w:u w:val="single"/>
          <w:lang w:eastAsia="en-US"/>
        </w:rPr>
        <w:t xml:space="preserve">Fallbeispiel </w:t>
      </w:r>
      <w:r w:rsidRPr="008A4DEE">
        <w:rPr>
          <w:b/>
          <w:u w:val="single"/>
          <w:lang w:eastAsia="en-US"/>
        </w:rPr>
        <w:t>Niederösterreich</w:t>
      </w:r>
    </w:p>
    <w:tbl>
      <w:tblPr>
        <w:tblStyle w:val="Tabellengitternetz"/>
        <w:tblW w:w="0" w:type="auto"/>
        <w:tblLook w:val="04A0"/>
      </w:tblPr>
      <w:tblGrid>
        <w:gridCol w:w="1601"/>
        <w:gridCol w:w="7687"/>
      </w:tblGrid>
      <w:tr w:rsidR="008149FB" w:rsidRPr="00DA5171" w:rsidTr="005A2CD8">
        <w:trPr>
          <w:trHeight w:val="2020"/>
        </w:trPr>
        <w:tc>
          <w:tcPr>
            <w:tcW w:w="1601" w:type="dxa"/>
          </w:tcPr>
          <w:p w:rsidR="008149FB" w:rsidRPr="00F14F85" w:rsidRDefault="008149FB" w:rsidP="00044AF0">
            <w:pPr>
              <w:spacing w:beforeLines="40" w:afterLines="40" w:line="240" w:lineRule="auto"/>
              <w:rPr>
                <w:smallCaps/>
                <w:sz w:val="20"/>
              </w:rPr>
            </w:pPr>
            <w:r w:rsidRPr="00F14F85">
              <w:rPr>
                <w:smallCaps/>
                <w:sz w:val="20"/>
              </w:rPr>
              <w:t>Zugang zu g</w:t>
            </w:r>
            <w:r w:rsidRPr="00F14F85">
              <w:rPr>
                <w:smallCaps/>
                <w:sz w:val="20"/>
              </w:rPr>
              <w:t>e</w:t>
            </w:r>
            <w:r w:rsidRPr="00F14F85">
              <w:rPr>
                <w:smallCaps/>
                <w:sz w:val="20"/>
              </w:rPr>
              <w:t>förderten Mietwohnungen</w:t>
            </w:r>
          </w:p>
        </w:tc>
        <w:tc>
          <w:tcPr>
            <w:tcW w:w="7687" w:type="dxa"/>
          </w:tcPr>
          <w:p w:rsidR="00587957" w:rsidRDefault="008149FB" w:rsidP="00044AF0">
            <w:pPr>
              <w:spacing w:beforeLines="40" w:afterLines="40" w:line="240" w:lineRule="auto"/>
              <w:jc w:val="left"/>
              <w:rPr>
                <w:rFonts w:cs="Tahoma"/>
                <w:sz w:val="18"/>
                <w:szCs w:val="24"/>
              </w:rPr>
            </w:pPr>
            <w:r w:rsidRPr="005640D0">
              <w:rPr>
                <w:rFonts w:cs="Tahoma"/>
                <w:sz w:val="18"/>
                <w:u w:val="single"/>
              </w:rPr>
              <w:t>Wohnbauförderung</w:t>
            </w:r>
            <w:r>
              <w:rPr>
                <w:rFonts w:cs="Tahoma"/>
                <w:sz w:val="18"/>
              </w:rPr>
              <w:t>: Neben InländerInnen haben EU- und EWR-BürgerInnen sowie aufen</w:t>
            </w:r>
            <w:r>
              <w:rPr>
                <w:rFonts w:cs="Tahoma"/>
                <w:sz w:val="18"/>
              </w:rPr>
              <w:t>t</w:t>
            </w:r>
            <w:r>
              <w:rPr>
                <w:rFonts w:cs="Tahoma"/>
                <w:sz w:val="18"/>
              </w:rPr>
              <w:t>haltsverfestigte Drittstaatsangehörige Zugang zu geförderten Mietwohnungen. Weiters haben Konventionsflüchtlinge und subsidiär Schutzberechtigte uneingeschränkten Zugang zu den geförderten Wohnungen.</w:t>
            </w:r>
          </w:p>
          <w:p w:rsidR="001E30B4" w:rsidRDefault="008149FB" w:rsidP="00044AF0">
            <w:pPr>
              <w:spacing w:beforeLines="40" w:afterLines="40" w:line="240" w:lineRule="auto"/>
              <w:jc w:val="left"/>
              <w:rPr>
                <w:rFonts w:cs="Tahoma"/>
                <w:sz w:val="18"/>
                <w:szCs w:val="24"/>
              </w:rPr>
            </w:pPr>
            <w:r>
              <w:rPr>
                <w:rFonts w:cs="Tahoma"/>
                <w:sz w:val="18"/>
              </w:rPr>
              <w:t xml:space="preserve">Die </w:t>
            </w:r>
            <w:r w:rsidRPr="004B3156">
              <w:rPr>
                <w:rFonts w:cs="Tahoma"/>
                <w:sz w:val="18"/>
              </w:rPr>
              <w:t>Anspruchsberechtigung</w:t>
            </w:r>
            <w:r w:rsidRPr="00E420DD">
              <w:rPr>
                <w:rFonts w:cs="Tahoma"/>
                <w:sz w:val="18"/>
              </w:rPr>
              <w:t xml:space="preserve"> </w:t>
            </w:r>
            <w:r>
              <w:rPr>
                <w:rFonts w:cs="Tahoma"/>
                <w:sz w:val="18"/>
              </w:rPr>
              <w:t>von Drittstaatsangehörigen ist gebunden an den Aufenthaltsst</w:t>
            </w:r>
            <w:r>
              <w:rPr>
                <w:rFonts w:cs="Tahoma"/>
                <w:sz w:val="18"/>
              </w:rPr>
              <w:t>a</w:t>
            </w:r>
            <w:r>
              <w:rPr>
                <w:rFonts w:cs="Tahoma"/>
                <w:sz w:val="18"/>
              </w:rPr>
              <w:t>tus</w:t>
            </w:r>
            <w:r w:rsidRPr="00E420DD">
              <w:rPr>
                <w:rFonts w:cs="Tahoma"/>
                <w:sz w:val="18"/>
              </w:rPr>
              <w:t xml:space="preserve"> </w:t>
            </w:r>
            <w:r>
              <w:rPr>
                <w:rFonts w:cs="Tahoma"/>
                <w:sz w:val="18"/>
              </w:rPr>
              <w:t>(</w:t>
            </w:r>
            <w:r w:rsidRPr="00E420DD">
              <w:rPr>
                <w:rFonts w:cs="Tahoma"/>
                <w:sz w:val="18"/>
              </w:rPr>
              <w:t xml:space="preserve">Personen ohne reguläre Aufenthaltsbewilligung </w:t>
            </w:r>
            <w:r>
              <w:rPr>
                <w:rFonts w:cs="Tahoma"/>
                <w:sz w:val="18"/>
              </w:rPr>
              <w:t xml:space="preserve">/ verfestigten dauerhaften Aufenthalt </w:t>
            </w:r>
            <w:r w:rsidRPr="00E420DD">
              <w:rPr>
                <w:rFonts w:cs="Tahoma"/>
                <w:sz w:val="18"/>
              </w:rPr>
              <w:t>haben keinen Anspruch)</w:t>
            </w:r>
            <w:r>
              <w:rPr>
                <w:rFonts w:cs="Tahoma"/>
                <w:sz w:val="18"/>
              </w:rPr>
              <w:t>.</w:t>
            </w:r>
            <w:r>
              <w:rPr>
                <w:rFonts w:cs="Tahoma"/>
                <w:b/>
                <w:sz w:val="18"/>
              </w:rPr>
              <w:t xml:space="preserve"> </w:t>
            </w:r>
          </w:p>
          <w:p w:rsidR="001E30B4" w:rsidRDefault="008149FB" w:rsidP="00044AF0">
            <w:pPr>
              <w:spacing w:beforeLines="40" w:afterLines="40" w:line="240" w:lineRule="auto"/>
              <w:jc w:val="left"/>
              <w:rPr>
                <w:szCs w:val="24"/>
              </w:rPr>
            </w:pPr>
            <w:r>
              <w:rPr>
                <w:rFonts w:cs="Tahoma"/>
                <w:sz w:val="18"/>
                <w:u w:val="single"/>
              </w:rPr>
              <w:t>kommunale</w:t>
            </w:r>
            <w:r w:rsidRPr="00333457">
              <w:rPr>
                <w:rFonts w:cs="Tahoma"/>
                <w:sz w:val="18"/>
                <w:u w:val="single"/>
              </w:rPr>
              <w:t xml:space="preserve"> Wohnungs</w:t>
            </w:r>
            <w:r>
              <w:rPr>
                <w:rFonts w:cs="Tahoma"/>
                <w:sz w:val="18"/>
                <w:u w:val="single"/>
              </w:rPr>
              <w:t>ä</w:t>
            </w:r>
            <w:r w:rsidRPr="00333457">
              <w:rPr>
                <w:rFonts w:cs="Tahoma"/>
                <w:sz w:val="18"/>
                <w:u w:val="single"/>
              </w:rPr>
              <w:t>mt</w:t>
            </w:r>
            <w:r>
              <w:rPr>
                <w:rFonts w:cs="Tahoma"/>
                <w:sz w:val="18"/>
                <w:u w:val="single"/>
              </w:rPr>
              <w:t>er</w:t>
            </w:r>
            <w:r>
              <w:rPr>
                <w:rFonts w:cs="Tahoma"/>
                <w:sz w:val="18"/>
              </w:rPr>
              <w:t>: Die Vergabe von Wohnungen, auf welche die Gemeinden ein Zuweisungsrecht haben, erfolgt auf der Grundlage einer Warteliste, die nach dem Datum der Anmeldung abgearbeitet wird; Notfälle (z.B. Wohnversorgung einer alleinerziehenden Mutter nach einer Scheidung etc.) werden vorgezogen.</w:t>
            </w:r>
          </w:p>
        </w:tc>
      </w:tr>
      <w:tr w:rsidR="008149FB" w:rsidRPr="00DA5171" w:rsidTr="005A2CD8">
        <w:tc>
          <w:tcPr>
            <w:tcW w:w="1601" w:type="dxa"/>
          </w:tcPr>
          <w:p w:rsidR="008149FB" w:rsidRPr="00F14F85" w:rsidRDefault="008149FB" w:rsidP="00044AF0">
            <w:pPr>
              <w:spacing w:beforeLines="40" w:afterLines="40" w:line="240" w:lineRule="auto"/>
              <w:rPr>
                <w:smallCaps/>
                <w:sz w:val="20"/>
              </w:rPr>
            </w:pPr>
            <w:r w:rsidRPr="00F14F85">
              <w:rPr>
                <w:smallCaps/>
                <w:sz w:val="20"/>
              </w:rPr>
              <w:t>Vergabe</w:t>
            </w:r>
          </w:p>
        </w:tc>
        <w:tc>
          <w:tcPr>
            <w:tcW w:w="7687" w:type="dxa"/>
          </w:tcPr>
          <w:p w:rsidR="008149FB" w:rsidRDefault="008149FB" w:rsidP="005A2CD8">
            <w:pPr>
              <w:spacing w:before="60" w:after="60" w:line="240" w:lineRule="auto"/>
              <w:jc w:val="left"/>
              <w:rPr>
                <w:rFonts w:cs="Tahoma"/>
                <w:sz w:val="18"/>
              </w:rPr>
            </w:pPr>
            <w:r w:rsidRPr="0020444F">
              <w:rPr>
                <w:rFonts w:cs="Tahoma"/>
                <w:sz w:val="18"/>
                <w:u w:val="single"/>
              </w:rPr>
              <w:t>Vergabezuständigkeit</w:t>
            </w:r>
            <w:r>
              <w:rPr>
                <w:rFonts w:cs="Tahoma"/>
                <w:sz w:val="18"/>
              </w:rPr>
              <w:t>: An der Wohnungsvergabe sind unterschiedliche Vergabegremien bete</w:t>
            </w:r>
            <w:r>
              <w:rPr>
                <w:rFonts w:cs="Tahoma"/>
                <w:sz w:val="18"/>
              </w:rPr>
              <w:t>i</w:t>
            </w:r>
            <w:r>
              <w:rPr>
                <w:rFonts w:cs="Tahoma"/>
                <w:sz w:val="18"/>
              </w:rPr>
              <w:t>ligt. Etwa jede vierte Wohnung (25%) wird von einem Vergabegremium des Landes verg</w:t>
            </w:r>
            <w:r>
              <w:rPr>
                <w:rFonts w:cs="Tahoma"/>
                <w:sz w:val="18"/>
              </w:rPr>
              <w:t>e</w:t>
            </w:r>
            <w:r>
              <w:rPr>
                <w:rFonts w:cs="Tahoma"/>
                <w:sz w:val="18"/>
              </w:rPr>
              <w:t xml:space="preserve">ben. In vielen Fällen haben die Gemeinden ein Zuweisungsrecht für geförderte Wohnungen erworben (z.B. durch Bereitstellung von Bauland). </w:t>
            </w:r>
            <w:r w:rsidRPr="00333457">
              <w:rPr>
                <w:rFonts w:cs="Tahoma"/>
                <w:sz w:val="18"/>
              </w:rPr>
              <w:t xml:space="preserve">Einzelne Gemeinden </w:t>
            </w:r>
            <w:r>
              <w:rPr>
                <w:rFonts w:cs="Tahoma"/>
                <w:sz w:val="18"/>
              </w:rPr>
              <w:t xml:space="preserve">(z.B. St. Pölten) </w:t>
            </w:r>
            <w:r w:rsidRPr="00333457">
              <w:rPr>
                <w:rFonts w:cs="Tahoma"/>
                <w:sz w:val="18"/>
              </w:rPr>
              <w:t>h</w:t>
            </w:r>
            <w:r w:rsidRPr="00333457">
              <w:rPr>
                <w:rFonts w:cs="Tahoma"/>
                <w:sz w:val="18"/>
              </w:rPr>
              <w:t>a</w:t>
            </w:r>
            <w:r w:rsidRPr="00333457">
              <w:rPr>
                <w:rFonts w:cs="Tahoma"/>
                <w:sz w:val="18"/>
              </w:rPr>
              <w:t xml:space="preserve">ben ihre Wohnungsbestände </w:t>
            </w:r>
            <w:r>
              <w:rPr>
                <w:rFonts w:cs="Tahoma"/>
                <w:sz w:val="18"/>
              </w:rPr>
              <w:t xml:space="preserve">an private Hausverwaltungen </w:t>
            </w:r>
            <w:r w:rsidRPr="00333457">
              <w:rPr>
                <w:rFonts w:cs="Tahoma"/>
                <w:sz w:val="18"/>
              </w:rPr>
              <w:t>ausgelagert, die Vergabe erfolgt dann nach eigenen Regeln</w:t>
            </w:r>
            <w:r>
              <w:rPr>
                <w:rFonts w:cs="Tahoma"/>
                <w:sz w:val="18"/>
              </w:rPr>
              <w:t xml:space="preserve"> und Vorgaben (z.B. St. Pölten: 6 Monatsmieten Kaution)</w:t>
            </w:r>
            <w:r w:rsidRPr="00333457">
              <w:rPr>
                <w:rFonts w:cs="Tahoma"/>
                <w:sz w:val="18"/>
              </w:rPr>
              <w:t>.</w:t>
            </w:r>
            <w:r>
              <w:rPr>
                <w:rFonts w:cs="Tahoma"/>
                <w:sz w:val="18"/>
              </w:rPr>
              <w:t xml:space="preserve"> Ein we</w:t>
            </w:r>
            <w:r>
              <w:rPr>
                <w:rFonts w:cs="Tahoma"/>
                <w:sz w:val="18"/>
              </w:rPr>
              <w:t>i</w:t>
            </w:r>
            <w:r>
              <w:rPr>
                <w:rFonts w:cs="Tahoma"/>
                <w:sz w:val="18"/>
              </w:rPr>
              <w:lastRenderedPageBreak/>
              <w:t>terer Teil der Wohnungen wird über die Gemeinnützigen Bauträger vergeben. Das betrifft insbesondere Wohnungen aus dem Altbestand.</w:t>
            </w:r>
          </w:p>
          <w:p w:rsidR="003D6C00" w:rsidRDefault="008149FB" w:rsidP="005A2CD8">
            <w:pPr>
              <w:spacing w:before="60" w:after="60" w:line="240" w:lineRule="auto"/>
              <w:jc w:val="left"/>
              <w:rPr>
                <w:rFonts w:cs="Tahoma"/>
                <w:sz w:val="18"/>
              </w:rPr>
            </w:pPr>
            <w:r w:rsidRPr="0020444F">
              <w:rPr>
                <w:rFonts w:cs="Tahoma"/>
                <w:sz w:val="18"/>
                <w:u w:val="single"/>
              </w:rPr>
              <w:t>Vergaberegeln</w:t>
            </w:r>
            <w:r>
              <w:rPr>
                <w:rFonts w:cs="Tahoma"/>
                <w:sz w:val="18"/>
              </w:rPr>
              <w:t xml:space="preserve">: </w:t>
            </w:r>
            <w:r w:rsidRPr="00333457">
              <w:rPr>
                <w:rFonts w:cs="Tahoma"/>
                <w:sz w:val="18"/>
              </w:rPr>
              <w:t xml:space="preserve">Berücksichtigung individueller Faktoren (Status, </w:t>
            </w:r>
            <w:r>
              <w:rPr>
                <w:rFonts w:cs="Tahoma"/>
                <w:sz w:val="18"/>
              </w:rPr>
              <w:t xml:space="preserve">Einkommen, </w:t>
            </w:r>
            <w:r w:rsidRPr="00333457">
              <w:rPr>
                <w:rFonts w:cs="Tahoma"/>
                <w:sz w:val="18"/>
              </w:rPr>
              <w:t>Größe des Haushalts etc.), aber k</w:t>
            </w:r>
            <w:r>
              <w:rPr>
                <w:rFonts w:cs="Tahoma"/>
                <w:sz w:val="18"/>
              </w:rPr>
              <w:t xml:space="preserve">eine Diskriminierung </w:t>
            </w:r>
            <w:r w:rsidR="003D6C00">
              <w:rPr>
                <w:rFonts w:cs="Tahoma"/>
                <w:sz w:val="18"/>
              </w:rPr>
              <w:t>gemäß</w:t>
            </w:r>
            <w:r w:rsidR="00E96F92">
              <w:rPr>
                <w:rFonts w:cs="Tahoma"/>
                <w:sz w:val="18"/>
              </w:rPr>
              <w:t xml:space="preserve"> </w:t>
            </w:r>
            <w:r>
              <w:rPr>
                <w:rFonts w:cs="Tahoma"/>
                <w:sz w:val="18"/>
              </w:rPr>
              <w:t>ethnische</w:t>
            </w:r>
            <w:r w:rsidR="003D6C00">
              <w:rPr>
                <w:rFonts w:cs="Tahoma"/>
                <w:sz w:val="18"/>
              </w:rPr>
              <w:t xml:space="preserve">r </w:t>
            </w:r>
            <w:r>
              <w:rPr>
                <w:rFonts w:cs="Tahoma"/>
                <w:sz w:val="18"/>
              </w:rPr>
              <w:t>Zugehörigkeit</w:t>
            </w:r>
            <w:r w:rsidRPr="00333457">
              <w:rPr>
                <w:rFonts w:cs="Tahoma"/>
                <w:sz w:val="18"/>
              </w:rPr>
              <w:t>, Religion, Spr</w:t>
            </w:r>
            <w:r w:rsidRPr="00333457">
              <w:rPr>
                <w:rFonts w:cs="Tahoma"/>
                <w:sz w:val="18"/>
              </w:rPr>
              <w:t>a</w:t>
            </w:r>
            <w:r w:rsidRPr="00333457">
              <w:rPr>
                <w:rFonts w:cs="Tahoma"/>
                <w:sz w:val="18"/>
              </w:rPr>
              <w:t xml:space="preserve">che etc. </w:t>
            </w:r>
          </w:p>
          <w:p w:rsidR="008149FB" w:rsidRPr="00333457" w:rsidRDefault="003D6C00" w:rsidP="005A2CD8">
            <w:pPr>
              <w:spacing w:before="60" w:after="60" w:line="240" w:lineRule="auto"/>
              <w:jc w:val="left"/>
              <w:rPr>
                <w:rFonts w:cs="Tahoma"/>
                <w:sz w:val="18"/>
              </w:rPr>
            </w:pPr>
            <w:r w:rsidRPr="003D6C00">
              <w:rPr>
                <w:rFonts w:cs="Tahoma"/>
                <w:sz w:val="18"/>
                <w:u w:val="single"/>
              </w:rPr>
              <w:t>Wohnungsvergabe</w:t>
            </w:r>
            <w:r>
              <w:rPr>
                <w:rFonts w:cs="Tahoma"/>
                <w:sz w:val="18"/>
              </w:rPr>
              <w:t>: „</w:t>
            </w:r>
            <w:r w:rsidR="008149FB">
              <w:rPr>
                <w:rFonts w:cs="Tahoma"/>
                <w:sz w:val="18"/>
              </w:rPr>
              <w:t xml:space="preserve">Bei der </w:t>
            </w:r>
            <w:r w:rsidR="008149FB" w:rsidRPr="00333457">
              <w:rPr>
                <w:rFonts w:cs="Tahoma"/>
                <w:sz w:val="18"/>
              </w:rPr>
              <w:t>Reihung nach Punkten wird die Dringlichkeit der Wohnverso</w:t>
            </w:r>
            <w:r w:rsidR="008149FB" w:rsidRPr="00333457">
              <w:rPr>
                <w:rFonts w:cs="Tahoma"/>
                <w:sz w:val="18"/>
              </w:rPr>
              <w:t>r</w:t>
            </w:r>
            <w:r w:rsidR="008149FB" w:rsidRPr="00333457">
              <w:rPr>
                <w:rFonts w:cs="Tahoma"/>
                <w:sz w:val="18"/>
              </w:rPr>
              <w:t xml:space="preserve">gung </w:t>
            </w:r>
            <w:r w:rsidR="008149FB">
              <w:rPr>
                <w:rFonts w:cs="Tahoma"/>
                <w:sz w:val="18"/>
              </w:rPr>
              <w:t xml:space="preserve">vorrangig </w:t>
            </w:r>
            <w:r w:rsidR="008149FB" w:rsidRPr="00333457">
              <w:rPr>
                <w:rFonts w:cs="Tahoma"/>
                <w:sz w:val="18"/>
              </w:rPr>
              <w:t>berücksichtigt</w:t>
            </w:r>
            <w:r w:rsidR="008149FB">
              <w:rPr>
                <w:rFonts w:cs="Tahoma"/>
                <w:sz w:val="18"/>
              </w:rPr>
              <w:t>.</w:t>
            </w:r>
            <w:r>
              <w:rPr>
                <w:rFonts w:cs="Tahoma"/>
                <w:sz w:val="18"/>
              </w:rPr>
              <w:t>“</w:t>
            </w:r>
          </w:p>
          <w:p w:rsidR="008149FB" w:rsidRPr="00333457" w:rsidRDefault="008149FB" w:rsidP="005A2CD8">
            <w:pPr>
              <w:spacing w:before="60" w:after="60" w:line="240" w:lineRule="auto"/>
              <w:jc w:val="left"/>
              <w:rPr>
                <w:rFonts w:cs="Tahoma"/>
                <w:sz w:val="18"/>
              </w:rPr>
            </w:pPr>
            <w:r w:rsidRPr="0020444F">
              <w:rPr>
                <w:rFonts w:cs="Tahoma"/>
                <w:sz w:val="18"/>
                <w:u w:val="single"/>
              </w:rPr>
              <w:t>Gemeinnützige Bauträger</w:t>
            </w:r>
            <w:r w:rsidRPr="00333457">
              <w:rPr>
                <w:rFonts w:cs="Tahoma"/>
                <w:sz w:val="18"/>
              </w:rPr>
              <w:t xml:space="preserve">: </w:t>
            </w:r>
            <w:r>
              <w:rPr>
                <w:rFonts w:cs="Tahoma"/>
                <w:sz w:val="18"/>
              </w:rPr>
              <w:t>„</w:t>
            </w:r>
            <w:r w:rsidRPr="00333457">
              <w:rPr>
                <w:rFonts w:cs="Tahoma"/>
                <w:sz w:val="18"/>
              </w:rPr>
              <w:t>Wenn der Schritt zur Anmeldung geschafft ist, dann gibt es keine Diskriminierung!</w:t>
            </w:r>
            <w:r>
              <w:rPr>
                <w:rFonts w:cs="Tahoma"/>
                <w:sz w:val="18"/>
              </w:rPr>
              <w:t>“</w:t>
            </w:r>
          </w:p>
        </w:tc>
      </w:tr>
      <w:tr w:rsidR="008149FB" w:rsidRPr="00DA5171" w:rsidTr="005A2CD8">
        <w:tc>
          <w:tcPr>
            <w:tcW w:w="1601" w:type="dxa"/>
          </w:tcPr>
          <w:p w:rsidR="008149FB" w:rsidRPr="00F14F85" w:rsidRDefault="008149FB" w:rsidP="00044AF0">
            <w:pPr>
              <w:spacing w:beforeLines="40" w:afterLines="40" w:line="240" w:lineRule="auto"/>
              <w:rPr>
                <w:smallCaps/>
                <w:sz w:val="20"/>
              </w:rPr>
            </w:pPr>
            <w:r w:rsidRPr="00F14F85">
              <w:rPr>
                <w:smallCaps/>
                <w:sz w:val="20"/>
              </w:rPr>
              <w:lastRenderedPageBreak/>
              <w:t>Spielraum</w:t>
            </w:r>
          </w:p>
        </w:tc>
        <w:tc>
          <w:tcPr>
            <w:tcW w:w="7687" w:type="dxa"/>
          </w:tcPr>
          <w:p w:rsidR="00587957" w:rsidRDefault="008149FB" w:rsidP="00044AF0">
            <w:pPr>
              <w:spacing w:beforeLines="40" w:afterLines="40" w:line="240" w:lineRule="auto"/>
              <w:jc w:val="left"/>
              <w:rPr>
                <w:rFonts w:cs="Tahoma"/>
                <w:sz w:val="18"/>
                <w:szCs w:val="24"/>
              </w:rPr>
            </w:pPr>
            <w:r w:rsidRPr="0020444F">
              <w:rPr>
                <w:rFonts w:cs="Tahoma"/>
                <w:sz w:val="18"/>
                <w:u w:val="single"/>
              </w:rPr>
              <w:t>Gemeinnützige Bauträger</w:t>
            </w:r>
            <w:r>
              <w:rPr>
                <w:rFonts w:cs="Tahoma"/>
                <w:sz w:val="18"/>
              </w:rPr>
              <w:t xml:space="preserve">: </w:t>
            </w:r>
            <w:r w:rsidRPr="00E420DD">
              <w:rPr>
                <w:rFonts w:cs="Tahoma"/>
                <w:sz w:val="18"/>
              </w:rPr>
              <w:t>Das Gesetz spricht ganz neutral von Bedarf</w:t>
            </w:r>
            <w:r>
              <w:rPr>
                <w:rFonts w:cs="Tahoma"/>
                <w:sz w:val="18"/>
              </w:rPr>
              <w:t>, ohne dass im Detail festgelegt wäre,</w:t>
            </w:r>
            <w:r w:rsidRPr="00E420DD">
              <w:rPr>
                <w:rFonts w:cs="Tahoma"/>
                <w:sz w:val="18"/>
              </w:rPr>
              <w:t xml:space="preserve"> was Wohnbedarf bedeutet und wie dieser bewertet / festgestellt wird. Die</w:t>
            </w:r>
            <w:r w:rsidRPr="00E420DD">
              <w:rPr>
                <w:rFonts w:cs="Tahoma"/>
                <w:sz w:val="18"/>
              </w:rPr>
              <w:t>s</w:t>
            </w:r>
            <w:r w:rsidRPr="00E420DD">
              <w:rPr>
                <w:rFonts w:cs="Tahoma"/>
                <w:sz w:val="18"/>
              </w:rPr>
              <w:t xml:space="preserve">bezüglich gibt es </w:t>
            </w:r>
            <w:r>
              <w:rPr>
                <w:rFonts w:cs="Tahoma"/>
                <w:sz w:val="18"/>
              </w:rPr>
              <w:t>einen Interpretationsspielraum, der solcherart nicht nur</w:t>
            </w:r>
            <w:r w:rsidRPr="00E420DD">
              <w:rPr>
                <w:rFonts w:cs="Tahoma"/>
                <w:sz w:val="18"/>
              </w:rPr>
              <w:t xml:space="preserve"> Notlagen </w:t>
            </w:r>
            <w:r>
              <w:rPr>
                <w:rFonts w:cs="Tahoma"/>
                <w:sz w:val="18"/>
              </w:rPr>
              <w:t xml:space="preserve">betrifft. </w:t>
            </w:r>
          </w:p>
          <w:p w:rsidR="001E30B4" w:rsidRDefault="008149FB" w:rsidP="00044AF0">
            <w:pPr>
              <w:spacing w:beforeLines="40" w:afterLines="40" w:line="240" w:lineRule="auto"/>
              <w:jc w:val="left"/>
              <w:rPr>
                <w:rFonts w:cs="Tahoma"/>
                <w:sz w:val="18"/>
                <w:szCs w:val="24"/>
              </w:rPr>
            </w:pPr>
            <w:r w:rsidRPr="0020444F">
              <w:rPr>
                <w:rFonts w:cs="Tahoma"/>
                <w:sz w:val="18"/>
                <w:u w:val="single"/>
              </w:rPr>
              <w:t>Wohnungsämter</w:t>
            </w:r>
            <w:r>
              <w:rPr>
                <w:rFonts w:cs="Tahoma"/>
                <w:sz w:val="18"/>
              </w:rPr>
              <w:t>: Vergabe erfolgt grundsätzlich nach der Warteliste, Notfälle (nach Delogi</w:t>
            </w:r>
            <w:r>
              <w:rPr>
                <w:rFonts w:cs="Tahoma"/>
                <w:sz w:val="18"/>
              </w:rPr>
              <w:t>e</w:t>
            </w:r>
            <w:r>
              <w:rPr>
                <w:rFonts w:cs="Tahoma"/>
                <w:sz w:val="18"/>
              </w:rPr>
              <w:t>rung, Scheidung, Gewalt in der Beziehung etc.)</w:t>
            </w:r>
            <w:r w:rsidRPr="00E420DD">
              <w:rPr>
                <w:rFonts w:cs="Tahoma"/>
                <w:sz w:val="18"/>
              </w:rPr>
              <w:t xml:space="preserve"> </w:t>
            </w:r>
            <w:r>
              <w:rPr>
                <w:rFonts w:cs="Tahoma"/>
                <w:sz w:val="18"/>
              </w:rPr>
              <w:t>werden</w:t>
            </w:r>
            <w:r w:rsidRPr="00E420DD">
              <w:rPr>
                <w:rFonts w:cs="Tahoma"/>
                <w:sz w:val="18"/>
              </w:rPr>
              <w:t xml:space="preserve"> vorge</w:t>
            </w:r>
            <w:r>
              <w:rPr>
                <w:rFonts w:cs="Tahoma"/>
                <w:sz w:val="18"/>
              </w:rPr>
              <w:t>reiht</w:t>
            </w:r>
            <w:r w:rsidRPr="00E420DD">
              <w:rPr>
                <w:rFonts w:cs="Tahoma"/>
                <w:sz w:val="18"/>
              </w:rPr>
              <w:t>.</w:t>
            </w:r>
          </w:p>
        </w:tc>
      </w:tr>
      <w:tr w:rsidR="008149FB" w:rsidRPr="00DA5171" w:rsidTr="005A2CD8">
        <w:tc>
          <w:tcPr>
            <w:tcW w:w="1601" w:type="dxa"/>
          </w:tcPr>
          <w:p w:rsidR="008149FB" w:rsidRPr="00F14F85" w:rsidRDefault="008149FB" w:rsidP="00044AF0">
            <w:pPr>
              <w:spacing w:beforeLines="40" w:afterLines="40" w:line="240" w:lineRule="auto"/>
              <w:rPr>
                <w:smallCaps/>
                <w:sz w:val="20"/>
              </w:rPr>
            </w:pPr>
            <w:r>
              <w:rPr>
                <w:smallCaps/>
                <w:sz w:val="20"/>
              </w:rPr>
              <w:t>gefördertes</w:t>
            </w:r>
            <w:r w:rsidRPr="00F14F85">
              <w:rPr>
                <w:smallCaps/>
                <w:sz w:val="20"/>
              </w:rPr>
              <w:t xml:space="preserve"> Wohneigentum</w:t>
            </w:r>
          </w:p>
        </w:tc>
        <w:tc>
          <w:tcPr>
            <w:tcW w:w="7687" w:type="dxa"/>
          </w:tcPr>
          <w:p w:rsidR="00587957" w:rsidRDefault="008149FB" w:rsidP="00044AF0">
            <w:pPr>
              <w:spacing w:beforeLines="40" w:afterLines="40" w:line="240" w:lineRule="auto"/>
              <w:jc w:val="left"/>
              <w:rPr>
                <w:szCs w:val="24"/>
              </w:rPr>
            </w:pPr>
            <w:r>
              <w:rPr>
                <w:sz w:val="18"/>
              </w:rPr>
              <w:t>Drittstaatsangehörige haben einen eingeschränkten Zugang zu gefördertem Wohneigentum. Sie benötigen dafür eine</w:t>
            </w:r>
            <w:r w:rsidRPr="00980A88">
              <w:rPr>
                <w:sz w:val="18"/>
              </w:rPr>
              <w:t xml:space="preserve"> Grunderwerbsgenehmigung durch das Land</w:t>
            </w:r>
            <w:r>
              <w:rPr>
                <w:sz w:val="18"/>
              </w:rPr>
              <w:t xml:space="preserve"> / die Bezirkshaup</w:t>
            </w:r>
            <w:r>
              <w:rPr>
                <w:sz w:val="18"/>
              </w:rPr>
              <w:t>t</w:t>
            </w:r>
            <w:r>
              <w:rPr>
                <w:sz w:val="18"/>
              </w:rPr>
              <w:t>mannschaft; in der Regel ist ein positiver Bescheid davon abhängig, ob ein spezifisches Int</w:t>
            </w:r>
            <w:r>
              <w:rPr>
                <w:sz w:val="18"/>
              </w:rPr>
              <w:t>e</w:t>
            </w:r>
            <w:r>
              <w:rPr>
                <w:sz w:val="18"/>
              </w:rPr>
              <w:t>resse z.B. der Gemeinde vorliegt</w:t>
            </w:r>
          </w:p>
        </w:tc>
      </w:tr>
      <w:tr w:rsidR="008149FB" w:rsidRPr="00DA5171" w:rsidTr="005A2CD8">
        <w:tc>
          <w:tcPr>
            <w:tcW w:w="1601" w:type="dxa"/>
          </w:tcPr>
          <w:p w:rsidR="008149FB" w:rsidRPr="00F14F85" w:rsidRDefault="008149FB" w:rsidP="00044AF0">
            <w:pPr>
              <w:spacing w:beforeLines="40" w:afterLines="40" w:line="240" w:lineRule="auto"/>
              <w:rPr>
                <w:smallCaps/>
                <w:sz w:val="20"/>
              </w:rPr>
            </w:pPr>
            <w:r w:rsidRPr="00D56877">
              <w:rPr>
                <w:smallCaps/>
                <w:sz w:val="20"/>
              </w:rPr>
              <w:t>finanzielle Hürde:</w:t>
            </w:r>
            <w:r w:rsidRPr="00D56877">
              <w:rPr>
                <w:smallCaps/>
                <w:sz w:val="20"/>
              </w:rPr>
              <w:br/>
            </w:r>
            <w:r w:rsidRPr="00D56877">
              <w:rPr>
                <w:smallCaps/>
                <w:sz w:val="20"/>
              </w:rPr>
              <w:br/>
            </w:r>
            <w:r>
              <w:rPr>
                <w:smallCaps/>
                <w:sz w:val="20"/>
              </w:rPr>
              <w:t>einmalige E</w:t>
            </w:r>
            <w:r>
              <w:rPr>
                <w:smallCaps/>
                <w:sz w:val="20"/>
              </w:rPr>
              <w:t>i</w:t>
            </w:r>
            <w:r>
              <w:rPr>
                <w:smallCaps/>
                <w:sz w:val="20"/>
              </w:rPr>
              <w:t>genleistung oder höhere monatliche Mietkosten</w:t>
            </w:r>
          </w:p>
        </w:tc>
        <w:tc>
          <w:tcPr>
            <w:tcW w:w="7687" w:type="dxa"/>
          </w:tcPr>
          <w:p w:rsidR="00587957" w:rsidRDefault="008149FB" w:rsidP="00044AF0">
            <w:pPr>
              <w:spacing w:beforeLines="40" w:afterLines="40" w:line="240" w:lineRule="auto"/>
              <w:jc w:val="left"/>
              <w:rPr>
                <w:rFonts w:cs="Tahoma"/>
                <w:sz w:val="18"/>
                <w:szCs w:val="24"/>
              </w:rPr>
            </w:pPr>
            <w:r w:rsidRPr="00943FA1">
              <w:rPr>
                <w:rFonts w:cs="Tahoma"/>
                <w:sz w:val="18"/>
                <w:u w:val="single"/>
              </w:rPr>
              <w:t>Eigenleistung oder höhere Miete</w:t>
            </w:r>
            <w:r w:rsidRPr="00980A88">
              <w:rPr>
                <w:rFonts w:cs="Tahoma"/>
                <w:sz w:val="18"/>
              </w:rPr>
              <w:t>: Für den Bezug einer geförderten Mietwohnung ist eine einmalige Eigenleistung</w:t>
            </w:r>
            <w:r>
              <w:rPr>
                <w:rFonts w:cs="Tahoma"/>
                <w:sz w:val="18"/>
              </w:rPr>
              <w:t xml:space="preserve"> (Baukosten-/Finanzierungszuschuss)</w:t>
            </w:r>
            <w:r w:rsidRPr="00980A88">
              <w:rPr>
                <w:rFonts w:cs="Tahoma"/>
                <w:sz w:val="18"/>
              </w:rPr>
              <w:t xml:space="preserve"> notwendig, im Bedarfsfall kann diese Eigenleistung gegen einen Zuschlag bei der monatlichen Miete gegengerechnet werden</w:t>
            </w:r>
          </w:p>
          <w:p w:rsidR="001E30B4" w:rsidRDefault="008149FB" w:rsidP="00044AF0">
            <w:pPr>
              <w:spacing w:beforeLines="40" w:afterLines="40" w:line="240" w:lineRule="auto"/>
              <w:jc w:val="left"/>
              <w:rPr>
                <w:rFonts w:cs="Tahoma"/>
                <w:sz w:val="18"/>
                <w:szCs w:val="24"/>
              </w:rPr>
            </w:pPr>
            <w:r w:rsidRPr="00943FA1">
              <w:rPr>
                <w:rFonts w:cs="Tahoma"/>
                <w:sz w:val="18"/>
                <w:u w:val="single"/>
              </w:rPr>
              <w:t>Wohnbeihilfe</w:t>
            </w:r>
            <w:r>
              <w:rPr>
                <w:rFonts w:cs="Tahoma"/>
                <w:sz w:val="18"/>
              </w:rPr>
              <w:t xml:space="preserve">: </w:t>
            </w:r>
            <w:r w:rsidRPr="00943FA1">
              <w:rPr>
                <w:rFonts w:cs="Tahoma"/>
                <w:sz w:val="18"/>
              </w:rPr>
              <w:t>Ein einkommensbezogener Wohnkostenzuschuss (Subjektförderung) wird nur für den Sektor geförderter Wohnungen bewilligt; Drittstaatsangehörige sind nicht bezugsb</w:t>
            </w:r>
            <w:r w:rsidRPr="00943FA1">
              <w:rPr>
                <w:rFonts w:cs="Tahoma"/>
                <w:sz w:val="18"/>
              </w:rPr>
              <w:t>e</w:t>
            </w:r>
            <w:r w:rsidRPr="00943FA1">
              <w:rPr>
                <w:rFonts w:cs="Tahoma"/>
                <w:sz w:val="18"/>
              </w:rPr>
              <w:t xml:space="preserve">rechtigt </w:t>
            </w:r>
          </w:p>
          <w:p w:rsidR="001E30B4" w:rsidRDefault="008149FB" w:rsidP="00044AF0">
            <w:pPr>
              <w:spacing w:beforeLines="40" w:afterLines="40" w:line="240" w:lineRule="auto"/>
              <w:jc w:val="left"/>
              <w:rPr>
                <w:rFonts w:cs="Tahoma"/>
                <w:sz w:val="18"/>
                <w:szCs w:val="24"/>
              </w:rPr>
            </w:pPr>
            <w:r w:rsidRPr="004B3156">
              <w:rPr>
                <w:rFonts w:cs="Tahoma"/>
                <w:sz w:val="18"/>
                <w:u w:val="single"/>
              </w:rPr>
              <w:t>Problem für einkommensschwache Drittstaatsangehörige</w:t>
            </w:r>
            <w:r w:rsidRPr="00980A88">
              <w:rPr>
                <w:rFonts w:cs="Tahoma"/>
                <w:sz w:val="18"/>
              </w:rPr>
              <w:t xml:space="preserve">: Wenn sie keine Eigenleistung </w:t>
            </w:r>
            <w:r>
              <w:rPr>
                <w:rFonts w:cs="Tahoma"/>
                <w:sz w:val="18"/>
              </w:rPr>
              <w:t xml:space="preserve">für den Bezug einer geförderten Mietwohnung </w:t>
            </w:r>
            <w:r w:rsidRPr="00980A88">
              <w:rPr>
                <w:rFonts w:cs="Tahoma"/>
                <w:sz w:val="18"/>
              </w:rPr>
              <w:t xml:space="preserve">erbringen können, </w:t>
            </w:r>
            <w:r>
              <w:rPr>
                <w:rFonts w:cs="Tahoma"/>
                <w:sz w:val="18"/>
              </w:rPr>
              <w:t>fallen</w:t>
            </w:r>
            <w:r w:rsidRPr="00980A88">
              <w:rPr>
                <w:rFonts w:cs="Tahoma"/>
                <w:sz w:val="18"/>
              </w:rPr>
              <w:t xml:space="preserve"> höhere </w:t>
            </w:r>
            <w:r>
              <w:rPr>
                <w:rFonts w:cs="Tahoma"/>
                <w:sz w:val="18"/>
              </w:rPr>
              <w:t>monatliche Mie</w:t>
            </w:r>
            <w:r>
              <w:rPr>
                <w:rFonts w:cs="Tahoma"/>
                <w:sz w:val="18"/>
              </w:rPr>
              <w:t>t</w:t>
            </w:r>
            <w:r>
              <w:rPr>
                <w:rFonts w:cs="Tahoma"/>
                <w:sz w:val="18"/>
              </w:rPr>
              <w:t>zahlungen an. Drittstaatsangehörige haben jedoch keinen Anspruch auf eine</w:t>
            </w:r>
            <w:r w:rsidRPr="00980A88">
              <w:rPr>
                <w:rFonts w:cs="Tahoma"/>
                <w:sz w:val="18"/>
              </w:rPr>
              <w:t xml:space="preserve"> </w:t>
            </w:r>
            <w:r>
              <w:rPr>
                <w:rFonts w:cs="Tahoma"/>
                <w:sz w:val="18"/>
              </w:rPr>
              <w:t>einkommensb</w:t>
            </w:r>
            <w:r>
              <w:rPr>
                <w:rFonts w:cs="Tahoma"/>
                <w:sz w:val="18"/>
              </w:rPr>
              <w:t>e</w:t>
            </w:r>
            <w:r>
              <w:rPr>
                <w:rFonts w:cs="Tahoma"/>
                <w:sz w:val="18"/>
              </w:rPr>
              <w:t xml:space="preserve">zogene </w:t>
            </w:r>
            <w:r w:rsidRPr="00980A88">
              <w:rPr>
                <w:rFonts w:cs="Tahoma"/>
                <w:sz w:val="18"/>
              </w:rPr>
              <w:t>Förderung</w:t>
            </w:r>
            <w:r>
              <w:rPr>
                <w:rFonts w:cs="Tahoma"/>
                <w:sz w:val="18"/>
              </w:rPr>
              <w:t>.</w:t>
            </w:r>
          </w:p>
          <w:p w:rsidR="001E30B4" w:rsidRDefault="008149FB" w:rsidP="00044AF0">
            <w:pPr>
              <w:spacing w:beforeLines="40" w:afterLines="40" w:line="240" w:lineRule="auto"/>
              <w:jc w:val="left"/>
              <w:rPr>
                <w:szCs w:val="24"/>
              </w:rPr>
            </w:pPr>
            <w:r w:rsidRPr="00943FA1">
              <w:rPr>
                <w:rFonts w:cs="Tahoma"/>
                <w:sz w:val="18"/>
                <w:u w:val="single"/>
              </w:rPr>
              <w:t>Ausfinanzierte Wohnungen</w:t>
            </w:r>
            <w:r>
              <w:rPr>
                <w:rFonts w:cs="Tahoma"/>
                <w:sz w:val="18"/>
              </w:rPr>
              <w:t>: Für Wohnungen aus dem Altbestand (erbaut vor 1955) fallen keine Baukosten-/Finanzierungszuschüsse mehr an; diese Wohnungen werden von den G</w:t>
            </w:r>
            <w:r>
              <w:rPr>
                <w:rFonts w:cs="Tahoma"/>
                <w:sz w:val="18"/>
              </w:rPr>
              <w:t>e</w:t>
            </w:r>
            <w:r>
              <w:rPr>
                <w:rFonts w:cs="Tahoma"/>
                <w:sz w:val="18"/>
              </w:rPr>
              <w:t>nossenschaften speziell an einkommensschwache Haushalte vergeben.</w:t>
            </w:r>
          </w:p>
        </w:tc>
      </w:tr>
      <w:tr w:rsidR="008149FB" w:rsidRPr="00DA5171" w:rsidTr="005A2CD8">
        <w:tc>
          <w:tcPr>
            <w:tcW w:w="1601" w:type="dxa"/>
          </w:tcPr>
          <w:p w:rsidR="008149FB" w:rsidRPr="00F14F85" w:rsidRDefault="008149FB" w:rsidP="00044AF0">
            <w:pPr>
              <w:spacing w:beforeLines="40" w:afterLines="40" w:line="240" w:lineRule="auto"/>
              <w:rPr>
                <w:smallCaps/>
                <w:sz w:val="20"/>
              </w:rPr>
            </w:pPr>
            <w:r w:rsidRPr="00F14F85">
              <w:rPr>
                <w:smallCaps/>
                <w:sz w:val="20"/>
              </w:rPr>
              <w:t>Leitlinien für die Vergabe</w:t>
            </w:r>
          </w:p>
        </w:tc>
        <w:tc>
          <w:tcPr>
            <w:tcW w:w="7687" w:type="dxa"/>
          </w:tcPr>
          <w:p w:rsidR="00587957" w:rsidRDefault="008149FB" w:rsidP="00044AF0">
            <w:pPr>
              <w:spacing w:beforeLines="40" w:afterLines="40" w:line="240" w:lineRule="auto"/>
              <w:jc w:val="left"/>
              <w:rPr>
                <w:rFonts w:cs="Tahoma"/>
                <w:sz w:val="18"/>
                <w:szCs w:val="24"/>
              </w:rPr>
            </w:pPr>
            <w:r w:rsidRPr="00BD6D58">
              <w:rPr>
                <w:rFonts w:cs="Tahoma"/>
                <w:sz w:val="18"/>
                <w:u w:val="single"/>
              </w:rPr>
              <w:t>Gemeinnützige Bauträger</w:t>
            </w:r>
            <w:r>
              <w:rPr>
                <w:rFonts w:cs="Tahoma"/>
                <w:sz w:val="18"/>
              </w:rPr>
              <w:t>:</w:t>
            </w:r>
            <w:r w:rsidRPr="0016658F">
              <w:rPr>
                <w:rFonts w:cs="Tahoma"/>
                <w:sz w:val="18"/>
              </w:rPr>
              <w:t xml:space="preserve"> stehen für Gleichbehandlung. Ihre Haltung zu den Wohnungswe</w:t>
            </w:r>
            <w:r w:rsidRPr="0016658F">
              <w:rPr>
                <w:rFonts w:cs="Tahoma"/>
                <w:sz w:val="18"/>
              </w:rPr>
              <w:t>r</w:t>
            </w:r>
            <w:r w:rsidRPr="0016658F">
              <w:rPr>
                <w:rFonts w:cs="Tahoma"/>
                <w:sz w:val="18"/>
              </w:rPr>
              <w:t>berInnen und MieterInnen ist durch die genossenschaftliche Tradition geprägt – alle Miet</w:t>
            </w:r>
            <w:r w:rsidRPr="0016658F">
              <w:rPr>
                <w:rFonts w:cs="Tahoma"/>
                <w:sz w:val="18"/>
              </w:rPr>
              <w:t>e</w:t>
            </w:r>
            <w:r w:rsidRPr="0016658F">
              <w:rPr>
                <w:rFonts w:cs="Tahoma"/>
                <w:sz w:val="18"/>
              </w:rPr>
              <w:t>rInnen sind Mitglied der Genossenschaft und werden grundsätzlich gleichbehandelt.</w:t>
            </w:r>
          </w:p>
          <w:p w:rsidR="001E30B4" w:rsidRDefault="008149FB" w:rsidP="00044AF0">
            <w:pPr>
              <w:spacing w:beforeLines="40" w:afterLines="40" w:line="240" w:lineRule="auto"/>
              <w:jc w:val="left"/>
              <w:rPr>
                <w:szCs w:val="24"/>
              </w:rPr>
            </w:pPr>
            <w:r w:rsidRPr="004B3156">
              <w:rPr>
                <w:rFonts w:cs="Tahoma"/>
                <w:sz w:val="18"/>
                <w:u w:val="single"/>
              </w:rPr>
              <w:t>Soziale und e</w:t>
            </w:r>
            <w:r>
              <w:rPr>
                <w:rFonts w:cs="Tahoma"/>
                <w:sz w:val="18"/>
                <w:u w:val="single"/>
              </w:rPr>
              <w:t>t</w:t>
            </w:r>
            <w:r w:rsidRPr="004B3156">
              <w:rPr>
                <w:rFonts w:cs="Tahoma"/>
                <w:sz w:val="18"/>
                <w:u w:val="single"/>
              </w:rPr>
              <w:t>hnische Mischung</w:t>
            </w:r>
            <w:r>
              <w:rPr>
                <w:rFonts w:cs="Tahoma"/>
                <w:sz w:val="18"/>
              </w:rPr>
              <w:t xml:space="preserve">: </w:t>
            </w:r>
            <w:r w:rsidRPr="00980A88">
              <w:rPr>
                <w:rFonts w:cs="Tahoma"/>
                <w:sz w:val="18"/>
              </w:rPr>
              <w:t>In der Wohnungsvergabe wird versucht zu regulieren</w:t>
            </w:r>
            <w:r>
              <w:rPr>
                <w:rFonts w:cs="Tahoma"/>
                <w:sz w:val="18"/>
              </w:rPr>
              <w:t>,</w:t>
            </w:r>
            <w:r w:rsidRPr="00980A88">
              <w:rPr>
                <w:rFonts w:cs="Tahoma"/>
                <w:sz w:val="18"/>
              </w:rPr>
              <w:t xml:space="preserve"> wie viele Drittstaatsangehörige in ein und denselben Wohnblock vermittelt werden. Die richtige Mischung zu finden, dazu braucht es </w:t>
            </w:r>
            <w:r>
              <w:rPr>
                <w:rFonts w:cs="Tahoma"/>
                <w:sz w:val="18"/>
              </w:rPr>
              <w:t>‚</w:t>
            </w:r>
            <w:r w:rsidRPr="00980A88">
              <w:rPr>
                <w:rFonts w:cs="Tahoma"/>
                <w:sz w:val="18"/>
              </w:rPr>
              <w:t>sehr viel Fingerspitzengefühl und Knowhow</w:t>
            </w:r>
            <w:r>
              <w:rPr>
                <w:rFonts w:cs="Tahoma"/>
                <w:sz w:val="18"/>
              </w:rPr>
              <w:t>‘</w:t>
            </w:r>
            <w:r w:rsidRPr="00980A88">
              <w:rPr>
                <w:rFonts w:cs="Tahoma"/>
                <w:sz w:val="18"/>
              </w:rPr>
              <w:t>. Es bedarf der gezielten Aufmerksamkeit.</w:t>
            </w:r>
          </w:p>
        </w:tc>
      </w:tr>
      <w:tr w:rsidR="008149FB" w:rsidRPr="00DA5171" w:rsidTr="005A2CD8">
        <w:tc>
          <w:tcPr>
            <w:tcW w:w="1601" w:type="dxa"/>
          </w:tcPr>
          <w:p w:rsidR="008149FB" w:rsidRPr="00F14F85" w:rsidRDefault="008149FB" w:rsidP="00044AF0">
            <w:pPr>
              <w:spacing w:beforeLines="40" w:afterLines="40" w:line="240" w:lineRule="auto"/>
              <w:rPr>
                <w:smallCaps/>
                <w:sz w:val="20"/>
              </w:rPr>
            </w:pPr>
            <w:r w:rsidRPr="00F14F85">
              <w:rPr>
                <w:smallCaps/>
                <w:sz w:val="20"/>
              </w:rPr>
              <w:t>Model of good practice</w:t>
            </w:r>
          </w:p>
        </w:tc>
        <w:tc>
          <w:tcPr>
            <w:tcW w:w="7687" w:type="dxa"/>
          </w:tcPr>
          <w:p w:rsidR="00587957" w:rsidRDefault="008149FB" w:rsidP="00044AF0">
            <w:pPr>
              <w:spacing w:beforeLines="40" w:afterLines="40" w:line="240" w:lineRule="auto"/>
              <w:jc w:val="left"/>
              <w:rPr>
                <w:rFonts w:cs="Tahoma"/>
                <w:sz w:val="18"/>
                <w:szCs w:val="24"/>
              </w:rPr>
            </w:pPr>
            <w:r w:rsidRPr="00943FA1">
              <w:rPr>
                <w:rFonts w:cs="Tahoma"/>
                <w:sz w:val="18"/>
                <w:u w:val="single"/>
              </w:rPr>
              <w:t>Proaktive Sensibilisierung im Wohnumfeld</w:t>
            </w:r>
            <w:r w:rsidRPr="00943FA1">
              <w:rPr>
                <w:rFonts w:cs="Tahoma"/>
                <w:sz w:val="18"/>
              </w:rPr>
              <w:t>: Durchmischung und Förderung der Integration</w:t>
            </w:r>
          </w:p>
          <w:p w:rsidR="008149FB" w:rsidRDefault="008149FB" w:rsidP="005A2CD8">
            <w:pPr>
              <w:spacing w:line="240" w:lineRule="auto"/>
              <w:jc w:val="left"/>
              <w:rPr>
                <w:rFonts w:cs="Tahoma"/>
                <w:sz w:val="18"/>
              </w:rPr>
            </w:pPr>
            <w:r w:rsidRPr="00A71810">
              <w:rPr>
                <w:rFonts w:cs="Tahoma"/>
                <w:sz w:val="18"/>
              </w:rPr>
              <w:t>Das Zusammenleben vor Ort / die Integration in der Hausgemeinschaft regelt sich nicht von selber! Das braucht mehr als Regeln. Es ist ganz wichtig, einen Blick darauf zu haben. Da geht es in erster Linie nicht darum, ob bzw. wo Diskriminierung in klassischer Form vorliegt, statt</w:t>
            </w:r>
            <w:r>
              <w:rPr>
                <w:rFonts w:cs="Tahoma"/>
                <w:sz w:val="18"/>
              </w:rPr>
              <w:t xml:space="preserve"> </w:t>
            </w:r>
            <w:r w:rsidRPr="00A71810">
              <w:rPr>
                <w:rFonts w:cs="Tahoma"/>
                <w:sz w:val="18"/>
              </w:rPr>
              <w:t xml:space="preserve">dessen stellt sich die Frage, welche Integrationsprobleme </w:t>
            </w:r>
            <w:r>
              <w:rPr>
                <w:rFonts w:cs="Tahoma"/>
                <w:sz w:val="18"/>
              </w:rPr>
              <w:t xml:space="preserve">es </w:t>
            </w:r>
            <w:r w:rsidRPr="00A71810">
              <w:rPr>
                <w:rFonts w:cs="Tahoma"/>
                <w:sz w:val="18"/>
              </w:rPr>
              <w:t>gibt und welche Maßna</w:t>
            </w:r>
            <w:r w:rsidRPr="00A71810">
              <w:rPr>
                <w:rFonts w:cs="Tahoma"/>
                <w:sz w:val="18"/>
              </w:rPr>
              <w:t>h</w:t>
            </w:r>
            <w:r w:rsidRPr="00A71810">
              <w:rPr>
                <w:rFonts w:cs="Tahoma"/>
                <w:sz w:val="18"/>
              </w:rPr>
              <w:t>men gesetzt werden</w:t>
            </w:r>
            <w:r>
              <w:rPr>
                <w:rFonts w:cs="Tahoma"/>
                <w:sz w:val="18"/>
              </w:rPr>
              <w:t xml:space="preserve"> können</w:t>
            </w:r>
            <w:r w:rsidRPr="00A71810">
              <w:rPr>
                <w:rFonts w:cs="Tahoma"/>
                <w:sz w:val="18"/>
              </w:rPr>
              <w:t>, um Integration zu fördern, ohne diskriminierend zu handeln.</w:t>
            </w:r>
            <w:r>
              <w:rPr>
                <w:rFonts w:cs="Tahoma"/>
                <w:sz w:val="18"/>
              </w:rPr>
              <w:t xml:space="preserve"> </w:t>
            </w:r>
            <w:r w:rsidRPr="00A71810">
              <w:rPr>
                <w:rFonts w:cs="Tahoma"/>
                <w:sz w:val="18"/>
              </w:rPr>
              <w:t xml:space="preserve">Dafür gibt es jedoch </w:t>
            </w:r>
            <w:r w:rsidRPr="00943FA1">
              <w:rPr>
                <w:rFonts w:cs="Tahoma"/>
                <w:sz w:val="18"/>
              </w:rPr>
              <w:t>keine fixen Regeln oder Quoten</w:t>
            </w:r>
            <w:r>
              <w:rPr>
                <w:rFonts w:cs="Tahoma"/>
                <w:sz w:val="18"/>
              </w:rPr>
              <w:t>.</w:t>
            </w:r>
          </w:p>
          <w:p w:rsidR="008149FB" w:rsidRDefault="008149FB" w:rsidP="005A2CD8">
            <w:pPr>
              <w:spacing w:line="240" w:lineRule="auto"/>
              <w:jc w:val="left"/>
              <w:rPr>
                <w:rFonts w:cs="Tahoma"/>
                <w:sz w:val="18"/>
              </w:rPr>
            </w:pPr>
            <w:r w:rsidRPr="00033223">
              <w:rPr>
                <w:rFonts w:cs="Tahoma"/>
                <w:sz w:val="18"/>
                <w:u w:val="single"/>
              </w:rPr>
              <w:t>Projekt „Soziales Wohnen in der City“</w:t>
            </w:r>
            <w:r>
              <w:rPr>
                <w:rFonts w:cs="Tahoma"/>
                <w:sz w:val="18"/>
              </w:rPr>
              <w:t>: Das totalsanierte Wohnhaus im Zentrum von St. Pölten ist ein Musterprojekt und wurde mit Finanzierung aus der Wohnbauförderung so saniert, dass sich nun auch Sozialhilfe-/BMS-BezieherInnen die Miete leisten können. Bei der Realisierung einer sozialen Durchmischung wurden gezielt auch Menschen mit durchschnittlichem Hau</w:t>
            </w:r>
            <w:r>
              <w:rPr>
                <w:rFonts w:cs="Tahoma"/>
                <w:sz w:val="18"/>
              </w:rPr>
              <w:t>s</w:t>
            </w:r>
            <w:r>
              <w:rPr>
                <w:rFonts w:cs="Tahoma"/>
                <w:sz w:val="18"/>
              </w:rPr>
              <w:t>haltseinkommen daraufhin angesprochen, sich für schlechter gestellte MitbewohnerInnen einzusetzen und allfällige Konflikte eigenständig zu lösen. Die BewohnerInnen wurden auch in der Gestaltung des Wohnumfelds / der Innenhöfe mit einbezogen. Herausgekommen ist eine ‚sehr gute Durchmischung: altersmäßig, ethnisch und sozial‘.</w:t>
            </w:r>
          </w:p>
          <w:p w:rsidR="008149FB" w:rsidRPr="00943FA1" w:rsidRDefault="008149FB" w:rsidP="005A2CD8">
            <w:pPr>
              <w:spacing w:line="240" w:lineRule="auto"/>
              <w:jc w:val="left"/>
              <w:rPr>
                <w:rFonts w:cs="Tahoma"/>
                <w:sz w:val="18"/>
              </w:rPr>
            </w:pPr>
            <w:r w:rsidRPr="00FA6E85">
              <w:rPr>
                <w:rFonts w:cs="Tahoma"/>
                <w:sz w:val="18"/>
                <w:u w:val="single"/>
              </w:rPr>
              <w:t>NÖ Wohnassistenz</w:t>
            </w:r>
            <w:r>
              <w:rPr>
                <w:rFonts w:cs="Tahoma"/>
                <w:sz w:val="18"/>
              </w:rPr>
              <w:t>: Der Verein Wohnen sucht gemeinsam mit WohnungswerberInnen, die auf sich alleine gestellt keine Chance auf den Bezug einer geförderten Mietwohnung hätten, eine geeignete Wohnung und mietet diese an. Mit Genossenschaft und den betroffenen Bewohn</w:t>
            </w:r>
            <w:r>
              <w:rPr>
                <w:rFonts w:cs="Tahoma"/>
                <w:sz w:val="18"/>
              </w:rPr>
              <w:t>e</w:t>
            </w:r>
            <w:r>
              <w:rPr>
                <w:rFonts w:cs="Tahoma"/>
                <w:sz w:val="18"/>
              </w:rPr>
              <w:lastRenderedPageBreak/>
              <w:t>r</w:t>
            </w:r>
            <w:r w:rsidR="00BA0DD5">
              <w:rPr>
                <w:rFonts w:cs="Tahoma"/>
                <w:sz w:val="18"/>
              </w:rPr>
              <w:t>I</w:t>
            </w:r>
            <w:r>
              <w:rPr>
                <w:rFonts w:cs="Tahoma"/>
                <w:sz w:val="18"/>
              </w:rPr>
              <w:t>nnen wird in der Folge ein Benutzungsvertrag abgeschlossen und eine leistbare Finanzi</w:t>
            </w:r>
            <w:r>
              <w:rPr>
                <w:rFonts w:cs="Tahoma"/>
                <w:sz w:val="18"/>
              </w:rPr>
              <w:t>e</w:t>
            </w:r>
            <w:r>
              <w:rPr>
                <w:rFonts w:cs="Tahoma"/>
                <w:sz w:val="18"/>
              </w:rPr>
              <w:t>rungsregelung getroffen. Wenn nach ein bis drei Jahren alles gut eingespielt ist</w:t>
            </w:r>
            <w:r w:rsidR="005D2E03">
              <w:rPr>
                <w:rFonts w:cs="Tahoma"/>
                <w:sz w:val="18"/>
              </w:rPr>
              <w:t>,</w:t>
            </w:r>
            <w:r>
              <w:rPr>
                <w:rFonts w:cs="Tahoma"/>
                <w:sz w:val="18"/>
              </w:rPr>
              <w:t xml:space="preserve"> </w:t>
            </w:r>
            <w:r w:rsidR="005D2E03">
              <w:rPr>
                <w:rFonts w:cs="Tahoma"/>
                <w:sz w:val="18"/>
              </w:rPr>
              <w:t xml:space="preserve">die </w:t>
            </w:r>
            <w:r>
              <w:rPr>
                <w:rFonts w:cs="Tahoma"/>
                <w:sz w:val="18"/>
              </w:rPr>
              <w:t>Einko</w:t>
            </w:r>
            <w:r>
              <w:rPr>
                <w:rFonts w:cs="Tahoma"/>
                <w:sz w:val="18"/>
              </w:rPr>
              <w:t>m</w:t>
            </w:r>
            <w:r>
              <w:rPr>
                <w:rFonts w:cs="Tahoma"/>
                <w:sz w:val="18"/>
              </w:rPr>
              <w:t xml:space="preserve">menssituation stabil, </w:t>
            </w:r>
            <w:r w:rsidR="005D2E03">
              <w:rPr>
                <w:rFonts w:cs="Tahoma"/>
                <w:sz w:val="18"/>
              </w:rPr>
              <w:t xml:space="preserve">die </w:t>
            </w:r>
            <w:r>
              <w:rPr>
                <w:rFonts w:cs="Tahoma"/>
                <w:sz w:val="18"/>
              </w:rPr>
              <w:t xml:space="preserve">Miete etc. </w:t>
            </w:r>
            <w:r w:rsidR="005D2E03">
              <w:rPr>
                <w:rFonts w:cs="Tahoma"/>
                <w:sz w:val="18"/>
              </w:rPr>
              <w:t xml:space="preserve">regelmäßig </w:t>
            </w:r>
            <w:r>
              <w:rPr>
                <w:rFonts w:cs="Tahoma"/>
                <w:sz w:val="18"/>
              </w:rPr>
              <w:t xml:space="preserve">beglichen und keine größeren Konflikte mit der Nachbarschaft </w:t>
            </w:r>
            <w:r w:rsidR="005D2E03">
              <w:rPr>
                <w:rFonts w:cs="Tahoma"/>
                <w:sz w:val="18"/>
              </w:rPr>
              <w:t xml:space="preserve">aufgetreten sind </w:t>
            </w:r>
            <w:r>
              <w:rPr>
                <w:rFonts w:cs="Tahoma"/>
                <w:sz w:val="18"/>
              </w:rPr>
              <w:t>etc.</w:t>
            </w:r>
            <w:r w:rsidR="005D2E03">
              <w:rPr>
                <w:rFonts w:cs="Tahoma"/>
                <w:sz w:val="18"/>
              </w:rPr>
              <w:t>,</w:t>
            </w:r>
            <w:r>
              <w:rPr>
                <w:rFonts w:cs="Tahoma"/>
                <w:sz w:val="18"/>
              </w:rPr>
              <w:t xml:space="preserve"> wird der Mietvertrag überschrieben und der Verein macht sich auf die Suche nach einer neuen Wohnung. Die Wohnassistenz ist ein praktisches Beispiel dafür, wie in Kooperation mit gemeinnützigen Bauträgern die Zugangsschwelle für Armutshaushalte nachhaltig abgebaut werden kann.</w:t>
            </w:r>
          </w:p>
          <w:p w:rsidR="008149FB" w:rsidRPr="00980A88" w:rsidRDefault="008149FB" w:rsidP="00044AF0">
            <w:pPr>
              <w:spacing w:beforeLines="40" w:afterLines="40" w:line="240" w:lineRule="auto"/>
              <w:jc w:val="left"/>
              <w:rPr>
                <w:rFonts w:cs="Tahoma"/>
                <w:sz w:val="18"/>
              </w:rPr>
            </w:pPr>
            <w:r w:rsidRPr="00943FA1">
              <w:rPr>
                <w:sz w:val="18"/>
                <w:szCs w:val="18"/>
                <w:u w:val="single"/>
              </w:rPr>
              <w:t>Good Practice – Online-Wohnrechner</w:t>
            </w:r>
            <w:r>
              <w:rPr>
                <w:sz w:val="18"/>
                <w:szCs w:val="18"/>
              </w:rPr>
              <w:t xml:space="preserve">: </w:t>
            </w:r>
            <w:r w:rsidRPr="0016658F">
              <w:rPr>
                <w:rFonts w:cs="Tahoma"/>
                <w:sz w:val="18"/>
              </w:rPr>
              <w:t xml:space="preserve">Von </w:t>
            </w:r>
            <w:r>
              <w:rPr>
                <w:rFonts w:cs="Tahoma"/>
                <w:sz w:val="18"/>
              </w:rPr>
              <w:t>ein</w:t>
            </w:r>
            <w:r w:rsidRPr="0016658F">
              <w:rPr>
                <w:rFonts w:cs="Tahoma"/>
                <w:sz w:val="18"/>
              </w:rPr>
              <w:t xml:space="preserve">er Wohnbaugenossenschaft wurde aktuell ein Wohnrechner entwickelt und online gestellt. Damit können die WohnungswerberInnen selbst berechnen, was einzelne Wohnungen kosten bzw. ob sie sich diese leisten können: </w:t>
            </w:r>
            <w:hyperlink r:id="rId14" w:history="1">
              <w:r w:rsidRPr="00FE5316">
                <w:rPr>
                  <w:rStyle w:val="Hyperlink"/>
                  <w:rFonts w:eastAsia="Calibri" w:cs="Tahoma"/>
                  <w:sz w:val="18"/>
                </w:rPr>
                <w:t>www.alpenland.ag</w:t>
              </w:r>
              <w:r w:rsidRPr="00FE5316">
                <w:rPr>
                  <w:rStyle w:val="Hyperlink"/>
                  <w:rFonts w:eastAsia="Calibri"/>
                </w:rPr>
                <w:t>/</w:t>
              </w:r>
              <w:r w:rsidRPr="00FE5316">
                <w:rPr>
                  <w:rStyle w:val="Hyperlink"/>
                  <w:rFonts w:eastAsia="Calibri" w:cs="Tahoma"/>
                  <w:sz w:val="18"/>
                </w:rPr>
                <w:t>Wohnassistent</w:t>
              </w:r>
            </w:hyperlink>
            <w:r w:rsidRPr="0016658F">
              <w:rPr>
                <w:rFonts w:cs="Tahoma"/>
                <w:sz w:val="18"/>
              </w:rPr>
              <w:t>.</w:t>
            </w:r>
          </w:p>
        </w:tc>
      </w:tr>
      <w:tr w:rsidR="008149FB" w:rsidRPr="00DA5171" w:rsidTr="005A2CD8">
        <w:tc>
          <w:tcPr>
            <w:tcW w:w="1601" w:type="dxa"/>
          </w:tcPr>
          <w:p w:rsidR="008149FB" w:rsidRPr="00F14F85" w:rsidRDefault="008149FB" w:rsidP="00044AF0">
            <w:pPr>
              <w:spacing w:beforeLines="40" w:afterLines="40" w:line="240" w:lineRule="auto"/>
              <w:rPr>
                <w:smallCaps/>
                <w:sz w:val="20"/>
              </w:rPr>
            </w:pPr>
            <w:r w:rsidRPr="00F14F85">
              <w:rPr>
                <w:smallCaps/>
                <w:sz w:val="20"/>
              </w:rPr>
              <w:lastRenderedPageBreak/>
              <w:t>Kooperation mit externen NGO‘s</w:t>
            </w:r>
          </w:p>
        </w:tc>
        <w:tc>
          <w:tcPr>
            <w:tcW w:w="7687" w:type="dxa"/>
          </w:tcPr>
          <w:p w:rsidR="00587957" w:rsidRDefault="008149FB" w:rsidP="00044AF0">
            <w:pPr>
              <w:spacing w:beforeLines="40" w:afterLines="40" w:line="240" w:lineRule="auto"/>
              <w:jc w:val="left"/>
              <w:rPr>
                <w:rFonts w:cs="Tahoma"/>
                <w:sz w:val="18"/>
                <w:szCs w:val="24"/>
              </w:rPr>
            </w:pPr>
            <w:r w:rsidRPr="00980A88">
              <w:rPr>
                <w:rFonts w:cs="Tahoma"/>
                <w:sz w:val="18"/>
              </w:rPr>
              <w:t>Für die Abdeckung von sozialen Bedürfnissen im Wohnbereich wird in der Regel mit externen Trägern, z.B. dem Verein Wohnen, zusammengearbeitet.</w:t>
            </w:r>
          </w:p>
          <w:p w:rsidR="008149FB" w:rsidRPr="00980A88" w:rsidRDefault="008149FB" w:rsidP="005A2CD8">
            <w:pPr>
              <w:spacing w:line="240" w:lineRule="auto"/>
              <w:jc w:val="left"/>
              <w:rPr>
                <w:rFonts w:cs="Tahoma"/>
                <w:b/>
                <w:sz w:val="20"/>
              </w:rPr>
            </w:pPr>
            <w:r w:rsidRPr="00D56877">
              <w:rPr>
                <w:rFonts w:cs="Tahoma"/>
                <w:sz w:val="18"/>
                <w:u w:val="single"/>
              </w:rPr>
              <w:t>Aktion bei Mietschulden und Mahnwesen</w:t>
            </w:r>
            <w:r>
              <w:rPr>
                <w:rFonts w:cs="Tahoma"/>
                <w:b/>
                <w:sz w:val="18"/>
              </w:rPr>
              <w:t xml:space="preserve">: </w:t>
            </w:r>
            <w:r w:rsidRPr="00980A88">
              <w:rPr>
                <w:rFonts w:cs="Tahoma"/>
                <w:sz w:val="18"/>
              </w:rPr>
              <w:t>Wenn Mietschulden vorliegen, erhalten die Miet</w:t>
            </w:r>
            <w:r w:rsidRPr="00980A88">
              <w:rPr>
                <w:rFonts w:cs="Tahoma"/>
                <w:sz w:val="18"/>
              </w:rPr>
              <w:t>e</w:t>
            </w:r>
            <w:r w:rsidRPr="00980A88">
              <w:rPr>
                <w:rFonts w:cs="Tahoma"/>
                <w:sz w:val="18"/>
              </w:rPr>
              <w:t>rInnen bei der 2. Mahnung eine schriftliche Empfehlung, sich an den Verein Wohnen zu we</w:t>
            </w:r>
            <w:r w:rsidRPr="00980A88">
              <w:rPr>
                <w:rFonts w:cs="Tahoma"/>
                <w:sz w:val="18"/>
              </w:rPr>
              <w:t>n</w:t>
            </w:r>
            <w:r w:rsidRPr="00980A88">
              <w:rPr>
                <w:rFonts w:cs="Tahoma"/>
                <w:sz w:val="18"/>
              </w:rPr>
              <w:t>den, damit eine Schuldnerberatung gemacht werden kann.</w:t>
            </w:r>
          </w:p>
        </w:tc>
      </w:tr>
      <w:tr w:rsidR="008149FB" w:rsidRPr="00DA5171" w:rsidTr="005A2CD8">
        <w:tc>
          <w:tcPr>
            <w:tcW w:w="1601" w:type="dxa"/>
          </w:tcPr>
          <w:p w:rsidR="008149FB" w:rsidRPr="00F14F85" w:rsidRDefault="00C65096" w:rsidP="00044AF0">
            <w:pPr>
              <w:spacing w:beforeLines="40" w:afterLines="40" w:line="240" w:lineRule="auto"/>
              <w:rPr>
                <w:smallCaps/>
                <w:sz w:val="20"/>
              </w:rPr>
            </w:pPr>
            <w:r>
              <w:rPr>
                <w:smallCaps/>
                <w:sz w:val="20"/>
              </w:rPr>
              <w:t>Trends und</w:t>
            </w:r>
            <w:r w:rsidR="008149FB" w:rsidRPr="00F14F85">
              <w:rPr>
                <w:smallCaps/>
                <w:sz w:val="20"/>
              </w:rPr>
              <w:t xml:space="preserve"> </w:t>
            </w:r>
            <w:r>
              <w:rPr>
                <w:smallCaps/>
                <w:sz w:val="20"/>
              </w:rPr>
              <w:br/>
            </w:r>
            <w:r w:rsidR="008149FB" w:rsidRPr="00F14F85">
              <w:rPr>
                <w:smallCaps/>
                <w:sz w:val="20"/>
              </w:rPr>
              <w:t>Vorhaben</w:t>
            </w:r>
          </w:p>
        </w:tc>
        <w:tc>
          <w:tcPr>
            <w:tcW w:w="7687" w:type="dxa"/>
          </w:tcPr>
          <w:p w:rsidR="00587957" w:rsidRDefault="00283C63" w:rsidP="00044AF0">
            <w:pPr>
              <w:spacing w:beforeLines="40" w:afterLines="40" w:line="240" w:lineRule="auto"/>
              <w:jc w:val="left"/>
              <w:rPr>
                <w:rFonts w:cs="Tahoma"/>
                <w:sz w:val="18"/>
                <w:szCs w:val="24"/>
              </w:rPr>
            </w:pPr>
            <w:r>
              <w:rPr>
                <w:rFonts w:cs="Tahoma"/>
                <w:sz w:val="18"/>
              </w:rPr>
              <w:t xml:space="preserve">Gemeinnütziger Wohnbauträger: </w:t>
            </w:r>
            <w:r w:rsidR="008149FB" w:rsidRPr="0016658F">
              <w:rPr>
                <w:rFonts w:cs="Tahoma"/>
                <w:sz w:val="18"/>
              </w:rPr>
              <w:t>Gemeinnützige Bauträger stehen für Gleichbehandlung. Ihre Haltung zu den WohnungswerberInnen und MieterInnen ist durch die genossenschaftliche Tradition geprägt – alle MieterInnen sind Mitglied der Genossenschaft und werden grundsät</w:t>
            </w:r>
            <w:r w:rsidR="008149FB" w:rsidRPr="0016658F">
              <w:rPr>
                <w:rFonts w:cs="Tahoma"/>
                <w:sz w:val="18"/>
              </w:rPr>
              <w:t>z</w:t>
            </w:r>
            <w:r w:rsidR="008149FB" w:rsidRPr="0016658F">
              <w:rPr>
                <w:rFonts w:cs="Tahoma"/>
                <w:sz w:val="18"/>
              </w:rPr>
              <w:t>lich gleichbehandelt.</w:t>
            </w:r>
          </w:p>
          <w:p w:rsidR="001E30B4" w:rsidRDefault="008149FB" w:rsidP="00044AF0">
            <w:pPr>
              <w:spacing w:beforeLines="40" w:afterLines="40" w:line="240" w:lineRule="auto"/>
              <w:jc w:val="left"/>
              <w:rPr>
                <w:szCs w:val="24"/>
              </w:rPr>
            </w:pPr>
            <w:r>
              <w:rPr>
                <w:rFonts w:cs="Tahoma"/>
                <w:sz w:val="18"/>
              </w:rPr>
              <w:t>Seit etwa fünf Jahren werden überwiegend geförderte Mietwohnungen errichtet, weil die Nachfrage nach geförderten Eigentumswohnungen deutlich nachgelassen hat.</w:t>
            </w:r>
          </w:p>
        </w:tc>
      </w:tr>
    </w:tbl>
    <w:p w:rsidR="008149FB" w:rsidRDefault="008149FB" w:rsidP="007A252D">
      <w:pPr>
        <w:rPr>
          <w:b/>
          <w:u w:val="single"/>
          <w:lang w:eastAsia="en-US"/>
        </w:rPr>
      </w:pPr>
    </w:p>
    <w:p w:rsidR="007A252D" w:rsidRPr="000A3595" w:rsidRDefault="007A252D" w:rsidP="007A252D">
      <w:pPr>
        <w:rPr>
          <w:b/>
          <w:u w:val="single"/>
          <w:lang w:eastAsia="en-US"/>
        </w:rPr>
      </w:pPr>
      <w:r w:rsidRPr="000A3595">
        <w:rPr>
          <w:b/>
          <w:u w:val="single"/>
          <w:lang w:eastAsia="en-US"/>
        </w:rPr>
        <w:t>Fallbeispiel Tirol</w:t>
      </w:r>
    </w:p>
    <w:tbl>
      <w:tblPr>
        <w:tblStyle w:val="Tabellengitternetz"/>
        <w:tblW w:w="0" w:type="auto"/>
        <w:tblLook w:val="04A0"/>
      </w:tblPr>
      <w:tblGrid>
        <w:gridCol w:w="1668"/>
        <w:gridCol w:w="7620"/>
      </w:tblGrid>
      <w:tr w:rsidR="007A252D" w:rsidRPr="00DA5171" w:rsidTr="000A3595">
        <w:tc>
          <w:tcPr>
            <w:tcW w:w="1668" w:type="dxa"/>
          </w:tcPr>
          <w:p w:rsidR="007A252D" w:rsidRPr="00F14F85" w:rsidRDefault="007A252D" w:rsidP="00044AF0">
            <w:pPr>
              <w:spacing w:beforeLines="40" w:afterLines="40" w:line="240" w:lineRule="auto"/>
              <w:rPr>
                <w:smallCaps/>
                <w:sz w:val="20"/>
              </w:rPr>
            </w:pPr>
            <w:r w:rsidRPr="00F14F85">
              <w:rPr>
                <w:smallCaps/>
                <w:sz w:val="20"/>
              </w:rPr>
              <w:t>Zugang zu g</w:t>
            </w:r>
            <w:r w:rsidRPr="00F14F85">
              <w:rPr>
                <w:smallCaps/>
                <w:sz w:val="20"/>
              </w:rPr>
              <w:t>e</w:t>
            </w:r>
            <w:r w:rsidRPr="00F14F85">
              <w:rPr>
                <w:smallCaps/>
                <w:sz w:val="20"/>
              </w:rPr>
              <w:t>förderten Mietwohnungen</w:t>
            </w:r>
          </w:p>
        </w:tc>
        <w:tc>
          <w:tcPr>
            <w:tcW w:w="7620" w:type="dxa"/>
          </w:tcPr>
          <w:p w:rsidR="00153C28" w:rsidRDefault="000A3595" w:rsidP="00AF430D">
            <w:pPr>
              <w:spacing w:before="40" w:after="40" w:line="240" w:lineRule="auto"/>
              <w:jc w:val="left"/>
              <w:rPr>
                <w:sz w:val="18"/>
                <w:szCs w:val="24"/>
              </w:rPr>
            </w:pPr>
            <w:r>
              <w:rPr>
                <w:sz w:val="18"/>
              </w:rPr>
              <w:t>Zugang zu geförderten Mietwohnungen h</w:t>
            </w:r>
            <w:r w:rsidR="007A252D" w:rsidRPr="00357E41">
              <w:rPr>
                <w:sz w:val="18"/>
              </w:rPr>
              <w:t xml:space="preserve">aben </w:t>
            </w:r>
            <w:r w:rsidR="007A252D">
              <w:rPr>
                <w:sz w:val="18"/>
              </w:rPr>
              <w:t>gemäß Wohnbauförderungsgesetz</w:t>
            </w:r>
            <w:r>
              <w:rPr>
                <w:sz w:val="18"/>
              </w:rPr>
              <w:t xml:space="preserve"> </w:t>
            </w:r>
            <w:r w:rsidR="007A252D">
              <w:rPr>
                <w:sz w:val="18"/>
              </w:rPr>
              <w:t>Österre</w:t>
            </w:r>
            <w:r w:rsidR="007A252D">
              <w:rPr>
                <w:sz w:val="18"/>
              </w:rPr>
              <w:t>i</w:t>
            </w:r>
            <w:r w:rsidR="007A252D">
              <w:rPr>
                <w:sz w:val="18"/>
              </w:rPr>
              <w:t>cherInnen, Gleichgestellte sowie Drittstaatsangehörige mit unbefristeter Aufenthaltsbewill</w:t>
            </w:r>
            <w:r w:rsidR="007A252D">
              <w:rPr>
                <w:sz w:val="18"/>
              </w:rPr>
              <w:t>i</w:t>
            </w:r>
            <w:r w:rsidR="007A252D">
              <w:rPr>
                <w:sz w:val="18"/>
              </w:rPr>
              <w:t>gung</w:t>
            </w:r>
          </w:p>
          <w:p w:rsidR="00153C28" w:rsidRDefault="007A252D" w:rsidP="00AF430D">
            <w:pPr>
              <w:spacing w:before="40" w:after="40" w:line="240" w:lineRule="auto"/>
              <w:jc w:val="left"/>
              <w:rPr>
                <w:sz w:val="18"/>
              </w:rPr>
            </w:pPr>
            <w:r>
              <w:rPr>
                <w:sz w:val="18"/>
              </w:rPr>
              <w:t>Dieser Grundsatz gilt grundsätzlich auch für die Gewährung einer Mietzinsbeihilfe für B</w:t>
            </w:r>
            <w:r>
              <w:rPr>
                <w:sz w:val="18"/>
              </w:rPr>
              <w:t>e</w:t>
            </w:r>
            <w:r>
              <w:rPr>
                <w:sz w:val="18"/>
              </w:rPr>
              <w:t>wohnerInnen in Wohnungen des privaten Wohnungsmarktes; diese Förderung ist jedoch abhängig von den Gemeinden</w:t>
            </w:r>
            <w:r w:rsidR="000A3595">
              <w:rPr>
                <w:sz w:val="18"/>
              </w:rPr>
              <w:t xml:space="preserve"> und</w:t>
            </w:r>
            <w:r>
              <w:rPr>
                <w:sz w:val="18"/>
              </w:rPr>
              <w:t xml:space="preserve"> nach Auskunft von Beratungseinrichtungen noch nicht durchgängig umgesetzt</w:t>
            </w:r>
            <w:r w:rsidR="00AF430D">
              <w:rPr>
                <w:sz w:val="18"/>
              </w:rPr>
              <w:t>.</w:t>
            </w:r>
            <w:r w:rsidR="00D56877">
              <w:rPr>
                <w:sz w:val="18"/>
              </w:rPr>
              <w:t xml:space="preserve"> </w:t>
            </w:r>
          </w:p>
          <w:p w:rsidR="00D56877" w:rsidRDefault="00D56877" w:rsidP="00AF430D">
            <w:pPr>
              <w:spacing w:before="40" w:after="40" w:line="240" w:lineRule="auto"/>
              <w:jc w:val="left"/>
              <w:rPr>
                <w:szCs w:val="24"/>
              </w:rPr>
            </w:pPr>
            <w:r>
              <w:rPr>
                <w:sz w:val="18"/>
              </w:rPr>
              <w:t>TeilnehmerInnen an der Gesprächsrunde mit ExpertInnen kritisieren „Wirr-Warr“ an unte</w:t>
            </w:r>
            <w:r>
              <w:rPr>
                <w:sz w:val="18"/>
              </w:rPr>
              <w:t>r</w:t>
            </w:r>
            <w:r>
              <w:rPr>
                <w:sz w:val="18"/>
              </w:rPr>
              <w:t>schiedlichen Konditionen und Voraussetzungen</w:t>
            </w:r>
          </w:p>
        </w:tc>
      </w:tr>
      <w:tr w:rsidR="007A252D" w:rsidRPr="00DA5171" w:rsidTr="000A3595">
        <w:tc>
          <w:tcPr>
            <w:tcW w:w="1668" w:type="dxa"/>
          </w:tcPr>
          <w:p w:rsidR="007A252D" w:rsidRPr="00F14F85" w:rsidRDefault="007A252D" w:rsidP="00044AF0">
            <w:pPr>
              <w:spacing w:beforeLines="40" w:afterLines="40" w:line="240" w:lineRule="auto"/>
              <w:rPr>
                <w:smallCaps/>
                <w:sz w:val="20"/>
              </w:rPr>
            </w:pPr>
            <w:r w:rsidRPr="00F14F85">
              <w:rPr>
                <w:smallCaps/>
                <w:sz w:val="20"/>
              </w:rPr>
              <w:t>Vergabe</w:t>
            </w:r>
          </w:p>
        </w:tc>
        <w:tc>
          <w:tcPr>
            <w:tcW w:w="7620" w:type="dxa"/>
          </w:tcPr>
          <w:p w:rsidR="007A252D" w:rsidRDefault="007A252D" w:rsidP="00AF430D">
            <w:pPr>
              <w:spacing w:before="40" w:after="40" w:line="240" w:lineRule="auto"/>
              <w:jc w:val="left"/>
              <w:rPr>
                <w:sz w:val="18"/>
              </w:rPr>
            </w:pPr>
            <w:r w:rsidRPr="002762D0">
              <w:rPr>
                <w:sz w:val="18"/>
              </w:rPr>
              <w:t>Konkret erfolgt die Vergabe nach einem Punktesystem (Haushaltszusammensetzung, Ei</w:t>
            </w:r>
            <w:r w:rsidRPr="002762D0">
              <w:rPr>
                <w:sz w:val="18"/>
              </w:rPr>
              <w:t>n</w:t>
            </w:r>
            <w:r w:rsidRPr="002762D0">
              <w:rPr>
                <w:sz w:val="18"/>
              </w:rPr>
              <w:t>kommen, Dauer der Wartezeit auf die Wohnungsvergabe)</w:t>
            </w:r>
            <w:r w:rsidR="000A3595" w:rsidRPr="00C86195">
              <w:rPr>
                <w:sz w:val="18"/>
              </w:rPr>
              <w:t xml:space="preserve"> </w:t>
            </w:r>
            <w:r w:rsidR="000A3595">
              <w:rPr>
                <w:sz w:val="18"/>
              </w:rPr>
              <w:t xml:space="preserve">gemäß </w:t>
            </w:r>
            <w:r w:rsidR="000A3595" w:rsidRPr="00C86195">
              <w:rPr>
                <w:sz w:val="18"/>
              </w:rPr>
              <w:t>den gesetzlichen Vorgaben zur Gleichbehandlung</w:t>
            </w:r>
            <w:r w:rsidR="000A3595">
              <w:rPr>
                <w:sz w:val="18"/>
              </w:rPr>
              <w:t xml:space="preserve">; die </w:t>
            </w:r>
            <w:r w:rsidRPr="002762D0">
              <w:rPr>
                <w:sz w:val="18"/>
              </w:rPr>
              <w:t>Wartelisten werden diversifiziert geführt – je nach Wohnungsb</w:t>
            </w:r>
            <w:r w:rsidRPr="002762D0">
              <w:rPr>
                <w:sz w:val="18"/>
              </w:rPr>
              <w:t>e</w:t>
            </w:r>
            <w:r w:rsidRPr="002762D0">
              <w:rPr>
                <w:sz w:val="18"/>
              </w:rPr>
              <w:t>darf / -größe</w:t>
            </w:r>
            <w:r w:rsidR="00AF430D">
              <w:rPr>
                <w:sz w:val="18"/>
              </w:rPr>
              <w:t>.</w:t>
            </w:r>
          </w:p>
          <w:p w:rsidR="007A252D" w:rsidRPr="00980A88" w:rsidRDefault="007A252D" w:rsidP="00AF430D">
            <w:pPr>
              <w:spacing w:before="40" w:after="40" w:line="240" w:lineRule="auto"/>
              <w:jc w:val="left"/>
            </w:pPr>
            <w:r w:rsidRPr="002762D0">
              <w:rPr>
                <w:sz w:val="18"/>
              </w:rPr>
              <w:t>Bei der Einstufung werden soziale Kriterien der Dringlichkeit (z.B. Alleinerziehende mit mi</w:t>
            </w:r>
            <w:r w:rsidRPr="002762D0">
              <w:rPr>
                <w:sz w:val="18"/>
              </w:rPr>
              <w:t>n</w:t>
            </w:r>
            <w:r w:rsidRPr="002762D0">
              <w:rPr>
                <w:sz w:val="18"/>
              </w:rPr>
              <w:t xml:space="preserve">derjährigen Kindern, Kinderbetreuung oder Pflege von Angehörigen etc.) berücksichtigt; deshalb kann es im Verlauf der Anwartschaft auch zu Rückstufungen </w:t>
            </w:r>
            <w:r w:rsidR="000A3595">
              <w:rPr>
                <w:sz w:val="18"/>
              </w:rPr>
              <w:t>aufgrund von Neua</w:t>
            </w:r>
            <w:r w:rsidR="000A3595">
              <w:rPr>
                <w:sz w:val="18"/>
              </w:rPr>
              <w:t>n</w:t>
            </w:r>
            <w:r w:rsidR="000A3595">
              <w:rPr>
                <w:sz w:val="18"/>
              </w:rPr>
              <w:t xml:space="preserve">trägen mit einer höheren Punktezahl </w:t>
            </w:r>
            <w:r w:rsidRPr="002762D0">
              <w:rPr>
                <w:sz w:val="18"/>
              </w:rPr>
              <w:t>kommen</w:t>
            </w:r>
            <w:r w:rsidR="00AF430D">
              <w:rPr>
                <w:sz w:val="18"/>
              </w:rPr>
              <w:t>.</w:t>
            </w:r>
          </w:p>
        </w:tc>
      </w:tr>
      <w:tr w:rsidR="00C65096" w:rsidRPr="00DA5171" w:rsidTr="000A3595">
        <w:tc>
          <w:tcPr>
            <w:tcW w:w="1668" w:type="dxa"/>
          </w:tcPr>
          <w:p w:rsidR="00C65096" w:rsidRPr="00F14F85" w:rsidRDefault="00C65096" w:rsidP="00044AF0">
            <w:pPr>
              <w:spacing w:beforeLines="40" w:afterLines="40" w:line="240" w:lineRule="auto"/>
              <w:rPr>
                <w:smallCaps/>
                <w:sz w:val="20"/>
              </w:rPr>
            </w:pPr>
            <w:r>
              <w:rPr>
                <w:smallCaps/>
                <w:sz w:val="20"/>
              </w:rPr>
              <w:t>Zugang zu g</w:t>
            </w:r>
            <w:r>
              <w:rPr>
                <w:smallCaps/>
                <w:sz w:val="20"/>
              </w:rPr>
              <w:t>e</w:t>
            </w:r>
            <w:r>
              <w:rPr>
                <w:smallCaps/>
                <w:sz w:val="20"/>
              </w:rPr>
              <w:t>fördertem Wohneigentum</w:t>
            </w:r>
          </w:p>
        </w:tc>
        <w:tc>
          <w:tcPr>
            <w:tcW w:w="7620" w:type="dxa"/>
          </w:tcPr>
          <w:p w:rsidR="00C65096" w:rsidRDefault="00C65096" w:rsidP="00C65096">
            <w:pPr>
              <w:spacing w:before="40" w:after="40" w:line="240" w:lineRule="auto"/>
              <w:jc w:val="left"/>
              <w:rPr>
                <w:sz w:val="18"/>
              </w:rPr>
            </w:pPr>
            <w:r>
              <w:rPr>
                <w:sz w:val="18"/>
              </w:rPr>
              <w:t>Zugang haben InländerInnen und gleichgestellte Personen. Drittstaatsangehörige sind von der Eigentumsförderung ausgeschlossen.</w:t>
            </w:r>
          </w:p>
          <w:p w:rsidR="00C65096" w:rsidRPr="002762D0" w:rsidRDefault="00C65096" w:rsidP="00C65096">
            <w:pPr>
              <w:spacing w:before="40" w:after="40" w:line="240" w:lineRule="auto"/>
              <w:jc w:val="left"/>
              <w:rPr>
                <w:sz w:val="18"/>
              </w:rPr>
            </w:pPr>
            <w:r w:rsidRPr="00C65096">
              <w:rPr>
                <w:sz w:val="18"/>
                <w:u w:val="single"/>
              </w:rPr>
              <w:t>Wohnbauförderung</w:t>
            </w:r>
            <w:r>
              <w:rPr>
                <w:sz w:val="18"/>
              </w:rPr>
              <w:t>: „Das ist rein vom Umfang her gesehen eher zu vernachlässigen“.</w:t>
            </w:r>
          </w:p>
        </w:tc>
      </w:tr>
      <w:tr w:rsidR="007A252D" w:rsidRPr="00DA5171" w:rsidTr="000A3595">
        <w:tc>
          <w:tcPr>
            <w:tcW w:w="1668" w:type="dxa"/>
          </w:tcPr>
          <w:p w:rsidR="007A252D" w:rsidRPr="00F14F85" w:rsidRDefault="007A252D" w:rsidP="00044AF0">
            <w:pPr>
              <w:spacing w:beforeLines="40" w:afterLines="40" w:line="240" w:lineRule="auto"/>
              <w:rPr>
                <w:smallCaps/>
                <w:sz w:val="20"/>
              </w:rPr>
            </w:pPr>
            <w:r w:rsidRPr="00F14F85">
              <w:rPr>
                <w:smallCaps/>
                <w:sz w:val="20"/>
              </w:rPr>
              <w:t>Spielraum</w:t>
            </w:r>
          </w:p>
        </w:tc>
        <w:tc>
          <w:tcPr>
            <w:tcW w:w="7620" w:type="dxa"/>
          </w:tcPr>
          <w:p w:rsidR="00153C28" w:rsidRDefault="007A252D" w:rsidP="00AF430D">
            <w:pPr>
              <w:spacing w:before="40" w:after="40" w:line="240" w:lineRule="auto"/>
              <w:jc w:val="left"/>
              <w:rPr>
                <w:szCs w:val="24"/>
              </w:rPr>
            </w:pPr>
            <w:r>
              <w:rPr>
                <w:sz w:val="18"/>
              </w:rPr>
              <w:t xml:space="preserve">Nach Möglichkeit wird </w:t>
            </w:r>
            <w:r w:rsidRPr="00C86195">
              <w:rPr>
                <w:sz w:val="18"/>
              </w:rPr>
              <w:t xml:space="preserve">bei </w:t>
            </w:r>
            <w:r>
              <w:rPr>
                <w:sz w:val="18"/>
              </w:rPr>
              <w:t xml:space="preserve">den Vergabeentscheidungen </w:t>
            </w:r>
            <w:r w:rsidRPr="00C86195">
              <w:rPr>
                <w:sz w:val="18"/>
              </w:rPr>
              <w:t>auf individuelle Wünsche, z.B. nach bevorzugtem Stadtteil, Lage der Wohnung etc., eingegangen</w:t>
            </w:r>
            <w:r w:rsidR="00AF430D">
              <w:rPr>
                <w:sz w:val="18"/>
              </w:rPr>
              <w:t>.</w:t>
            </w:r>
          </w:p>
        </w:tc>
      </w:tr>
      <w:tr w:rsidR="007A252D" w:rsidRPr="00DA5171" w:rsidTr="000A3595">
        <w:tc>
          <w:tcPr>
            <w:tcW w:w="1668" w:type="dxa"/>
          </w:tcPr>
          <w:p w:rsidR="007A252D" w:rsidRPr="00F14F85" w:rsidRDefault="007A252D" w:rsidP="00044AF0">
            <w:pPr>
              <w:spacing w:beforeLines="40" w:afterLines="40" w:line="240" w:lineRule="auto"/>
              <w:rPr>
                <w:smallCaps/>
                <w:sz w:val="20"/>
              </w:rPr>
            </w:pPr>
            <w:r w:rsidRPr="00F14F85">
              <w:rPr>
                <w:smallCaps/>
                <w:sz w:val="20"/>
              </w:rPr>
              <w:t>Mitwirkung</w:t>
            </w:r>
          </w:p>
        </w:tc>
        <w:tc>
          <w:tcPr>
            <w:tcW w:w="7620" w:type="dxa"/>
          </w:tcPr>
          <w:p w:rsidR="007A252D" w:rsidRPr="002762D0" w:rsidRDefault="00A42F05" w:rsidP="00AF430D">
            <w:pPr>
              <w:spacing w:before="40" w:after="40" w:line="240" w:lineRule="auto"/>
              <w:jc w:val="left"/>
              <w:rPr>
                <w:sz w:val="18"/>
              </w:rPr>
            </w:pPr>
            <w:r w:rsidRPr="00A42F05">
              <w:rPr>
                <w:sz w:val="18"/>
                <w:u w:val="single"/>
              </w:rPr>
              <w:t>Wohnungsvergabe</w:t>
            </w:r>
            <w:r>
              <w:rPr>
                <w:sz w:val="18"/>
              </w:rPr>
              <w:t xml:space="preserve">: </w:t>
            </w:r>
            <w:r w:rsidR="007A252D" w:rsidRPr="002762D0">
              <w:rPr>
                <w:sz w:val="18"/>
              </w:rPr>
              <w:t>In der Vergabepraxis wird danach getrachtet, viel Transparenz zu g</w:t>
            </w:r>
            <w:r w:rsidR="007A252D" w:rsidRPr="002762D0">
              <w:rPr>
                <w:sz w:val="18"/>
              </w:rPr>
              <w:t>e</w:t>
            </w:r>
            <w:r w:rsidR="007A252D" w:rsidRPr="002762D0">
              <w:rPr>
                <w:sz w:val="18"/>
              </w:rPr>
              <w:t xml:space="preserve">währleisten – das ist </w:t>
            </w:r>
            <w:r w:rsidR="00AF430D">
              <w:rPr>
                <w:sz w:val="18"/>
              </w:rPr>
              <w:t>die</w:t>
            </w:r>
            <w:r w:rsidR="007A252D" w:rsidRPr="002762D0">
              <w:rPr>
                <w:sz w:val="18"/>
              </w:rPr>
              <w:t xml:space="preserve"> Grundlage für die angestrebte Partizipation der Wohnungssuche</w:t>
            </w:r>
            <w:r w:rsidR="007A252D" w:rsidRPr="002762D0">
              <w:rPr>
                <w:sz w:val="18"/>
              </w:rPr>
              <w:t>n</w:t>
            </w:r>
            <w:r w:rsidR="007A252D" w:rsidRPr="002762D0">
              <w:rPr>
                <w:sz w:val="18"/>
              </w:rPr>
              <w:t>den</w:t>
            </w:r>
          </w:p>
          <w:p w:rsidR="007A252D" w:rsidRPr="002762D0" w:rsidRDefault="007A252D" w:rsidP="00AF430D">
            <w:pPr>
              <w:pStyle w:val="Listenabsatz"/>
              <w:numPr>
                <w:ilvl w:val="0"/>
                <w:numId w:val="9"/>
              </w:numPr>
              <w:spacing w:before="40" w:after="40" w:line="240" w:lineRule="auto"/>
              <w:jc w:val="left"/>
              <w:rPr>
                <w:sz w:val="18"/>
              </w:rPr>
            </w:pPr>
            <w:r w:rsidRPr="002762D0">
              <w:rPr>
                <w:sz w:val="18"/>
              </w:rPr>
              <w:t>Beteiligung fördert Zufriedenheit und verbessert die Integrationschancen</w:t>
            </w:r>
          </w:p>
          <w:p w:rsidR="007A252D" w:rsidRPr="002762D0" w:rsidRDefault="007A252D" w:rsidP="00AF430D">
            <w:pPr>
              <w:pStyle w:val="Listenabsatz"/>
              <w:numPr>
                <w:ilvl w:val="0"/>
                <w:numId w:val="9"/>
              </w:numPr>
              <w:spacing w:before="40" w:after="40" w:line="240" w:lineRule="auto"/>
              <w:jc w:val="left"/>
            </w:pPr>
            <w:r w:rsidRPr="002762D0">
              <w:rPr>
                <w:sz w:val="18"/>
              </w:rPr>
              <w:t xml:space="preserve">Individuelle Wünsche </w:t>
            </w:r>
            <w:r w:rsidR="004E72C5" w:rsidRPr="004E72C5">
              <w:rPr>
                <w:sz w:val="18"/>
              </w:rPr>
              <w:t>(wie z.B. Stadtteilwünsche) oder gesundheitliche Notwendi</w:t>
            </w:r>
            <w:r w:rsidR="004E72C5" w:rsidRPr="004E72C5">
              <w:rPr>
                <w:sz w:val="18"/>
              </w:rPr>
              <w:t>g</w:t>
            </w:r>
            <w:r w:rsidR="004E72C5" w:rsidRPr="004E72C5">
              <w:rPr>
                <w:sz w:val="18"/>
              </w:rPr>
              <w:t xml:space="preserve">keiten (wie z.B. Lift, behindertengerechte Ausstattung) </w:t>
            </w:r>
            <w:r w:rsidRPr="002762D0">
              <w:rPr>
                <w:sz w:val="18"/>
              </w:rPr>
              <w:t>werden weitgehend berüc</w:t>
            </w:r>
            <w:r w:rsidRPr="002762D0">
              <w:rPr>
                <w:sz w:val="18"/>
              </w:rPr>
              <w:t>k</w:t>
            </w:r>
            <w:r w:rsidRPr="002762D0">
              <w:rPr>
                <w:sz w:val="18"/>
              </w:rPr>
              <w:t>sichtigt</w:t>
            </w:r>
          </w:p>
          <w:p w:rsidR="00153C28" w:rsidRPr="00A42F05" w:rsidRDefault="007A252D" w:rsidP="00AF430D">
            <w:pPr>
              <w:pStyle w:val="Listenabsatz"/>
              <w:numPr>
                <w:ilvl w:val="0"/>
                <w:numId w:val="9"/>
              </w:numPr>
              <w:spacing w:before="40" w:after="40" w:line="240" w:lineRule="auto"/>
              <w:jc w:val="left"/>
              <w:rPr>
                <w:szCs w:val="24"/>
              </w:rPr>
            </w:pPr>
            <w:r w:rsidRPr="002762D0">
              <w:rPr>
                <w:sz w:val="18"/>
              </w:rPr>
              <w:t>Transparenz und Beteiligung als Prinzipien der Wohnungsvergabe machen die Ve</w:t>
            </w:r>
            <w:r w:rsidRPr="002762D0">
              <w:rPr>
                <w:sz w:val="18"/>
              </w:rPr>
              <w:t>r</w:t>
            </w:r>
            <w:r w:rsidRPr="002762D0">
              <w:rPr>
                <w:sz w:val="18"/>
              </w:rPr>
              <w:t>gabepraxis z</w:t>
            </w:r>
            <w:r w:rsidR="00AF430D">
              <w:rPr>
                <w:sz w:val="18"/>
              </w:rPr>
              <w:t>war</w:t>
            </w:r>
            <w:r w:rsidRPr="002762D0">
              <w:rPr>
                <w:sz w:val="18"/>
              </w:rPr>
              <w:t xml:space="preserve"> komplex und aufwändig; das lohnt sich aber, weil Folgeaufwände </w:t>
            </w:r>
            <w:r w:rsidRPr="002762D0">
              <w:rPr>
                <w:sz w:val="18"/>
              </w:rPr>
              <w:lastRenderedPageBreak/>
              <w:t>aufgrund fehlender Durchmischung, unzureichender Integration bzw. hoher Unz</w:t>
            </w:r>
            <w:r w:rsidRPr="002762D0">
              <w:rPr>
                <w:sz w:val="18"/>
              </w:rPr>
              <w:t>u</w:t>
            </w:r>
            <w:r w:rsidRPr="002762D0">
              <w:rPr>
                <w:sz w:val="18"/>
              </w:rPr>
              <w:t>friedenheit wegfallen bzw. reduziert anfallen</w:t>
            </w:r>
          </w:p>
          <w:p w:rsidR="00A42F05" w:rsidRDefault="00A42F05" w:rsidP="0060575D">
            <w:pPr>
              <w:spacing w:before="40" w:after="40" w:line="240" w:lineRule="auto"/>
              <w:jc w:val="left"/>
            </w:pPr>
            <w:r w:rsidRPr="00A42F05">
              <w:rPr>
                <w:sz w:val="18"/>
                <w:u w:val="single"/>
              </w:rPr>
              <w:t>Beratung / Betreuung</w:t>
            </w:r>
            <w:r>
              <w:rPr>
                <w:sz w:val="18"/>
              </w:rPr>
              <w:t xml:space="preserve">: </w:t>
            </w:r>
            <w:r w:rsidR="0060575D">
              <w:rPr>
                <w:sz w:val="18"/>
              </w:rPr>
              <w:t>TeilnehmerInnen an der ExpertInnenrunde monieren, dass die ang</w:t>
            </w:r>
            <w:r w:rsidR="0060575D">
              <w:rPr>
                <w:sz w:val="18"/>
              </w:rPr>
              <w:t>e</w:t>
            </w:r>
            <w:r w:rsidR="0060575D">
              <w:rPr>
                <w:sz w:val="18"/>
              </w:rPr>
              <w:t xml:space="preserve">strebte Transparenz „noch nicht bei uns </w:t>
            </w:r>
            <w:r w:rsidR="00C65096">
              <w:rPr>
                <w:sz w:val="18"/>
              </w:rPr>
              <w:t xml:space="preserve">und unseren KlientInnen </w:t>
            </w:r>
            <w:r w:rsidR="0060575D">
              <w:rPr>
                <w:sz w:val="18"/>
              </w:rPr>
              <w:t>angekommen ist“.</w:t>
            </w:r>
          </w:p>
        </w:tc>
      </w:tr>
      <w:tr w:rsidR="007A252D" w:rsidRPr="00DA5171" w:rsidTr="000A3595">
        <w:tc>
          <w:tcPr>
            <w:tcW w:w="1668" w:type="dxa"/>
          </w:tcPr>
          <w:p w:rsidR="007A252D" w:rsidRPr="00F14F85" w:rsidRDefault="00C65096" w:rsidP="00044AF0">
            <w:pPr>
              <w:spacing w:beforeLines="40" w:afterLines="40" w:line="240" w:lineRule="auto"/>
              <w:rPr>
                <w:smallCaps/>
                <w:sz w:val="20"/>
              </w:rPr>
            </w:pPr>
            <w:r>
              <w:rPr>
                <w:szCs w:val="24"/>
              </w:rPr>
              <w:lastRenderedPageBreak/>
              <w:br w:type="page"/>
            </w:r>
            <w:r w:rsidR="007A252D" w:rsidRPr="00F14F85">
              <w:rPr>
                <w:smallCaps/>
                <w:sz w:val="20"/>
              </w:rPr>
              <w:t>Leitlinien für die Vergabe</w:t>
            </w:r>
          </w:p>
        </w:tc>
        <w:tc>
          <w:tcPr>
            <w:tcW w:w="7620" w:type="dxa"/>
          </w:tcPr>
          <w:p w:rsidR="007A252D" w:rsidRDefault="007A252D" w:rsidP="00AF430D">
            <w:pPr>
              <w:spacing w:before="40" w:after="40" w:line="240" w:lineRule="auto"/>
              <w:jc w:val="left"/>
              <w:rPr>
                <w:sz w:val="18"/>
              </w:rPr>
            </w:pPr>
            <w:r w:rsidRPr="00357E41">
              <w:rPr>
                <w:sz w:val="18"/>
              </w:rPr>
              <w:t>Die Vergabe in Innsbruck orientiert sich nach dem Leitbild einer Durchmischung der Siedlu</w:t>
            </w:r>
            <w:r w:rsidRPr="00357E41">
              <w:rPr>
                <w:sz w:val="18"/>
              </w:rPr>
              <w:t>n</w:t>
            </w:r>
            <w:r w:rsidRPr="00357E41">
              <w:rPr>
                <w:sz w:val="18"/>
              </w:rPr>
              <w:t xml:space="preserve">gen / Hausgemeinschaften nach </w:t>
            </w:r>
            <w:r w:rsidRPr="004E72C5">
              <w:rPr>
                <w:sz w:val="18"/>
              </w:rPr>
              <w:t>sozialen Kriterien</w:t>
            </w:r>
            <w:r w:rsidR="004E72C5">
              <w:rPr>
                <w:sz w:val="18"/>
              </w:rPr>
              <w:t>.</w:t>
            </w:r>
            <w:r w:rsidRPr="00357E41">
              <w:rPr>
                <w:sz w:val="18"/>
              </w:rPr>
              <w:t xml:space="preserve"> </w:t>
            </w:r>
            <w:r w:rsidR="004E72C5" w:rsidRPr="004E72C5">
              <w:rPr>
                <w:sz w:val="18"/>
              </w:rPr>
              <w:t>Der Bogen spannt sich dabei von Wo</w:t>
            </w:r>
            <w:r w:rsidR="004E72C5" w:rsidRPr="004E72C5">
              <w:rPr>
                <w:sz w:val="18"/>
              </w:rPr>
              <w:t>h</w:t>
            </w:r>
            <w:r w:rsidR="004E72C5" w:rsidRPr="004E72C5">
              <w:rPr>
                <w:sz w:val="18"/>
              </w:rPr>
              <w:t>nungswerberInnen mit einem behinderten Familienmitglied, über junge Alleinstehende, allein stehende Senioren, Alleinstehende mit geteilten Sorgerechten, Alleinerzieherinnen, junge Paare (teilweise mit Kinderwunsch), SeniorInnen-Paare, Familien mit Kleinkindern, Familien mit jugendlichen oder erwach</w:t>
            </w:r>
            <w:r w:rsidR="004E72C5">
              <w:rPr>
                <w:sz w:val="18"/>
              </w:rPr>
              <w:t>senen Kindern, unterschiedliche</w:t>
            </w:r>
            <w:r w:rsidR="004E72C5" w:rsidRPr="004E72C5">
              <w:rPr>
                <w:sz w:val="18"/>
              </w:rPr>
              <w:t xml:space="preserve"> Familiengrößen – alle Fam</w:t>
            </w:r>
            <w:r w:rsidR="004E72C5" w:rsidRPr="004E72C5">
              <w:rPr>
                <w:sz w:val="18"/>
              </w:rPr>
              <w:t>i</w:t>
            </w:r>
            <w:r w:rsidR="004E72C5" w:rsidRPr="004E72C5">
              <w:rPr>
                <w:sz w:val="18"/>
              </w:rPr>
              <w:t>lienverhältnisse sowohl mit als auch ohne Migrationshintergrund – unterschiedlichste Bi</w:t>
            </w:r>
            <w:r w:rsidR="004E72C5" w:rsidRPr="004E72C5">
              <w:rPr>
                <w:sz w:val="18"/>
              </w:rPr>
              <w:t>l</w:t>
            </w:r>
            <w:r w:rsidR="004E72C5" w:rsidRPr="004E72C5">
              <w:rPr>
                <w:sz w:val="18"/>
              </w:rPr>
              <w:t>dungs- und Einkommensschichten.</w:t>
            </w:r>
          </w:p>
          <w:p w:rsidR="007A252D" w:rsidRDefault="007A252D" w:rsidP="00AF430D">
            <w:pPr>
              <w:spacing w:before="40" w:after="40" w:line="240" w:lineRule="auto"/>
              <w:jc w:val="left"/>
              <w:rPr>
                <w:sz w:val="18"/>
              </w:rPr>
            </w:pPr>
            <w:r w:rsidRPr="002762D0">
              <w:rPr>
                <w:sz w:val="18"/>
              </w:rPr>
              <w:t>Prinzip: Einseitigkeit schadet und verursacht Folgeaufwand zur Reparatur</w:t>
            </w:r>
          </w:p>
          <w:p w:rsidR="00153C28" w:rsidRDefault="007A252D" w:rsidP="00AF430D">
            <w:pPr>
              <w:spacing w:before="40" w:after="40" w:line="240" w:lineRule="auto"/>
              <w:jc w:val="left"/>
              <w:rPr>
                <w:sz w:val="18"/>
              </w:rPr>
            </w:pPr>
            <w:r w:rsidRPr="002762D0">
              <w:rPr>
                <w:sz w:val="18"/>
              </w:rPr>
              <w:t>Das Prinzip der sozialen Durchmischung gilt gleichermaßen für Neuvergaben als auch für Nachbesetzungen im Altbestand. Nach Möglichkeit wird bereits bei der Planung von neuen Wohnbauvorhaben auf das Ziel der Durchmischung Bedacht genommen; d.h. es braucht ein gutes Verhältnis von kleineren und größeren Wohnungen; das Wohnungsamt der Stadt Innsbruck ist an den Planungsvorhaben beteiligt und setzt sich dabei für Variabilität (z.B. der Größe der Wohnungen, der Kosten etc.) im Wohnungsbestand ein.</w:t>
            </w:r>
          </w:p>
          <w:p w:rsidR="0060575D" w:rsidRDefault="0060575D" w:rsidP="0060575D">
            <w:pPr>
              <w:spacing w:before="40" w:after="40" w:line="240" w:lineRule="auto"/>
              <w:jc w:val="left"/>
              <w:rPr>
                <w:szCs w:val="24"/>
                <w:lang w:val="de-AT"/>
              </w:rPr>
            </w:pPr>
            <w:r w:rsidRPr="00A42F05">
              <w:rPr>
                <w:sz w:val="18"/>
                <w:u w:val="single"/>
              </w:rPr>
              <w:t>Beratung / Betreuung</w:t>
            </w:r>
            <w:r>
              <w:rPr>
                <w:sz w:val="18"/>
              </w:rPr>
              <w:t>: TeilnehmerInnen an der ExpertInnenrunde warnen davor, dass sich das Bemühen um eine ausgewogene soziale Durchmischung und Integration im Wohnumfeld zulasten von WohnungswerberInnen mit anderem ethnischen Hintergrund auswirken kann, die dann – ohne Angabe von Gründen – bei der konkreten Vergaberunde nicht berücksichtigt werden.</w:t>
            </w:r>
          </w:p>
        </w:tc>
      </w:tr>
      <w:tr w:rsidR="007A252D" w:rsidRPr="00DA5171" w:rsidTr="000A3595">
        <w:tc>
          <w:tcPr>
            <w:tcW w:w="1668" w:type="dxa"/>
          </w:tcPr>
          <w:p w:rsidR="007A252D" w:rsidRPr="00F14F85" w:rsidRDefault="007A252D" w:rsidP="00044AF0">
            <w:pPr>
              <w:spacing w:beforeLines="40" w:afterLines="40" w:line="240" w:lineRule="auto"/>
              <w:rPr>
                <w:smallCaps/>
                <w:sz w:val="20"/>
              </w:rPr>
            </w:pPr>
            <w:r w:rsidRPr="00F14F85">
              <w:rPr>
                <w:smallCaps/>
                <w:sz w:val="20"/>
              </w:rPr>
              <w:t>Kooperation mit externen NGO‘s</w:t>
            </w:r>
          </w:p>
        </w:tc>
        <w:tc>
          <w:tcPr>
            <w:tcW w:w="7620" w:type="dxa"/>
          </w:tcPr>
          <w:p w:rsidR="007A252D" w:rsidRPr="00980A88" w:rsidRDefault="007A252D" w:rsidP="00126F33">
            <w:pPr>
              <w:spacing w:before="40" w:after="40" w:line="240" w:lineRule="auto"/>
              <w:jc w:val="left"/>
              <w:rPr>
                <w:rFonts w:cs="Tahoma"/>
                <w:b/>
                <w:sz w:val="20"/>
              </w:rPr>
            </w:pPr>
            <w:r w:rsidRPr="005E7BBF">
              <w:rPr>
                <w:sz w:val="18"/>
              </w:rPr>
              <w:t>Entscheidungen über begleitende Maßnahmen, z.B. zur Förderung von Integration, Ma</w:t>
            </w:r>
            <w:r w:rsidRPr="005E7BBF">
              <w:rPr>
                <w:sz w:val="18"/>
              </w:rPr>
              <w:t>ß</w:t>
            </w:r>
            <w:r w:rsidRPr="005E7BBF">
              <w:rPr>
                <w:sz w:val="18"/>
              </w:rPr>
              <w:t>nahmen zur Einzugsbegleitung bei Neubauten etc., sind Aufgabe der Politik (Wohnservice – in Kooperation mit Integrationsressort und Stadtplanung)</w:t>
            </w:r>
            <w:r>
              <w:rPr>
                <w:sz w:val="18"/>
              </w:rPr>
              <w:t xml:space="preserve">; dementsprechend werden dann auch Kooperationen </w:t>
            </w:r>
            <w:r w:rsidR="00126F33">
              <w:rPr>
                <w:sz w:val="18"/>
              </w:rPr>
              <w:t xml:space="preserve">mit externen Einrichtungen </w:t>
            </w:r>
            <w:r>
              <w:rPr>
                <w:sz w:val="18"/>
              </w:rPr>
              <w:t>realisiert</w:t>
            </w:r>
            <w:r w:rsidR="00126F33">
              <w:rPr>
                <w:sz w:val="18"/>
              </w:rPr>
              <w:t>.</w:t>
            </w:r>
          </w:p>
        </w:tc>
      </w:tr>
      <w:tr w:rsidR="007A252D" w:rsidRPr="00DA5171" w:rsidTr="000A3595">
        <w:tc>
          <w:tcPr>
            <w:tcW w:w="1668" w:type="dxa"/>
          </w:tcPr>
          <w:p w:rsidR="007A252D" w:rsidRPr="00F14F85" w:rsidRDefault="007A252D" w:rsidP="00044AF0">
            <w:pPr>
              <w:spacing w:beforeLines="40" w:afterLines="40" w:line="240" w:lineRule="auto"/>
              <w:rPr>
                <w:smallCaps/>
                <w:sz w:val="20"/>
              </w:rPr>
            </w:pPr>
            <w:r w:rsidRPr="00F14F85">
              <w:rPr>
                <w:smallCaps/>
                <w:sz w:val="20"/>
              </w:rPr>
              <w:t xml:space="preserve">Trends, </w:t>
            </w:r>
            <w:r w:rsidR="00C65096">
              <w:rPr>
                <w:smallCaps/>
                <w:sz w:val="20"/>
              </w:rPr>
              <w:br/>
            </w:r>
            <w:r w:rsidRPr="00F14F85">
              <w:rPr>
                <w:smallCaps/>
                <w:sz w:val="20"/>
              </w:rPr>
              <w:t>Vorhaben</w:t>
            </w:r>
          </w:p>
        </w:tc>
        <w:tc>
          <w:tcPr>
            <w:tcW w:w="7620" w:type="dxa"/>
          </w:tcPr>
          <w:p w:rsidR="00153C28" w:rsidRDefault="007A252D" w:rsidP="00AF430D">
            <w:pPr>
              <w:spacing w:before="40" w:after="40" w:line="240" w:lineRule="auto"/>
              <w:jc w:val="left"/>
              <w:rPr>
                <w:sz w:val="18"/>
              </w:rPr>
            </w:pPr>
            <w:r w:rsidRPr="005E7BBF">
              <w:rPr>
                <w:sz w:val="18"/>
              </w:rPr>
              <w:t>Erfahrungsgemäß sind die Entwicklungen im Privatwohnungsbestand / z.B. alte Zinshäuser tendenziell kritisch; hier gibt es keine Leitlinien und Standards für eine integrationsfördernde Durchmischung, aber auch keine Vorsorgen und Kompetenzen für eine Steuerung; hier bräuchte es entsprechende Initiativen und Vorsorgen für eine bessere Durchmischung und / oder für die Förderung von Integration</w:t>
            </w:r>
            <w:r w:rsidR="00126F33">
              <w:rPr>
                <w:sz w:val="18"/>
              </w:rPr>
              <w:t>.</w:t>
            </w:r>
          </w:p>
          <w:p w:rsidR="00126F33" w:rsidRPr="00126F33" w:rsidRDefault="00126F33" w:rsidP="00126F33">
            <w:pPr>
              <w:spacing w:before="40" w:after="40" w:line="240" w:lineRule="auto"/>
              <w:jc w:val="left"/>
              <w:rPr>
                <w:szCs w:val="24"/>
              </w:rPr>
            </w:pPr>
            <w:r w:rsidRPr="007573CD">
              <w:rPr>
                <w:sz w:val="18"/>
              </w:rPr>
              <w:t>Zwischen städtischem und ländlichem Bereich sind unterschiedliche Geschwindigkeiten in der gesellschaftlichen Entwicklung festzustellen; das betrifft bspw. auch die Frage der Integra</w:t>
            </w:r>
            <w:r>
              <w:rPr>
                <w:sz w:val="18"/>
              </w:rPr>
              <w:softHyphen/>
            </w:r>
            <w:r w:rsidRPr="007573CD">
              <w:rPr>
                <w:sz w:val="18"/>
              </w:rPr>
              <w:t>tion von Menschen mit Migrationshintergrund. Gerade im städtischen Bereich werden de</w:t>
            </w:r>
            <w:r w:rsidRPr="007573CD">
              <w:rPr>
                <w:sz w:val="18"/>
              </w:rPr>
              <w:t>s</w:t>
            </w:r>
            <w:r w:rsidRPr="007573CD">
              <w:rPr>
                <w:sz w:val="18"/>
              </w:rPr>
              <w:t>halb Aufgabenstellungen der Diversifizierung vorrangig</w:t>
            </w:r>
            <w:r>
              <w:rPr>
                <w:sz w:val="18"/>
              </w:rPr>
              <w:t>.</w:t>
            </w:r>
            <w:r w:rsidRPr="007573CD">
              <w:rPr>
                <w:sz w:val="18"/>
              </w:rPr>
              <w:t xml:space="preserve"> </w:t>
            </w:r>
            <w:r>
              <w:rPr>
                <w:sz w:val="18"/>
              </w:rPr>
              <w:t>Es b</w:t>
            </w:r>
            <w:r w:rsidRPr="007573CD">
              <w:rPr>
                <w:sz w:val="18"/>
              </w:rPr>
              <w:t>edarf gemeindeübergreifen</w:t>
            </w:r>
            <w:r>
              <w:rPr>
                <w:sz w:val="18"/>
              </w:rPr>
              <w:softHyphen/>
            </w:r>
            <w:r w:rsidRPr="007573CD">
              <w:rPr>
                <w:sz w:val="18"/>
              </w:rPr>
              <w:t>de</w:t>
            </w:r>
            <w:r>
              <w:rPr>
                <w:sz w:val="18"/>
              </w:rPr>
              <w:t>r</w:t>
            </w:r>
            <w:r w:rsidRPr="007573CD">
              <w:rPr>
                <w:sz w:val="18"/>
              </w:rPr>
              <w:t xml:space="preserve"> Regelungen für Ballungszentren durch das Land; z.B.: Finanzrahmen für Ballungszent</w:t>
            </w:r>
            <w:r>
              <w:rPr>
                <w:sz w:val="18"/>
              </w:rPr>
              <w:softHyphen/>
            </w:r>
            <w:r w:rsidRPr="007573CD">
              <w:rPr>
                <w:sz w:val="18"/>
              </w:rPr>
              <w:t>ren; Vorsorgen und Standards für Integration, ergänzende Angebote zur Förderung von Integr</w:t>
            </w:r>
            <w:r w:rsidRPr="007573CD">
              <w:rPr>
                <w:sz w:val="18"/>
              </w:rPr>
              <w:t>a</w:t>
            </w:r>
            <w:r w:rsidRPr="007573CD">
              <w:rPr>
                <w:sz w:val="18"/>
              </w:rPr>
              <w:t>tion etc.</w:t>
            </w:r>
          </w:p>
        </w:tc>
      </w:tr>
      <w:tr w:rsidR="007A252D" w:rsidRPr="00DA5171" w:rsidTr="000A3595">
        <w:tc>
          <w:tcPr>
            <w:tcW w:w="1668" w:type="dxa"/>
          </w:tcPr>
          <w:p w:rsidR="007A252D" w:rsidRPr="00F14F85" w:rsidRDefault="007A252D" w:rsidP="00044AF0">
            <w:pPr>
              <w:spacing w:beforeLines="40" w:afterLines="40" w:line="240" w:lineRule="auto"/>
              <w:rPr>
                <w:smallCaps/>
                <w:sz w:val="20"/>
              </w:rPr>
            </w:pPr>
            <w:r w:rsidRPr="00F14F85">
              <w:rPr>
                <w:smallCaps/>
                <w:sz w:val="20"/>
              </w:rPr>
              <w:t>Model of good practice</w:t>
            </w:r>
          </w:p>
        </w:tc>
        <w:tc>
          <w:tcPr>
            <w:tcW w:w="7620" w:type="dxa"/>
          </w:tcPr>
          <w:p w:rsidR="00035464" w:rsidRDefault="00035464" w:rsidP="00035464">
            <w:pPr>
              <w:spacing w:before="40" w:after="40" w:line="240" w:lineRule="auto"/>
              <w:jc w:val="left"/>
              <w:rPr>
                <w:sz w:val="18"/>
              </w:rPr>
            </w:pPr>
            <w:r w:rsidRPr="00126F33">
              <w:rPr>
                <w:sz w:val="18"/>
                <w:u w:val="single"/>
              </w:rPr>
              <w:t>Wohnungsvergabe als lernende Organisation</w:t>
            </w:r>
            <w:r>
              <w:rPr>
                <w:sz w:val="18"/>
              </w:rPr>
              <w:t xml:space="preserve">: </w:t>
            </w:r>
            <w:r w:rsidRPr="00C86195">
              <w:rPr>
                <w:sz w:val="18"/>
              </w:rPr>
              <w:t>In der Frage der angestrebten Durchmischung in den Siedlungen gibt es keine formalen Quoten bzw. eine generelle Formel. Die Vorgangs</w:t>
            </w:r>
            <w:r>
              <w:rPr>
                <w:sz w:val="18"/>
              </w:rPr>
              <w:softHyphen/>
            </w:r>
            <w:r w:rsidRPr="00C86195">
              <w:rPr>
                <w:sz w:val="18"/>
              </w:rPr>
              <w:t>weise beruht eher auf einem kontinuierlichen Lernprozess und baut auf individuell gestalte</w:t>
            </w:r>
            <w:r>
              <w:rPr>
                <w:sz w:val="18"/>
              </w:rPr>
              <w:softHyphen/>
            </w:r>
            <w:r w:rsidRPr="00C86195">
              <w:rPr>
                <w:sz w:val="18"/>
              </w:rPr>
              <w:t>ten Vorsorgen für Beratung und Abklärung von Bedürfnissen der WohnungswerberInnen auf; wichtig dafür sind die persönlichen Kenntnisse des jeweiligen Umfeldes der zu verg</w:t>
            </w:r>
            <w:r w:rsidRPr="00C86195">
              <w:rPr>
                <w:sz w:val="18"/>
              </w:rPr>
              <w:t>e</w:t>
            </w:r>
            <w:r w:rsidRPr="00C86195">
              <w:rPr>
                <w:sz w:val="18"/>
              </w:rPr>
              <w:t>benden Wohnungen</w:t>
            </w:r>
            <w:r>
              <w:rPr>
                <w:sz w:val="18"/>
              </w:rPr>
              <w:t xml:space="preserve"> und eine enge Kooperation mit den Hausverwaltungen</w:t>
            </w:r>
            <w:r w:rsidRPr="00C86195">
              <w:rPr>
                <w:sz w:val="18"/>
              </w:rPr>
              <w:t>.</w:t>
            </w:r>
            <w:r>
              <w:rPr>
                <w:rStyle w:val="Funotenzeichen"/>
                <w:sz w:val="18"/>
              </w:rPr>
              <w:footnoteReference w:id="7"/>
            </w:r>
          </w:p>
          <w:p w:rsidR="007A252D" w:rsidRPr="0016658F" w:rsidRDefault="00126F33" w:rsidP="00AF430D">
            <w:pPr>
              <w:spacing w:before="40" w:after="40" w:line="240" w:lineRule="auto"/>
              <w:jc w:val="left"/>
              <w:rPr>
                <w:lang w:val="de-AT"/>
              </w:rPr>
            </w:pPr>
            <w:r w:rsidRPr="00126F33">
              <w:rPr>
                <w:sz w:val="18"/>
                <w:u w:val="single"/>
              </w:rPr>
              <w:t>P</w:t>
            </w:r>
            <w:r w:rsidR="007A252D" w:rsidRPr="00126F33">
              <w:rPr>
                <w:sz w:val="18"/>
                <w:u w:val="single"/>
              </w:rPr>
              <w:t>roaktive Information</w:t>
            </w:r>
            <w:r w:rsidR="007A252D" w:rsidRPr="005E7BBF">
              <w:rPr>
                <w:sz w:val="18"/>
              </w:rPr>
              <w:t>: die Richtlinien für die Vergabe werden von der Wohnbauförderung</w:t>
            </w:r>
            <w:r w:rsidR="007A252D" w:rsidRPr="005E7BBF">
              <w:rPr>
                <w:sz w:val="18"/>
              </w:rPr>
              <w:t>s</w:t>
            </w:r>
            <w:r w:rsidR="007A252D" w:rsidRPr="005E7BBF">
              <w:rPr>
                <w:sz w:val="18"/>
              </w:rPr>
              <w:t>abteilung im Zuge der Bewilligung von Bauvorhaben und der Förderung sowohl an die G</w:t>
            </w:r>
            <w:r w:rsidR="007A252D" w:rsidRPr="005E7BBF">
              <w:rPr>
                <w:sz w:val="18"/>
              </w:rPr>
              <w:t>e</w:t>
            </w:r>
            <w:r w:rsidR="007A252D" w:rsidRPr="005E7BBF">
              <w:rPr>
                <w:sz w:val="18"/>
              </w:rPr>
              <w:t xml:space="preserve">meinde als auch an den verantwortlichen Wohnbauträger versandt; in diesem Schreiben wird im Sinne der Gleichbehandlungsnormen dezidiert </w:t>
            </w:r>
            <w:r w:rsidR="007A252D">
              <w:rPr>
                <w:sz w:val="18"/>
              </w:rPr>
              <w:t xml:space="preserve">auch auf </w:t>
            </w:r>
            <w:r w:rsidR="007A252D" w:rsidRPr="005E7BBF">
              <w:rPr>
                <w:sz w:val="18"/>
              </w:rPr>
              <w:t>die Definition des berechti</w:t>
            </w:r>
            <w:r w:rsidR="007A252D" w:rsidRPr="005E7BBF">
              <w:rPr>
                <w:sz w:val="18"/>
              </w:rPr>
              <w:t>g</w:t>
            </w:r>
            <w:r w:rsidR="007A252D" w:rsidRPr="005E7BBF">
              <w:rPr>
                <w:sz w:val="18"/>
              </w:rPr>
              <w:t xml:space="preserve">ten Personenkreises </w:t>
            </w:r>
            <w:r w:rsidR="007A252D">
              <w:rPr>
                <w:sz w:val="18"/>
              </w:rPr>
              <w:t>hingewiesen</w:t>
            </w:r>
          </w:p>
        </w:tc>
      </w:tr>
    </w:tbl>
    <w:p w:rsidR="00126F33" w:rsidRDefault="00126F33" w:rsidP="007A252D">
      <w:pPr>
        <w:rPr>
          <w:b/>
          <w:u w:val="single"/>
          <w:lang w:eastAsia="en-US"/>
        </w:rPr>
      </w:pPr>
    </w:p>
    <w:p w:rsidR="00035464" w:rsidRDefault="00035464">
      <w:pPr>
        <w:spacing w:before="180" w:after="240" w:line="336" w:lineRule="auto"/>
        <w:jc w:val="center"/>
        <w:rPr>
          <w:b/>
          <w:u w:val="single"/>
          <w:lang w:eastAsia="en-US"/>
        </w:rPr>
      </w:pPr>
      <w:r>
        <w:rPr>
          <w:b/>
          <w:u w:val="single"/>
          <w:lang w:eastAsia="en-US"/>
        </w:rPr>
        <w:br w:type="page"/>
      </w:r>
    </w:p>
    <w:p w:rsidR="007A252D" w:rsidRPr="008A4DEE" w:rsidRDefault="007A252D" w:rsidP="007A252D">
      <w:pPr>
        <w:rPr>
          <w:b/>
          <w:u w:val="single"/>
          <w:lang w:eastAsia="en-US"/>
        </w:rPr>
      </w:pPr>
      <w:r>
        <w:rPr>
          <w:b/>
          <w:u w:val="single"/>
          <w:lang w:eastAsia="en-US"/>
        </w:rPr>
        <w:lastRenderedPageBreak/>
        <w:t xml:space="preserve">Fallbeispiel </w:t>
      </w:r>
      <w:r w:rsidRPr="008A4DEE">
        <w:rPr>
          <w:b/>
          <w:u w:val="single"/>
          <w:lang w:eastAsia="en-US"/>
        </w:rPr>
        <w:t>Wien</w:t>
      </w:r>
    </w:p>
    <w:tbl>
      <w:tblPr>
        <w:tblStyle w:val="Tabellengitternetz"/>
        <w:tblW w:w="0" w:type="auto"/>
        <w:tblLook w:val="04A0"/>
      </w:tblPr>
      <w:tblGrid>
        <w:gridCol w:w="1984"/>
        <w:gridCol w:w="7304"/>
      </w:tblGrid>
      <w:tr w:rsidR="007A252D" w:rsidRPr="00DA5171" w:rsidTr="00F14F85">
        <w:tc>
          <w:tcPr>
            <w:tcW w:w="1809" w:type="dxa"/>
          </w:tcPr>
          <w:p w:rsidR="007A252D" w:rsidRPr="00F14F85" w:rsidRDefault="007A252D" w:rsidP="00044AF0">
            <w:pPr>
              <w:spacing w:beforeLines="40" w:afterLines="40" w:line="240" w:lineRule="auto"/>
              <w:rPr>
                <w:smallCaps/>
                <w:sz w:val="20"/>
              </w:rPr>
            </w:pPr>
            <w:r w:rsidRPr="00F14F85">
              <w:rPr>
                <w:smallCaps/>
                <w:sz w:val="20"/>
              </w:rPr>
              <w:t>Zugang zu gefö</w:t>
            </w:r>
            <w:r w:rsidRPr="00F14F85">
              <w:rPr>
                <w:smallCaps/>
                <w:sz w:val="20"/>
              </w:rPr>
              <w:t>r</w:t>
            </w:r>
            <w:r w:rsidRPr="00F14F85">
              <w:rPr>
                <w:smallCaps/>
                <w:sz w:val="20"/>
              </w:rPr>
              <w:t>derten Mietwo</w:t>
            </w:r>
            <w:r w:rsidRPr="00F14F85">
              <w:rPr>
                <w:smallCaps/>
                <w:sz w:val="20"/>
              </w:rPr>
              <w:t>h</w:t>
            </w:r>
            <w:r w:rsidRPr="00F14F85">
              <w:rPr>
                <w:smallCaps/>
                <w:sz w:val="20"/>
              </w:rPr>
              <w:t>nungen</w:t>
            </w:r>
          </w:p>
        </w:tc>
        <w:tc>
          <w:tcPr>
            <w:tcW w:w="7479" w:type="dxa"/>
          </w:tcPr>
          <w:p w:rsidR="00587957" w:rsidRDefault="00AE3386" w:rsidP="00044AF0">
            <w:pPr>
              <w:spacing w:beforeLines="40" w:afterLines="40" w:line="240" w:lineRule="auto"/>
              <w:jc w:val="left"/>
              <w:rPr>
                <w:sz w:val="18"/>
                <w:szCs w:val="24"/>
              </w:rPr>
            </w:pPr>
            <w:r>
              <w:rPr>
                <w:sz w:val="18"/>
              </w:rPr>
              <w:t xml:space="preserve">In der Wohnungsvergabestelle ist der </w:t>
            </w:r>
            <w:r w:rsidR="007A252D">
              <w:rPr>
                <w:sz w:val="18"/>
              </w:rPr>
              <w:t>legale Aufenthalt nachzuweisen, spezifische Au</w:t>
            </w:r>
            <w:r w:rsidR="007A252D">
              <w:rPr>
                <w:sz w:val="18"/>
              </w:rPr>
              <w:t>f</w:t>
            </w:r>
            <w:r w:rsidR="007A252D">
              <w:rPr>
                <w:sz w:val="18"/>
              </w:rPr>
              <w:t>enthaltstitel sind irrelevant</w:t>
            </w:r>
            <w:r>
              <w:rPr>
                <w:sz w:val="18"/>
              </w:rPr>
              <w:t xml:space="preserve">; </w:t>
            </w:r>
            <w:r w:rsidR="007A252D">
              <w:rPr>
                <w:sz w:val="18"/>
              </w:rPr>
              <w:t>Einkommensnachweise, Familienstand und Wohnbedarf</w:t>
            </w:r>
            <w:r>
              <w:rPr>
                <w:sz w:val="18"/>
              </w:rPr>
              <w:t xml:space="preserve"> werden überprüft</w:t>
            </w:r>
          </w:p>
          <w:p w:rsidR="001E30B4" w:rsidRDefault="00AE3386" w:rsidP="00044AF0">
            <w:pPr>
              <w:spacing w:beforeLines="40" w:afterLines="40" w:line="240" w:lineRule="auto"/>
              <w:jc w:val="left"/>
              <w:rPr>
                <w:sz w:val="18"/>
                <w:szCs w:val="24"/>
              </w:rPr>
            </w:pPr>
            <w:r>
              <w:rPr>
                <w:sz w:val="18"/>
              </w:rPr>
              <w:t xml:space="preserve">Parallel dazu kann eine </w:t>
            </w:r>
            <w:r w:rsidR="007A252D" w:rsidRPr="008112B5">
              <w:rPr>
                <w:sz w:val="18"/>
              </w:rPr>
              <w:t xml:space="preserve">Anmeldung </w:t>
            </w:r>
            <w:r>
              <w:rPr>
                <w:sz w:val="18"/>
              </w:rPr>
              <w:t>bei gemeinnützigen Wohnbauträgern</w:t>
            </w:r>
            <w:r w:rsidR="007A252D">
              <w:rPr>
                <w:sz w:val="18"/>
              </w:rPr>
              <w:t xml:space="preserve"> </w:t>
            </w:r>
            <w:r w:rsidR="007A252D" w:rsidRPr="008112B5">
              <w:rPr>
                <w:sz w:val="18"/>
              </w:rPr>
              <w:t>schriftlich, per Internet</w:t>
            </w:r>
            <w:r w:rsidR="007A252D">
              <w:rPr>
                <w:sz w:val="18"/>
              </w:rPr>
              <w:t xml:space="preserve"> oder in persönlicher</w:t>
            </w:r>
            <w:r w:rsidR="007A252D" w:rsidRPr="008112B5">
              <w:rPr>
                <w:sz w:val="18"/>
              </w:rPr>
              <w:t xml:space="preserve"> Vorsprache</w:t>
            </w:r>
            <w:r w:rsidR="007A252D">
              <w:rPr>
                <w:sz w:val="18"/>
              </w:rPr>
              <w:t xml:space="preserve"> eingebracht werden</w:t>
            </w:r>
          </w:p>
          <w:p w:rsidR="001E30B4" w:rsidRDefault="007A252D" w:rsidP="00044AF0">
            <w:pPr>
              <w:spacing w:beforeLines="40" w:afterLines="40" w:line="240" w:lineRule="auto"/>
              <w:jc w:val="left"/>
              <w:rPr>
                <w:sz w:val="18"/>
                <w:szCs w:val="24"/>
              </w:rPr>
            </w:pPr>
            <w:r>
              <w:rPr>
                <w:sz w:val="18"/>
              </w:rPr>
              <w:t xml:space="preserve">Startwohnungen für MigrantInnen </w:t>
            </w:r>
            <w:r w:rsidR="00A45D26">
              <w:rPr>
                <w:sz w:val="18"/>
              </w:rPr>
              <w:t xml:space="preserve">dienen </w:t>
            </w:r>
            <w:r>
              <w:rPr>
                <w:sz w:val="18"/>
              </w:rPr>
              <w:t>als Übergangslösung für die Dauer von 2 Ja</w:t>
            </w:r>
            <w:r>
              <w:rPr>
                <w:sz w:val="18"/>
              </w:rPr>
              <w:t>h</w:t>
            </w:r>
            <w:r>
              <w:rPr>
                <w:sz w:val="18"/>
              </w:rPr>
              <w:t>ren</w:t>
            </w:r>
            <w:r w:rsidR="00A45D26">
              <w:rPr>
                <w:sz w:val="18"/>
              </w:rPr>
              <w:t>,</w:t>
            </w:r>
            <w:r>
              <w:rPr>
                <w:sz w:val="18"/>
              </w:rPr>
              <w:t xml:space="preserve"> bis </w:t>
            </w:r>
            <w:r w:rsidR="00A45D26">
              <w:rPr>
                <w:sz w:val="18"/>
              </w:rPr>
              <w:t>eine</w:t>
            </w:r>
            <w:r>
              <w:rPr>
                <w:sz w:val="18"/>
              </w:rPr>
              <w:t xml:space="preserve"> Vermittlung in eine Gemeindewohnung </w:t>
            </w:r>
            <w:r w:rsidR="00A45D26">
              <w:rPr>
                <w:sz w:val="18"/>
              </w:rPr>
              <w:t>möglich ist</w:t>
            </w:r>
            <w:r w:rsidR="00AE3386">
              <w:rPr>
                <w:sz w:val="18"/>
              </w:rPr>
              <w:t xml:space="preserve">; </w:t>
            </w:r>
            <w:r>
              <w:rPr>
                <w:sz w:val="18"/>
              </w:rPr>
              <w:t xml:space="preserve">Voraussetzung für eine Startwohnung ist ein Erwerbseinkommen und kurze Aufenthaltsdauer in Wien </w:t>
            </w:r>
          </w:p>
        </w:tc>
      </w:tr>
      <w:tr w:rsidR="007A252D" w:rsidRPr="00DA5171" w:rsidTr="00F14F85">
        <w:tc>
          <w:tcPr>
            <w:tcW w:w="1809" w:type="dxa"/>
          </w:tcPr>
          <w:p w:rsidR="007A252D" w:rsidRPr="00F14F85" w:rsidRDefault="007A252D" w:rsidP="00044AF0">
            <w:pPr>
              <w:spacing w:beforeLines="40" w:afterLines="40" w:line="240" w:lineRule="auto"/>
              <w:rPr>
                <w:smallCaps/>
                <w:sz w:val="20"/>
              </w:rPr>
            </w:pPr>
            <w:r w:rsidRPr="00F14F85">
              <w:rPr>
                <w:smallCaps/>
                <w:sz w:val="20"/>
              </w:rPr>
              <w:t>Vergabe</w:t>
            </w:r>
          </w:p>
        </w:tc>
        <w:tc>
          <w:tcPr>
            <w:tcW w:w="7479" w:type="dxa"/>
          </w:tcPr>
          <w:p w:rsidR="00587957" w:rsidRDefault="00AE3386" w:rsidP="00044AF0">
            <w:pPr>
              <w:spacing w:beforeLines="40" w:afterLines="40" w:line="240" w:lineRule="auto"/>
              <w:jc w:val="left"/>
              <w:rPr>
                <w:sz w:val="18"/>
                <w:szCs w:val="24"/>
              </w:rPr>
            </w:pPr>
            <w:r>
              <w:rPr>
                <w:sz w:val="18"/>
              </w:rPr>
              <w:t xml:space="preserve">Die freigewordenen </w:t>
            </w:r>
            <w:r w:rsidR="007A252D">
              <w:rPr>
                <w:sz w:val="18"/>
              </w:rPr>
              <w:t>Wohnungen werden im Angebotsmanagement so vorbereitet, dass sie im Internet dargestellt werden können und werden dann automatisch online gestellt</w:t>
            </w:r>
            <w:r>
              <w:rPr>
                <w:sz w:val="18"/>
              </w:rPr>
              <w:t xml:space="preserve">; Ziel ist </w:t>
            </w:r>
            <w:r w:rsidR="007A252D">
              <w:rPr>
                <w:sz w:val="18"/>
              </w:rPr>
              <w:t>Transparenz in der Vergabe</w:t>
            </w:r>
            <w:r>
              <w:rPr>
                <w:sz w:val="18"/>
              </w:rPr>
              <w:t>,</w:t>
            </w:r>
            <w:r w:rsidR="007A252D">
              <w:rPr>
                <w:sz w:val="18"/>
              </w:rPr>
              <w:t xml:space="preserve"> </w:t>
            </w:r>
            <w:r>
              <w:rPr>
                <w:sz w:val="18"/>
              </w:rPr>
              <w:t xml:space="preserve">persönliche </w:t>
            </w:r>
            <w:r w:rsidR="007A252D">
              <w:rPr>
                <w:sz w:val="18"/>
              </w:rPr>
              <w:t>Beratung – in diversen Sprachen</w:t>
            </w:r>
          </w:p>
          <w:p w:rsidR="001E30B4" w:rsidRDefault="007A252D" w:rsidP="00044AF0">
            <w:pPr>
              <w:spacing w:beforeLines="40" w:afterLines="40" w:line="240" w:lineRule="auto"/>
              <w:jc w:val="left"/>
              <w:rPr>
                <w:sz w:val="18"/>
                <w:szCs w:val="24"/>
              </w:rPr>
            </w:pPr>
            <w:r w:rsidRPr="008C2878">
              <w:rPr>
                <w:rStyle w:val="SchwacherVerweis"/>
                <w:sz w:val="18"/>
              </w:rPr>
              <w:t>Soziale Wohnungsvergabe:</w:t>
            </w:r>
            <w:r w:rsidR="00A45D26">
              <w:rPr>
                <w:rStyle w:val="SchwacherVerweis"/>
                <w:sz w:val="20"/>
              </w:rPr>
              <w:t xml:space="preserve"> </w:t>
            </w:r>
            <w:r>
              <w:rPr>
                <w:sz w:val="18"/>
              </w:rPr>
              <w:t>Keine Unterscheidung nach der Staatsbürgerschaft – Dauer der Meldung in Wien: 2 Jahre; Einkommensgrenze: nicht mehr als € 1.160 (Einzelpe</w:t>
            </w:r>
            <w:r>
              <w:rPr>
                <w:sz w:val="18"/>
              </w:rPr>
              <w:t>r</w:t>
            </w:r>
            <w:r>
              <w:rPr>
                <w:sz w:val="18"/>
              </w:rPr>
              <w:t>son)</w:t>
            </w:r>
          </w:p>
          <w:p w:rsidR="001E30B4" w:rsidRDefault="007A252D" w:rsidP="00044AF0">
            <w:pPr>
              <w:spacing w:beforeLines="40" w:afterLines="40" w:line="240" w:lineRule="auto"/>
              <w:jc w:val="left"/>
              <w:rPr>
                <w:sz w:val="18"/>
                <w:szCs w:val="24"/>
              </w:rPr>
            </w:pPr>
            <w:r w:rsidRPr="008C2878">
              <w:rPr>
                <w:rStyle w:val="SchwacherVerweis"/>
                <w:sz w:val="18"/>
              </w:rPr>
              <w:t>gemeinnützige Wohnbauträger:</w:t>
            </w:r>
            <w:r w:rsidR="00A45D26">
              <w:rPr>
                <w:rStyle w:val="SchwacherVerweis"/>
                <w:sz w:val="20"/>
              </w:rPr>
              <w:t xml:space="preserve"> </w:t>
            </w:r>
            <w:r w:rsidRPr="008112B5">
              <w:rPr>
                <w:sz w:val="18"/>
              </w:rPr>
              <w:t xml:space="preserve">Die Anmeldungen werden in eine Datenbank je nach </w:t>
            </w:r>
            <w:r w:rsidR="00A45D26">
              <w:rPr>
                <w:sz w:val="18"/>
              </w:rPr>
              <w:t>Anmeldedatum</w:t>
            </w:r>
            <w:r w:rsidRPr="008112B5">
              <w:rPr>
                <w:sz w:val="18"/>
              </w:rPr>
              <w:t xml:space="preserve"> eingegeben. Die Wohnungsvergabe lädt nach dieser Liste ein und en</w:t>
            </w:r>
            <w:r w:rsidRPr="008112B5">
              <w:rPr>
                <w:sz w:val="18"/>
              </w:rPr>
              <w:t>t</w:t>
            </w:r>
            <w:r w:rsidRPr="008112B5">
              <w:rPr>
                <w:sz w:val="18"/>
              </w:rPr>
              <w:t>scheidet. „Es wird nicht angesehen, ob jemand zum Haus passt.“ Bei der Vergabe en</w:t>
            </w:r>
            <w:r w:rsidRPr="008112B5">
              <w:rPr>
                <w:sz w:val="18"/>
              </w:rPr>
              <w:t>t</w:t>
            </w:r>
            <w:r w:rsidRPr="008112B5">
              <w:rPr>
                <w:sz w:val="18"/>
              </w:rPr>
              <w:t>scheidet die zuständige Person der Vergabe alleine. Im Regelfall nach dem Datum der Anmeldung und dem Bedarf.</w:t>
            </w:r>
          </w:p>
          <w:p w:rsidR="001E30B4" w:rsidRDefault="007A252D" w:rsidP="00044AF0">
            <w:pPr>
              <w:spacing w:beforeLines="40" w:afterLines="40" w:line="240" w:lineRule="auto"/>
              <w:jc w:val="left"/>
              <w:rPr>
                <w:sz w:val="18"/>
                <w:szCs w:val="24"/>
              </w:rPr>
            </w:pPr>
            <w:r w:rsidRPr="008C2878">
              <w:rPr>
                <w:rStyle w:val="SchwacherVerweis"/>
                <w:sz w:val="18"/>
              </w:rPr>
              <w:t>Beratung / Betreuung von MigrantInnen:</w:t>
            </w:r>
            <w:r w:rsidR="00A45D26">
              <w:rPr>
                <w:rStyle w:val="SchwacherVerweis"/>
                <w:sz w:val="20"/>
              </w:rPr>
              <w:t xml:space="preserve"> </w:t>
            </w:r>
            <w:r w:rsidRPr="00C61675">
              <w:rPr>
                <w:sz w:val="18"/>
              </w:rPr>
              <w:t>Also die Leute können anrufen und dann wird ihnen gesagt</w:t>
            </w:r>
            <w:r w:rsidR="00AE3386">
              <w:rPr>
                <w:sz w:val="18"/>
              </w:rPr>
              <w:t>,</w:t>
            </w:r>
            <w:r w:rsidRPr="00C61675">
              <w:rPr>
                <w:sz w:val="18"/>
              </w:rPr>
              <w:t xml:space="preserve"> was sie zur Anmeldung mitbringen müssen, es wird ihnen ein Termin gegeben und ein Betreuer zugeteilt. Dann </w:t>
            </w:r>
            <w:r>
              <w:rPr>
                <w:sz w:val="18"/>
              </w:rPr>
              <w:t>werden</w:t>
            </w:r>
            <w:r w:rsidRPr="00C61675">
              <w:rPr>
                <w:sz w:val="18"/>
              </w:rPr>
              <w:t xml:space="preserve"> gemeinsam Ziel sowie Rechte und Pflichten besprochen. @home Startwohnungen sieht sich als betreuende Einrichtung</w:t>
            </w:r>
            <w:r>
              <w:rPr>
                <w:sz w:val="18"/>
              </w:rPr>
              <w:t>,</w:t>
            </w:r>
            <w:r w:rsidRPr="00C61675">
              <w:rPr>
                <w:sz w:val="18"/>
              </w:rPr>
              <w:t xml:space="preserve"> die den Leuten den Einstieg in Österreich erleichtern will. In den Gesprächen wird geklärt, was zu tun ist: Deutschkurs, pünktliche Überweisung der Miete, Ausbildung</w:t>
            </w:r>
            <w:r w:rsidR="00AE3386">
              <w:rPr>
                <w:sz w:val="18"/>
              </w:rPr>
              <w:t xml:space="preserve">. </w:t>
            </w:r>
            <w:r w:rsidRPr="00C61675">
              <w:rPr>
                <w:sz w:val="18"/>
              </w:rPr>
              <w:t>Der Deutschkurs ist nicht verpflichtend und hat keine Konsequenzen auf den Erhalt oder Nichterhalt einer Wohnung.</w:t>
            </w:r>
          </w:p>
        </w:tc>
      </w:tr>
      <w:tr w:rsidR="007A252D" w:rsidRPr="00DA5171" w:rsidTr="00F14F85">
        <w:tc>
          <w:tcPr>
            <w:tcW w:w="1809" w:type="dxa"/>
          </w:tcPr>
          <w:p w:rsidR="00587957" w:rsidRDefault="007A252D" w:rsidP="00044AF0">
            <w:pPr>
              <w:spacing w:beforeLines="40" w:afterLines="40" w:line="240" w:lineRule="auto"/>
              <w:rPr>
                <w:smallCaps/>
                <w:sz w:val="20"/>
                <w:szCs w:val="24"/>
              </w:rPr>
            </w:pPr>
            <w:r w:rsidRPr="00F14F85">
              <w:rPr>
                <w:smallCaps/>
                <w:sz w:val="20"/>
              </w:rPr>
              <w:t>Spielraum</w:t>
            </w:r>
          </w:p>
        </w:tc>
        <w:tc>
          <w:tcPr>
            <w:tcW w:w="7479" w:type="dxa"/>
          </w:tcPr>
          <w:p w:rsidR="00587957" w:rsidRDefault="007A252D" w:rsidP="00044AF0">
            <w:pPr>
              <w:spacing w:beforeLines="40" w:afterLines="40" w:line="240" w:lineRule="auto"/>
              <w:jc w:val="left"/>
              <w:rPr>
                <w:sz w:val="18"/>
                <w:szCs w:val="18"/>
              </w:rPr>
            </w:pPr>
            <w:r w:rsidRPr="008C2878">
              <w:rPr>
                <w:rStyle w:val="SchwacherVerweis"/>
                <w:sz w:val="18"/>
                <w:szCs w:val="18"/>
              </w:rPr>
              <w:t>Wohnungsvergabestelle:</w:t>
            </w:r>
            <w:r w:rsidR="00A45D26" w:rsidRPr="008C2878">
              <w:rPr>
                <w:rStyle w:val="SchwacherVerweis"/>
                <w:sz w:val="18"/>
                <w:szCs w:val="18"/>
              </w:rPr>
              <w:t xml:space="preserve"> </w:t>
            </w:r>
            <w:r w:rsidRPr="008C2878">
              <w:rPr>
                <w:sz w:val="18"/>
                <w:szCs w:val="18"/>
              </w:rPr>
              <w:t>Eher wenig – die BeraterInnen haben denselben Information</w:t>
            </w:r>
            <w:r w:rsidRPr="008C2878">
              <w:rPr>
                <w:sz w:val="18"/>
                <w:szCs w:val="18"/>
              </w:rPr>
              <w:t>s</w:t>
            </w:r>
            <w:r w:rsidRPr="008C2878">
              <w:rPr>
                <w:sz w:val="18"/>
                <w:szCs w:val="18"/>
              </w:rPr>
              <w:t>stand wie die KundInnen (Internet)</w:t>
            </w:r>
          </w:p>
          <w:p w:rsidR="001E30B4" w:rsidRDefault="003D6C00" w:rsidP="00044AF0">
            <w:pPr>
              <w:spacing w:beforeLines="40" w:afterLines="40" w:line="240" w:lineRule="auto"/>
              <w:jc w:val="left"/>
              <w:rPr>
                <w:sz w:val="18"/>
                <w:szCs w:val="18"/>
              </w:rPr>
            </w:pPr>
            <w:r>
              <w:rPr>
                <w:rStyle w:val="SchwacherVerweis"/>
                <w:sz w:val="18"/>
                <w:szCs w:val="18"/>
              </w:rPr>
              <w:t>Wohnungslosenhilfe (WLH)</w:t>
            </w:r>
            <w:r w:rsidR="007A252D" w:rsidRPr="008C2878">
              <w:rPr>
                <w:rStyle w:val="SchwacherVerweis"/>
                <w:sz w:val="18"/>
                <w:szCs w:val="18"/>
              </w:rPr>
              <w:t>:</w:t>
            </w:r>
            <w:r w:rsidR="00A45D26" w:rsidRPr="008C2878">
              <w:rPr>
                <w:rStyle w:val="SchwacherVerweis"/>
                <w:sz w:val="18"/>
                <w:szCs w:val="18"/>
              </w:rPr>
              <w:t xml:space="preserve"> </w:t>
            </w:r>
            <w:r w:rsidR="007A252D" w:rsidRPr="008C2878">
              <w:rPr>
                <w:sz w:val="18"/>
                <w:szCs w:val="18"/>
              </w:rPr>
              <w:t>In dringlichen Fällen können Ausnahmen gemacht werden</w:t>
            </w:r>
          </w:p>
          <w:p w:rsidR="001E30B4" w:rsidRDefault="007A252D" w:rsidP="00044AF0">
            <w:pPr>
              <w:spacing w:beforeLines="40" w:afterLines="40" w:line="240" w:lineRule="auto"/>
              <w:jc w:val="left"/>
              <w:rPr>
                <w:sz w:val="18"/>
                <w:szCs w:val="18"/>
              </w:rPr>
            </w:pPr>
            <w:r w:rsidRPr="008C2878">
              <w:rPr>
                <w:rStyle w:val="SchwacherVerweis"/>
                <w:sz w:val="18"/>
                <w:szCs w:val="18"/>
              </w:rPr>
              <w:t>Bei gemeinnützigen Wohnbauträgern:</w:t>
            </w:r>
            <w:r w:rsidR="00A45D26" w:rsidRPr="008C2878">
              <w:rPr>
                <w:rStyle w:val="SchwacherVerweis"/>
                <w:sz w:val="18"/>
                <w:szCs w:val="18"/>
              </w:rPr>
              <w:t xml:space="preserve"> </w:t>
            </w:r>
            <w:r w:rsidRPr="008C2878">
              <w:rPr>
                <w:sz w:val="18"/>
                <w:szCs w:val="18"/>
              </w:rPr>
              <w:t>Ausschlaggebend sind alleine die Förderrichtlinien, Deutschkenntnisse sind irrelevant</w:t>
            </w:r>
          </w:p>
          <w:p w:rsidR="001E30B4" w:rsidRDefault="007A252D" w:rsidP="00044AF0">
            <w:pPr>
              <w:spacing w:beforeLines="40" w:afterLines="40" w:line="240" w:lineRule="auto"/>
              <w:jc w:val="left"/>
              <w:rPr>
                <w:sz w:val="18"/>
                <w:szCs w:val="18"/>
              </w:rPr>
            </w:pPr>
            <w:r w:rsidRPr="008C2878">
              <w:rPr>
                <w:rStyle w:val="SchwacherVerweis"/>
                <w:sz w:val="18"/>
                <w:szCs w:val="18"/>
              </w:rPr>
              <w:t>Beratung / Betreuung von MigrantInnen:</w:t>
            </w:r>
            <w:r w:rsidR="00A45D26" w:rsidRPr="008C2878">
              <w:rPr>
                <w:rStyle w:val="SchwacherVerweis"/>
                <w:sz w:val="18"/>
                <w:szCs w:val="18"/>
              </w:rPr>
              <w:t xml:space="preserve"> </w:t>
            </w:r>
            <w:r w:rsidRPr="008C2878">
              <w:rPr>
                <w:sz w:val="18"/>
                <w:szCs w:val="18"/>
              </w:rPr>
              <w:t>Keine fixen Regeln, sondern Vergabe auf der Grundlage des persönlichen Beratungsgesprächs</w:t>
            </w:r>
          </w:p>
        </w:tc>
      </w:tr>
      <w:tr w:rsidR="007A252D" w:rsidRPr="00DA5171" w:rsidTr="00F14F85">
        <w:tc>
          <w:tcPr>
            <w:tcW w:w="1809" w:type="dxa"/>
          </w:tcPr>
          <w:p w:rsidR="00587957" w:rsidRDefault="007A252D" w:rsidP="00044AF0">
            <w:pPr>
              <w:spacing w:beforeLines="40" w:afterLines="40" w:line="240" w:lineRule="auto"/>
              <w:rPr>
                <w:smallCaps/>
                <w:sz w:val="20"/>
                <w:szCs w:val="24"/>
              </w:rPr>
            </w:pPr>
            <w:r w:rsidRPr="00F14F85">
              <w:rPr>
                <w:smallCaps/>
                <w:sz w:val="20"/>
              </w:rPr>
              <w:t>Mitwirkung</w:t>
            </w:r>
          </w:p>
        </w:tc>
        <w:tc>
          <w:tcPr>
            <w:tcW w:w="7479" w:type="dxa"/>
          </w:tcPr>
          <w:p w:rsidR="00587957" w:rsidRDefault="007A252D" w:rsidP="00044AF0">
            <w:pPr>
              <w:spacing w:beforeLines="40" w:afterLines="40" w:line="240" w:lineRule="auto"/>
              <w:jc w:val="left"/>
              <w:rPr>
                <w:sz w:val="18"/>
                <w:szCs w:val="24"/>
              </w:rPr>
            </w:pPr>
            <w:r>
              <w:rPr>
                <w:sz w:val="18"/>
              </w:rPr>
              <w:t xml:space="preserve">Die </w:t>
            </w:r>
            <w:r w:rsidR="00AE3386">
              <w:rPr>
                <w:sz w:val="18"/>
              </w:rPr>
              <w:t xml:space="preserve">WohnungswerberInnen </w:t>
            </w:r>
            <w:r>
              <w:rPr>
                <w:sz w:val="18"/>
              </w:rPr>
              <w:t>haben direkten Zugriff zu allen relevanten Informationen und können auf dieser Grundlage bei der Auswahl von Wohnungen mitwirken</w:t>
            </w:r>
            <w:r w:rsidR="00AE3386">
              <w:rPr>
                <w:sz w:val="18"/>
              </w:rPr>
              <w:t>; Wünsche werden nach Möglichkeit berücksichtigt</w:t>
            </w:r>
          </w:p>
        </w:tc>
      </w:tr>
      <w:tr w:rsidR="007A252D" w:rsidRPr="00DA5171" w:rsidTr="00F14F85">
        <w:tc>
          <w:tcPr>
            <w:tcW w:w="1809" w:type="dxa"/>
          </w:tcPr>
          <w:p w:rsidR="00587957" w:rsidRDefault="007A252D" w:rsidP="00044AF0">
            <w:pPr>
              <w:spacing w:beforeLines="40" w:afterLines="40" w:line="240" w:lineRule="auto"/>
              <w:rPr>
                <w:smallCaps/>
                <w:sz w:val="20"/>
                <w:szCs w:val="24"/>
              </w:rPr>
            </w:pPr>
            <w:r w:rsidRPr="00F14F85">
              <w:rPr>
                <w:smallCaps/>
                <w:sz w:val="20"/>
              </w:rPr>
              <w:t>Zugang zu gefö</w:t>
            </w:r>
            <w:r w:rsidRPr="00F14F85">
              <w:rPr>
                <w:smallCaps/>
                <w:sz w:val="20"/>
              </w:rPr>
              <w:t>r</w:t>
            </w:r>
            <w:r w:rsidRPr="00F14F85">
              <w:rPr>
                <w:smallCaps/>
                <w:sz w:val="20"/>
              </w:rPr>
              <w:t>dertem Wohneige</w:t>
            </w:r>
            <w:r w:rsidRPr="00F14F85">
              <w:rPr>
                <w:smallCaps/>
                <w:sz w:val="20"/>
              </w:rPr>
              <w:t>n</w:t>
            </w:r>
            <w:r w:rsidRPr="00F14F85">
              <w:rPr>
                <w:smallCaps/>
                <w:sz w:val="20"/>
              </w:rPr>
              <w:t>tum</w:t>
            </w:r>
          </w:p>
        </w:tc>
        <w:tc>
          <w:tcPr>
            <w:tcW w:w="7479" w:type="dxa"/>
          </w:tcPr>
          <w:p w:rsidR="002809A5" w:rsidRDefault="00A45D26" w:rsidP="00044AF0">
            <w:pPr>
              <w:spacing w:beforeLines="40" w:afterLines="40" w:line="240" w:lineRule="auto"/>
              <w:jc w:val="left"/>
              <w:rPr>
                <w:sz w:val="18"/>
                <w:szCs w:val="24"/>
              </w:rPr>
            </w:pPr>
            <w:r>
              <w:rPr>
                <w:sz w:val="18"/>
              </w:rPr>
              <w:t>E</w:t>
            </w:r>
            <w:r w:rsidR="00AE3386">
              <w:rPr>
                <w:sz w:val="18"/>
              </w:rPr>
              <w:t>ingeschränkt</w:t>
            </w:r>
            <w:r w:rsidR="002809A5">
              <w:rPr>
                <w:sz w:val="18"/>
              </w:rPr>
              <w:t>, abhängig von einer positiven Entscheidung durch die Grundverkehr</w:t>
            </w:r>
            <w:r w:rsidR="002809A5">
              <w:rPr>
                <w:sz w:val="18"/>
              </w:rPr>
              <w:t>s</w:t>
            </w:r>
            <w:r w:rsidR="002809A5">
              <w:rPr>
                <w:sz w:val="18"/>
              </w:rPr>
              <w:t>kommission; eine Genehmigung kann dann erteilt werden, wenn das Erwerbsobjekt der Befriedigung des persönlichen Wohnbedürfnisses der antragstellenden Person dienen soll.</w:t>
            </w:r>
            <w:r w:rsidR="00035464">
              <w:rPr>
                <w:sz w:val="18"/>
              </w:rPr>
              <w:t xml:space="preserve"> </w:t>
            </w:r>
            <w:r w:rsidR="002809A5">
              <w:rPr>
                <w:sz w:val="18"/>
              </w:rPr>
              <w:t>Bei Mietwohnungen mit Eigentumsoption ist eine Umwandlung in Wohneigentum nach einer Nutzungszeit von 10 Jahren möglich.</w:t>
            </w:r>
          </w:p>
        </w:tc>
      </w:tr>
      <w:tr w:rsidR="007A252D" w:rsidRPr="00DA5171" w:rsidTr="00F14F85">
        <w:tc>
          <w:tcPr>
            <w:tcW w:w="1809" w:type="dxa"/>
          </w:tcPr>
          <w:p w:rsidR="00587957" w:rsidRDefault="007A252D" w:rsidP="00044AF0">
            <w:pPr>
              <w:spacing w:beforeLines="40" w:afterLines="40" w:line="240" w:lineRule="auto"/>
              <w:rPr>
                <w:smallCaps/>
                <w:sz w:val="20"/>
                <w:szCs w:val="24"/>
              </w:rPr>
            </w:pPr>
            <w:r w:rsidRPr="00F14F85">
              <w:rPr>
                <w:smallCaps/>
                <w:sz w:val="20"/>
              </w:rPr>
              <w:t>Leitlinien für die Vergabe</w:t>
            </w:r>
          </w:p>
        </w:tc>
        <w:tc>
          <w:tcPr>
            <w:tcW w:w="7479" w:type="dxa"/>
          </w:tcPr>
          <w:p w:rsidR="00587957" w:rsidRDefault="007A252D" w:rsidP="00044AF0">
            <w:pPr>
              <w:spacing w:beforeLines="40" w:afterLines="40" w:line="240" w:lineRule="auto"/>
              <w:jc w:val="left"/>
              <w:rPr>
                <w:sz w:val="18"/>
                <w:szCs w:val="18"/>
              </w:rPr>
            </w:pPr>
            <w:r w:rsidRPr="008C2878">
              <w:rPr>
                <w:rStyle w:val="SchwacherVerweis"/>
                <w:sz w:val="18"/>
                <w:szCs w:val="18"/>
              </w:rPr>
              <w:t>Wohnungsvergabestelle</w:t>
            </w:r>
            <w:r w:rsidR="00A45D26" w:rsidRPr="008C2878">
              <w:rPr>
                <w:rStyle w:val="SchwacherVerweis"/>
                <w:sz w:val="18"/>
                <w:szCs w:val="18"/>
              </w:rPr>
              <w:t xml:space="preserve">: </w:t>
            </w:r>
            <w:r w:rsidRPr="008C2878">
              <w:rPr>
                <w:sz w:val="18"/>
                <w:szCs w:val="18"/>
                <w:lang w:val="de-AT"/>
              </w:rPr>
              <w:t>In Wien funktioniert Gleichbehandlung sehr gut, die Frage ist eher, dass es budgetbedingt zu wenige Wohnungen gibt</w:t>
            </w:r>
            <w:r w:rsidR="00A45D26" w:rsidRPr="008C2878">
              <w:rPr>
                <w:sz w:val="18"/>
                <w:szCs w:val="18"/>
                <w:lang w:val="de-AT"/>
              </w:rPr>
              <w:t xml:space="preserve">. </w:t>
            </w:r>
            <w:r w:rsidRPr="008C2878">
              <w:rPr>
                <w:sz w:val="18"/>
                <w:szCs w:val="18"/>
                <w:lang w:val="de-AT"/>
              </w:rPr>
              <w:t>Die Durchmischung ist wichtig; hohe Anteile einer ethnischen Gruppe in einem Bezirk führ</w:t>
            </w:r>
            <w:r w:rsidR="00AE3386" w:rsidRPr="008C2878">
              <w:rPr>
                <w:sz w:val="18"/>
                <w:szCs w:val="18"/>
                <w:lang w:val="de-AT"/>
              </w:rPr>
              <w:t>en</w:t>
            </w:r>
            <w:r w:rsidRPr="008C2878">
              <w:rPr>
                <w:sz w:val="18"/>
                <w:szCs w:val="18"/>
                <w:lang w:val="de-AT"/>
              </w:rPr>
              <w:t xml:space="preserve"> zu Problemen im Zusa</w:t>
            </w:r>
            <w:r w:rsidRPr="008C2878">
              <w:rPr>
                <w:sz w:val="18"/>
                <w:szCs w:val="18"/>
                <w:lang w:val="de-AT"/>
              </w:rPr>
              <w:t>m</w:t>
            </w:r>
            <w:r w:rsidRPr="008C2878">
              <w:rPr>
                <w:sz w:val="18"/>
                <w:szCs w:val="18"/>
                <w:lang w:val="de-AT"/>
              </w:rPr>
              <w:t>menleben</w:t>
            </w:r>
          </w:p>
          <w:p w:rsidR="001E30B4" w:rsidRDefault="007A252D" w:rsidP="00044AF0">
            <w:pPr>
              <w:spacing w:beforeLines="40" w:afterLines="40" w:line="240" w:lineRule="auto"/>
              <w:jc w:val="left"/>
              <w:rPr>
                <w:sz w:val="18"/>
                <w:szCs w:val="18"/>
                <w:lang w:val="de-AT"/>
              </w:rPr>
            </w:pPr>
            <w:r w:rsidRPr="008C2878">
              <w:rPr>
                <w:rStyle w:val="SchwacherVerweis"/>
                <w:sz w:val="18"/>
                <w:szCs w:val="18"/>
              </w:rPr>
              <w:t>Soziale Wohnungsvergabe:</w:t>
            </w:r>
            <w:r w:rsidR="00A45D26" w:rsidRPr="008C2878">
              <w:rPr>
                <w:rStyle w:val="SchwacherVerweis"/>
                <w:sz w:val="18"/>
                <w:szCs w:val="18"/>
              </w:rPr>
              <w:t xml:space="preserve"> </w:t>
            </w:r>
            <w:r w:rsidRPr="008C2878">
              <w:rPr>
                <w:sz w:val="18"/>
                <w:szCs w:val="18"/>
                <w:lang w:val="de-AT"/>
              </w:rPr>
              <w:t>Alle werden gleichbehandelt – nach den Kriterien; die Mitgli</w:t>
            </w:r>
            <w:r w:rsidRPr="008C2878">
              <w:rPr>
                <w:sz w:val="18"/>
                <w:szCs w:val="18"/>
                <w:lang w:val="de-AT"/>
              </w:rPr>
              <w:t>e</w:t>
            </w:r>
            <w:r w:rsidRPr="008C2878">
              <w:rPr>
                <w:sz w:val="18"/>
                <w:szCs w:val="18"/>
                <w:lang w:val="de-AT"/>
              </w:rPr>
              <w:t>der der Entscheidungskommission wissen gar nicht, welche Staatsbürgerschaft die Wo</w:t>
            </w:r>
            <w:r w:rsidRPr="008C2878">
              <w:rPr>
                <w:sz w:val="18"/>
                <w:szCs w:val="18"/>
                <w:lang w:val="de-AT"/>
              </w:rPr>
              <w:t>h</w:t>
            </w:r>
            <w:r w:rsidRPr="008C2878">
              <w:rPr>
                <w:sz w:val="18"/>
                <w:szCs w:val="18"/>
                <w:lang w:val="de-AT"/>
              </w:rPr>
              <w:t>nungswerberInnen haben</w:t>
            </w:r>
          </w:p>
          <w:p w:rsidR="001E30B4" w:rsidRDefault="007A252D" w:rsidP="00044AF0">
            <w:pPr>
              <w:spacing w:beforeLines="40" w:afterLines="40" w:line="240" w:lineRule="auto"/>
              <w:jc w:val="left"/>
              <w:rPr>
                <w:sz w:val="18"/>
                <w:szCs w:val="18"/>
              </w:rPr>
            </w:pPr>
            <w:r w:rsidRPr="008C2878">
              <w:rPr>
                <w:rStyle w:val="SchwacherVerweis"/>
                <w:sz w:val="18"/>
                <w:szCs w:val="18"/>
              </w:rPr>
              <w:t>Bei gemeinnützigen Wohnbauträgern:</w:t>
            </w:r>
            <w:r w:rsidR="00A45D26" w:rsidRPr="008C2878">
              <w:rPr>
                <w:rStyle w:val="SchwacherVerweis"/>
                <w:sz w:val="18"/>
                <w:szCs w:val="18"/>
              </w:rPr>
              <w:t xml:space="preserve"> </w:t>
            </w:r>
            <w:r w:rsidRPr="008C2878">
              <w:rPr>
                <w:sz w:val="18"/>
                <w:szCs w:val="18"/>
              </w:rPr>
              <w:t xml:space="preserve">Es gibt keine Leitlinien für die Behandlung von nicht österreichischen StaatsbürgerInnen, ausschlaggebend ist, ob jemand den gesetzlichen Vergaberichtlinien entspricht (z.B. Alters- und Einkommensgrenzen), dann kann sich jemand anmelden. </w:t>
            </w:r>
          </w:p>
        </w:tc>
      </w:tr>
      <w:tr w:rsidR="007A252D" w:rsidRPr="00DA5171" w:rsidTr="00F14F85">
        <w:tc>
          <w:tcPr>
            <w:tcW w:w="1809" w:type="dxa"/>
          </w:tcPr>
          <w:p w:rsidR="00587957" w:rsidRDefault="007A252D" w:rsidP="00044AF0">
            <w:pPr>
              <w:spacing w:beforeLines="40" w:afterLines="40" w:line="240" w:lineRule="auto"/>
              <w:rPr>
                <w:smallCaps/>
                <w:sz w:val="20"/>
                <w:szCs w:val="24"/>
              </w:rPr>
            </w:pPr>
            <w:r w:rsidRPr="00F14F85">
              <w:rPr>
                <w:smallCaps/>
                <w:sz w:val="20"/>
              </w:rPr>
              <w:lastRenderedPageBreak/>
              <w:t>Trends, Vorha</w:t>
            </w:r>
            <w:r w:rsidR="00035464">
              <w:rPr>
                <w:smallCaps/>
                <w:sz w:val="20"/>
              </w:rPr>
              <w:t>ben und</w:t>
            </w:r>
            <w:r w:rsidRPr="00F14F85">
              <w:rPr>
                <w:smallCaps/>
                <w:sz w:val="20"/>
              </w:rPr>
              <w:t xml:space="preserve"> Bedarfspe</w:t>
            </w:r>
            <w:r w:rsidRPr="00F14F85">
              <w:rPr>
                <w:smallCaps/>
                <w:sz w:val="20"/>
              </w:rPr>
              <w:t>r</w:t>
            </w:r>
            <w:r w:rsidRPr="00F14F85">
              <w:rPr>
                <w:smallCaps/>
                <w:sz w:val="20"/>
              </w:rPr>
              <w:t>spektiven</w:t>
            </w:r>
          </w:p>
        </w:tc>
        <w:tc>
          <w:tcPr>
            <w:tcW w:w="7479" w:type="dxa"/>
          </w:tcPr>
          <w:p w:rsidR="00587957" w:rsidRDefault="007A252D" w:rsidP="00044AF0">
            <w:pPr>
              <w:spacing w:beforeLines="40" w:afterLines="40" w:line="240" w:lineRule="auto"/>
              <w:jc w:val="left"/>
              <w:rPr>
                <w:sz w:val="18"/>
                <w:szCs w:val="18"/>
                <w:lang w:val="de-AT"/>
              </w:rPr>
            </w:pPr>
            <w:r w:rsidRPr="008C2878">
              <w:rPr>
                <w:rStyle w:val="SchwacherVerweis"/>
                <w:sz w:val="18"/>
                <w:szCs w:val="18"/>
              </w:rPr>
              <w:t>Soziale Wohnungsvergabe:</w:t>
            </w:r>
            <w:r w:rsidR="00A45D26" w:rsidRPr="008C2878">
              <w:rPr>
                <w:rStyle w:val="SchwacherVerweis"/>
                <w:sz w:val="18"/>
                <w:szCs w:val="18"/>
              </w:rPr>
              <w:t xml:space="preserve"> </w:t>
            </w:r>
            <w:r w:rsidRPr="008C2878">
              <w:rPr>
                <w:sz w:val="18"/>
                <w:szCs w:val="18"/>
                <w:lang w:val="de-AT"/>
              </w:rPr>
              <w:t>Problem ist, dass die S</w:t>
            </w:r>
            <w:r w:rsidR="002B46F4" w:rsidRPr="008C2878">
              <w:rPr>
                <w:sz w:val="18"/>
                <w:szCs w:val="18"/>
                <w:lang w:val="de-AT"/>
              </w:rPr>
              <w:t>tadt nach dem Start der Notfall</w:t>
            </w:r>
            <w:r w:rsidRPr="008C2878">
              <w:rPr>
                <w:sz w:val="18"/>
                <w:szCs w:val="18"/>
                <w:lang w:val="de-AT"/>
              </w:rPr>
              <w:t>wo</w:t>
            </w:r>
            <w:r w:rsidRPr="008C2878">
              <w:rPr>
                <w:sz w:val="18"/>
                <w:szCs w:val="18"/>
                <w:lang w:val="de-AT"/>
              </w:rPr>
              <w:t>h</w:t>
            </w:r>
            <w:r w:rsidRPr="008C2878">
              <w:rPr>
                <w:sz w:val="18"/>
                <w:szCs w:val="18"/>
                <w:lang w:val="de-AT"/>
              </w:rPr>
              <w:t>nungen relativ spät begleitende Maßnahmen im Gemeindebau gesetzt hat.</w:t>
            </w:r>
            <w:r w:rsidR="00AE3386" w:rsidRPr="008C2878">
              <w:rPr>
                <w:sz w:val="18"/>
                <w:szCs w:val="18"/>
                <w:lang w:val="de-AT"/>
              </w:rPr>
              <w:t xml:space="preserve"> </w:t>
            </w:r>
            <w:r w:rsidRPr="008C2878">
              <w:rPr>
                <w:sz w:val="18"/>
                <w:szCs w:val="18"/>
                <w:lang w:val="de-AT"/>
              </w:rPr>
              <w:t>In jedem Fall: Es müssen mehr leistbare Wohnungen gebaut werden, das bezieht sich auf alle Wo</w:t>
            </w:r>
            <w:r w:rsidRPr="008C2878">
              <w:rPr>
                <w:sz w:val="18"/>
                <w:szCs w:val="18"/>
                <w:lang w:val="de-AT"/>
              </w:rPr>
              <w:t>h</w:t>
            </w:r>
            <w:r w:rsidRPr="008C2878">
              <w:rPr>
                <w:sz w:val="18"/>
                <w:szCs w:val="18"/>
                <w:lang w:val="de-AT"/>
              </w:rPr>
              <w:t>nungswerberInnen</w:t>
            </w:r>
          </w:p>
          <w:p w:rsidR="001E30B4" w:rsidRDefault="007A252D" w:rsidP="00044AF0">
            <w:pPr>
              <w:spacing w:beforeLines="40" w:afterLines="40" w:line="240" w:lineRule="auto"/>
              <w:jc w:val="left"/>
              <w:rPr>
                <w:sz w:val="18"/>
                <w:szCs w:val="18"/>
              </w:rPr>
            </w:pPr>
            <w:r w:rsidRPr="008C2878">
              <w:rPr>
                <w:rStyle w:val="SchwacherVerweis"/>
                <w:sz w:val="18"/>
                <w:szCs w:val="18"/>
              </w:rPr>
              <w:t>WLH:</w:t>
            </w:r>
            <w:r w:rsidR="00A45D26" w:rsidRPr="008C2878">
              <w:rPr>
                <w:rStyle w:val="SchwacherVerweis"/>
                <w:sz w:val="18"/>
                <w:szCs w:val="18"/>
              </w:rPr>
              <w:t xml:space="preserve"> </w:t>
            </w:r>
            <w:r w:rsidRPr="008C2878">
              <w:rPr>
                <w:sz w:val="18"/>
                <w:szCs w:val="18"/>
                <w:lang w:val="de-AT"/>
              </w:rPr>
              <w:t>Flexibler Bauen; flexible Grundrisse; Möglichkeit, einzelne Zimmer zu den Wo</w:t>
            </w:r>
            <w:r w:rsidRPr="008C2878">
              <w:rPr>
                <w:sz w:val="18"/>
                <w:szCs w:val="18"/>
                <w:lang w:val="de-AT"/>
              </w:rPr>
              <w:t>h</w:t>
            </w:r>
            <w:r w:rsidRPr="008C2878">
              <w:rPr>
                <w:sz w:val="18"/>
                <w:szCs w:val="18"/>
                <w:lang w:val="de-AT"/>
              </w:rPr>
              <w:t>nungen dazu zu geben bzw. für andere Verwendungen (für Pflegepersonal) abzutrennen</w:t>
            </w:r>
          </w:p>
          <w:p w:rsidR="001E30B4" w:rsidRDefault="00F14F85" w:rsidP="00044AF0">
            <w:pPr>
              <w:spacing w:beforeLines="40" w:afterLines="40" w:line="240" w:lineRule="auto"/>
              <w:jc w:val="left"/>
              <w:rPr>
                <w:sz w:val="18"/>
                <w:szCs w:val="18"/>
              </w:rPr>
            </w:pPr>
            <w:r w:rsidRPr="008C2878">
              <w:rPr>
                <w:rStyle w:val="SchwacherVerweis"/>
                <w:sz w:val="18"/>
                <w:szCs w:val="18"/>
              </w:rPr>
              <w:t>gemeinnützige</w:t>
            </w:r>
            <w:r w:rsidR="007A252D" w:rsidRPr="008C2878">
              <w:rPr>
                <w:rStyle w:val="SchwacherVerweis"/>
                <w:sz w:val="18"/>
                <w:szCs w:val="18"/>
              </w:rPr>
              <w:t xml:space="preserve"> Wohnbauträger:</w:t>
            </w:r>
            <w:r w:rsidR="00A45D26" w:rsidRPr="008C2878">
              <w:rPr>
                <w:rStyle w:val="SchwacherVerweis"/>
                <w:sz w:val="18"/>
                <w:szCs w:val="18"/>
              </w:rPr>
              <w:t xml:space="preserve"> </w:t>
            </w:r>
            <w:r w:rsidR="007A252D" w:rsidRPr="008C2878">
              <w:rPr>
                <w:sz w:val="18"/>
                <w:szCs w:val="18"/>
              </w:rPr>
              <w:t xml:space="preserve">Gleichbehandlung am Wohnungsmarkt ist keine ethnische Frage sondern eine soziale. Was bräuchte es: </w:t>
            </w:r>
          </w:p>
          <w:p w:rsidR="001E30B4" w:rsidRDefault="007A252D" w:rsidP="00044AF0">
            <w:pPr>
              <w:numPr>
                <w:ilvl w:val="0"/>
                <w:numId w:val="10"/>
              </w:numPr>
              <w:tabs>
                <w:tab w:val="clear" w:pos="360"/>
                <w:tab w:val="num" w:pos="720"/>
              </w:tabs>
              <w:spacing w:beforeLines="40" w:afterLines="40" w:line="240" w:lineRule="auto"/>
              <w:ind w:left="720"/>
              <w:jc w:val="left"/>
              <w:rPr>
                <w:sz w:val="18"/>
                <w:szCs w:val="18"/>
              </w:rPr>
            </w:pPr>
            <w:r w:rsidRPr="008C2878">
              <w:rPr>
                <w:sz w:val="18"/>
                <w:szCs w:val="18"/>
              </w:rPr>
              <w:t>Günstige Wohnungen in einem Mix in einer Anlage: (für Wien) Superförd</w:t>
            </w:r>
            <w:r w:rsidRPr="008C2878">
              <w:rPr>
                <w:sz w:val="18"/>
                <w:szCs w:val="18"/>
              </w:rPr>
              <w:t>e</w:t>
            </w:r>
            <w:r w:rsidRPr="008C2878">
              <w:rPr>
                <w:sz w:val="18"/>
                <w:szCs w:val="18"/>
              </w:rPr>
              <w:t>rungswohnungen, freifinanziertes Eigentum, gefördertes Eigentum, Miete reine Miete, Superförderung, je nach Mix, öffne und schließe ich Türe für Nachfrag</w:t>
            </w:r>
            <w:r w:rsidRPr="008C2878">
              <w:rPr>
                <w:sz w:val="18"/>
                <w:szCs w:val="18"/>
              </w:rPr>
              <w:t>e</w:t>
            </w:r>
            <w:r w:rsidRPr="008C2878">
              <w:rPr>
                <w:sz w:val="18"/>
                <w:szCs w:val="18"/>
              </w:rPr>
              <w:t xml:space="preserve">modelle </w:t>
            </w:r>
          </w:p>
          <w:p w:rsidR="001E30B4" w:rsidRDefault="00153C28" w:rsidP="00044AF0">
            <w:pPr>
              <w:numPr>
                <w:ilvl w:val="0"/>
                <w:numId w:val="10"/>
              </w:numPr>
              <w:tabs>
                <w:tab w:val="clear" w:pos="360"/>
                <w:tab w:val="num" w:pos="720"/>
              </w:tabs>
              <w:spacing w:beforeLines="40" w:afterLines="40" w:line="240" w:lineRule="auto"/>
              <w:ind w:left="720"/>
              <w:jc w:val="left"/>
              <w:rPr>
                <w:sz w:val="18"/>
                <w:szCs w:val="18"/>
              </w:rPr>
            </w:pPr>
            <w:r w:rsidRPr="008C2878">
              <w:rPr>
                <w:sz w:val="18"/>
                <w:szCs w:val="18"/>
              </w:rPr>
              <w:t>Sozialer Mix in einer Anlage/ Nachbarschaft, den Wiener Weg weitergehen: „auch in Döbling gibt es 19.000 Gemeindewohnungen“</w:t>
            </w:r>
          </w:p>
          <w:p w:rsidR="001E30B4" w:rsidRDefault="00153C28" w:rsidP="00044AF0">
            <w:pPr>
              <w:numPr>
                <w:ilvl w:val="0"/>
                <w:numId w:val="10"/>
              </w:numPr>
              <w:tabs>
                <w:tab w:val="clear" w:pos="360"/>
                <w:tab w:val="num" w:pos="720"/>
              </w:tabs>
              <w:spacing w:beforeLines="40" w:afterLines="40" w:line="240" w:lineRule="auto"/>
              <w:ind w:left="720"/>
              <w:jc w:val="left"/>
              <w:rPr>
                <w:sz w:val="18"/>
                <w:szCs w:val="18"/>
              </w:rPr>
            </w:pPr>
            <w:r w:rsidRPr="008C2878">
              <w:rPr>
                <w:sz w:val="18"/>
                <w:szCs w:val="18"/>
              </w:rPr>
              <w:t>Mischen über die Rechtsform, nicht über die Vergabe: Zugang zu Wohnungen für Einkommensschwache regelt man über rechtliche Vorschriften</w:t>
            </w:r>
          </w:p>
          <w:p w:rsidR="001E30B4" w:rsidRDefault="00153C28" w:rsidP="00044AF0">
            <w:pPr>
              <w:numPr>
                <w:ilvl w:val="0"/>
                <w:numId w:val="10"/>
              </w:numPr>
              <w:tabs>
                <w:tab w:val="clear" w:pos="360"/>
                <w:tab w:val="num" w:pos="720"/>
              </w:tabs>
              <w:spacing w:beforeLines="40" w:afterLines="40" w:line="240" w:lineRule="auto"/>
              <w:ind w:left="720"/>
              <w:jc w:val="left"/>
              <w:rPr>
                <w:sz w:val="18"/>
                <w:szCs w:val="18"/>
              </w:rPr>
            </w:pPr>
            <w:r w:rsidRPr="008C2878">
              <w:rPr>
                <w:sz w:val="18"/>
                <w:szCs w:val="18"/>
              </w:rPr>
              <w:t>Günstige Grundstücke, um Anmietungskosten niedrig zu halten, eine Methode ist, Grundstücke für sozialen Wohnungsbau zu widmen</w:t>
            </w:r>
          </w:p>
          <w:p w:rsidR="001E30B4" w:rsidRDefault="00153C28" w:rsidP="00044AF0">
            <w:pPr>
              <w:numPr>
                <w:ilvl w:val="0"/>
                <w:numId w:val="10"/>
              </w:numPr>
              <w:tabs>
                <w:tab w:val="clear" w:pos="360"/>
                <w:tab w:val="num" w:pos="720"/>
              </w:tabs>
              <w:spacing w:beforeLines="40" w:afterLines="40" w:line="240" w:lineRule="auto"/>
              <w:ind w:left="720"/>
              <w:jc w:val="left"/>
              <w:rPr>
                <w:sz w:val="18"/>
                <w:szCs w:val="18"/>
              </w:rPr>
            </w:pPr>
            <w:r w:rsidRPr="008C2878">
              <w:rPr>
                <w:sz w:val="18"/>
                <w:szCs w:val="18"/>
              </w:rPr>
              <w:t>Befristungen abschaffen, Richtwertzins abschaffen bzw. wirksame Höchstgre</w:t>
            </w:r>
            <w:r w:rsidRPr="008C2878">
              <w:rPr>
                <w:sz w:val="18"/>
                <w:szCs w:val="18"/>
              </w:rPr>
              <w:t>n</w:t>
            </w:r>
            <w:r w:rsidRPr="008C2878">
              <w:rPr>
                <w:sz w:val="18"/>
                <w:szCs w:val="18"/>
              </w:rPr>
              <w:t>zen</w:t>
            </w:r>
          </w:p>
          <w:p w:rsidR="001E30B4" w:rsidRDefault="00153C28" w:rsidP="00044AF0">
            <w:pPr>
              <w:numPr>
                <w:ilvl w:val="0"/>
                <w:numId w:val="10"/>
              </w:numPr>
              <w:tabs>
                <w:tab w:val="clear" w:pos="360"/>
                <w:tab w:val="num" w:pos="720"/>
              </w:tabs>
              <w:spacing w:beforeLines="40" w:afterLines="40" w:line="240" w:lineRule="auto"/>
              <w:ind w:left="720"/>
              <w:jc w:val="left"/>
              <w:rPr>
                <w:sz w:val="18"/>
                <w:szCs w:val="18"/>
              </w:rPr>
            </w:pPr>
            <w:r w:rsidRPr="008C2878">
              <w:rPr>
                <w:sz w:val="18"/>
                <w:szCs w:val="18"/>
              </w:rPr>
              <w:t>Vorschlag: Wohnungskommission für Härtefälle, die auch Genossenschaftswo</w:t>
            </w:r>
            <w:r w:rsidRPr="008C2878">
              <w:rPr>
                <w:sz w:val="18"/>
                <w:szCs w:val="18"/>
              </w:rPr>
              <w:t>h</w:t>
            </w:r>
            <w:r w:rsidRPr="008C2878">
              <w:rPr>
                <w:sz w:val="18"/>
                <w:szCs w:val="18"/>
              </w:rPr>
              <w:t>nungen vergibt</w:t>
            </w:r>
          </w:p>
          <w:p w:rsidR="001E30B4" w:rsidRDefault="00153C28" w:rsidP="00044AF0">
            <w:pPr>
              <w:numPr>
                <w:ilvl w:val="0"/>
                <w:numId w:val="10"/>
              </w:numPr>
              <w:tabs>
                <w:tab w:val="clear" w:pos="360"/>
                <w:tab w:val="num" w:pos="720"/>
              </w:tabs>
              <w:spacing w:beforeLines="40" w:afterLines="40" w:line="240" w:lineRule="auto"/>
              <w:ind w:left="720"/>
              <w:jc w:val="left"/>
              <w:rPr>
                <w:sz w:val="18"/>
                <w:szCs w:val="18"/>
              </w:rPr>
            </w:pPr>
            <w:r w:rsidRPr="008C2878">
              <w:rPr>
                <w:sz w:val="18"/>
                <w:szCs w:val="18"/>
              </w:rPr>
              <w:t>Grundstücke und Wohnungen dem Marktmechanismus zu entziehen</w:t>
            </w:r>
          </w:p>
          <w:p w:rsidR="001E30B4" w:rsidRDefault="00153C28" w:rsidP="00044AF0">
            <w:pPr>
              <w:numPr>
                <w:ilvl w:val="0"/>
                <w:numId w:val="10"/>
              </w:numPr>
              <w:tabs>
                <w:tab w:val="clear" w:pos="360"/>
                <w:tab w:val="num" w:pos="720"/>
              </w:tabs>
              <w:spacing w:beforeLines="40" w:afterLines="40" w:line="240" w:lineRule="auto"/>
              <w:ind w:left="720"/>
              <w:jc w:val="left"/>
              <w:rPr>
                <w:sz w:val="18"/>
                <w:szCs w:val="18"/>
              </w:rPr>
            </w:pPr>
            <w:r w:rsidRPr="008C2878">
              <w:rPr>
                <w:sz w:val="18"/>
                <w:szCs w:val="18"/>
              </w:rPr>
              <w:t>Effizienz der Grundrisse, z.B.: Teilung der Zimmer möglich, wenn Kinder größer etc. niedrige Kosten, wenige m², abtrennbare Zimmer z.B.. für Wochenendv</w:t>
            </w:r>
            <w:r w:rsidRPr="008C2878">
              <w:rPr>
                <w:sz w:val="18"/>
                <w:szCs w:val="18"/>
              </w:rPr>
              <w:t>ä</w:t>
            </w:r>
            <w:r w:rsidRPr="008C2878">
              <w:rPr>
                <w:sz w:val="18"/>
                <w:szCs w:val="18"/>
              </w:rPr>
              <w:t>ter, neue Familienverhältnisse müssen berücksichtigt werden</w:t>
            </w:r>
          </w:p>
          <w:p w:rsidR="001E30B4" w:rsidRDefault="00153C28" w:rsidP="00044AF0">
            <w:pPr>
              <w:numPr>
                <w:ilvl w:val="0"/>
                <w:numId w:val="10"/>
              </w:numPr>
              <w:tabs>
                <w:tab w:val="clear" w:pos="360"/>
                <w:tab w:val="num" w:pos="720"/>
              </w:tabs>
              <w:spacing w:beforeLines="40" w:afterLines="40" w:line="240" w:lineRule="auto"/>
              <w:ind w:left="720"/>
              <w:jc w:val="left"/>
              <w:rPr>
                <w:sz w:val="18"/>
                <w:szCs w:val="18"/>
              </w:rPr>
            </w:pPr>
            <w:r w:rsidRPr="008C2878">
              <w:rPr>
                <w:sz w:val="18"/>
                <w:szCs w:val="18"/>
              </w:rPr>
              <w:t>Kostengünstige Startwohnungen</w:t>
            </w:r>
          </w:p>
        </w:tc>
      </w:tr>
      <w:tr w:rsidR="007A252D" w:rsidRPr="008112B5" w:rsidTr="00153C28">
        <w:tc>
          <w:tcPr>
            <w:tcW w:w="1809" w:type="dxa"/>
          </w:tcPr>
          <w:p w:rsidR="00587957" w:rsidRDefault="007A252D" w:rsidP="00044AF0">
            <w:pPr>
              <w:spacing w:beforeLines="40" w:afterLines="40" w:line="240" w:lineRule="auto"/>
              <w:rPr>
                <w:smallCaps/>
                <w:sz w:val="20"/>
                <w:szCs w:val="24"/>
                <w:lang w:val="en-US"/>
              </w:rPr>
            </w:pPr>
            <w:r w:rsidRPr="00F14F85">
              <w:rPr>
                <w:smallCaps/>
                <w:sz w:val="20"/>
                <w:lang w:val="en-US"/>
              </w:rPr>
              <w:t>Models of good practice der Ve</w:t>
            </w:r>
            <w:r w:rsidRPr="00F14F85">
              <w:rPr>
                <w:smallCaps/>
                <w:sz w:val="20"/>
                <w:lang w:val="en-US"/>
              </w:rPr>
              <w:t>r</w:t>
            </w:r>
            <w:r w:rsidRPr="00F14F85">
              <w:rPr>
                <w:smallCaps/>
                <w:sz w:val="20"/>
                <w:lang w:val="en-US"/>
              </w:rPr>
              <w:t>gabe</w:t>
            </w:r>
          </w:p>
        </w:tc>
        <w:tc>
          <w:tcPr>
            <w:tcW w:w="7479" w:type="dxa"/>
          </w:tcPr>
          <w:p w:rsidR="00587957" w:rsidRDefault="007A252D" w:rsidP="00044AF0">
            <w:pPr>
              <w:spacing w:beforeLines="40" w:afterLines="40" w:line="240" w:lineRule="auto"/>
              <w:jc w:val="left"/>
              <w:rPr>
                <w:sz w:val="18"/>
                <w:szCs w:val="18"/>
              </w:rPr>
            </w:pPr>
            <w:r w:rsidRPr="008C2878">
              <w:rPr>
                <w:rStyle w:val="SchwacherVerweis"/>
                <w:sz w:val="18"/>
                <w:szCs w:val="18"/>
              </w:rPr>
              <w:t>Wohnungsvergabestelle:</w:t>
            </w:r>
            <w:r w:rsidR="00A45D26" w:rsidRPr="008C2878">
              <w:rPr>
                <w:rStyle w:val="SchwacherVerweis"/>
                <w:sz w:val="18"/>
                <w:szCs w:val="18"/>
              </w:rPr>
              <w:t xml:space="preserve"> </w:t>
            </w:r>
            <w:r w:rsidRPr="008C2878">
              <w:rPr>
                <w:sz w:val="18"/>
                <w:szCs w:val="18"/>
                <w:lang w:val="de-AT"/>
              </w:rPr>
              <w:t>Diversität der MitarbeiterInnen in der Beratung hat viele positive Auswirkungen</w:t>
            </w:r>
          </w:p>
          <w:p w:rsidR="001E30B4" w:rsidRDefault="007A252D" w:rsidP="00044AF0">
            <w:pPr>
              <w:spacing w:beforeLines="40" w:afterLines="40" w:line="240" w:lineRule="auto"/>
              <w:jc w:val="left"/>
              <w:rPr>
                <w:sz w:val="18"/>
                <w:szCs w:val="18"/>
                <w:lang w:val="de-AT"/>
              </w:rPr>
            </w:pPr>
            <w:r w:rsidRPr="008C2878">
              <w:rPr>
                <w:rStyle w:val="SchwacherVerweis"/>
                <w:sz w:val="18"/>
                <w:szCs w:val="18"/>
              </w:rPr>
              <w:t>Soziale Wohnungsvergabe:</w:t>
            </w:r>
            <w:r w:rsidR="00A45D26" w:rsidRPr="008C2878">
              <w:rPr>
                <w:rStyle w:val="SchwacherVerweis"/>
                <w:sz w:val="18"/>
                <w:szCs w:val="18"/>
              </w:rPr>
              <w:t xml:space="preserve"> </w:t>
            </w:r>
            <w:r w:rsidRPr="008C2878">
              <w:rPr>
                <w:sz w:val="18"/>
                <w:szCs w:val="18"/>
                <w:lang w:val="de-AT"/>
              </w:rPr>
              <w:t>Bei der Vergabe von Gemeindewohnungen wird darauf geac</w:t>
            </w:r>
            <w:r w:rsidRPr="008C2878">
              <w:rPr>
                <w:sz w:val="18"/>
                <w:szCs w:val="18"/>
                <w:lang w:val="de-AT"/>
              </w:rPr>
              <w:t>h</w:t>
            </w:r>
            <w:r w:rsidRPr="008C2878">
              <w:rPr>
                <w:sz w:val="18"/>
                <w:szCs w:val="18"/>
                <w:lang w:val="de-AT"/>
              </w:rPr>
              <w:t xml:space="preserve">tet, wie es um den Beratungs- und Unterstützungsbedarf steht; dabei geht es z.B. um Fragen der (Berufs)Bildung oder des Zugangs zu Erwerbstätigkeit etc., die im Vorfeld der Wohnungszuweisung zu klären wären. </w:t>
            </w:r>
          </w:p>
          <w:p w:rsidR="001E30B4" w:rsidRDefault="007A252D" w:rsidP="00044AF0">
            <w:pPr>
              <w:spacing w:beforeLines="40" w:afterLines="40" w:line="240" w:lineRule="auto"/>
              <w:jc w:val="left"/>
              <w:rPr>
                <w:sz w:val="18"/>
                <w:szCs w:val="18"/>
                <w:lang w:val="de-AT"/>
              </w:rPr>
            </w:pPr>
            <w:r w:rsidRPr="008C2878">
              <w:rPr>
                <w:sz w:val="18"/>
                <w:szCs w:val="18"/>
                <w:lang w:val="de-AT"/>
              </w:rPr>
              <w:t>Nachholbedarf besteht hinsichtlich Verbesserungen im Zusammenleben. Die Stadt hat viele Maßnahmen gesetzt, um Viertel und Grätzel zu verändern.</w:t>
            </w:r>
            <w:r w:rsidR="00A45D26" w:rsidRPr="008C2878">
              <w:rPr>
                <w:sz w:val="18"/>
                <w:szCs w:val="18"/>
                <w:lang w:val="de-AT"/>
              </w:rPr>
              <w:t xml:space="preserve"> </w:t>
            </w:r>
            <w:r w:rsidRPr="008C2878">
              <w:rPr>
                <w:sz w:val="18"/>
                <w:szCs w:val="18"/>
                <w:lang w:val="de-AT"/>
              </w:rPr>
              <w:t>Wichtig ist die soziale Mischung; die kann beispielsweise durch Sanierungsmaßnahmen, Dachbodenausbau, Lückenverbauung und gezielte bauliche bzw. ergänzende Maßnahmen verbessert we</w:t>
            </w:r>
            <w:r w:rsidRPr="008C2878">
              <w:rPr>
                <w:sz w:val="18"/>
                <w:szCs w:val="18"/>
                <w:lang w:val="de-AT"/>
              </w:rPr>
              <w:t>r</w:t>
            </w:r>
            <w:r w:rsidRPr="008C2878">
              <w:rPr>
                <w:sz w:val="18"/>
                <w:szCs w:val="18"/>
                <w:lang w:val="de-AT"/>
              </w:rPr>
              <w:t>den, um z.B. urbanere Schichten anzusprechen</w:t>
            </w:r>
          </w:p>
          <w:p w:rsidR="001E30B4" w:rsidRPr="00365EC6" w:rsidRDefault="007A252D" w:rsidP="00044AF0">
            <w:pPr>
              <w:spacing w:beforeLines="40" w:afterLines="40" w:line="240" w:lineRule="auto"/>
              <w:jc w:val="left"/>
              <w:rPr>
                <w:sz w:val="18"/>
                <w:szCs w:val="18"/>
              </w:rPr>
            </w:pPr>
            <w:r w:rsidRPr="008C2878">
              <w:rPr>
                <w:rStyle w:val="SchwacherVerweis"/>
                <w:sz w:val="18"/>
                <w:szCs w:val="18"/>
              </w:rPr>
              <w:t>WLH:</w:t>
            </w:r>
            <w:r w:rsidR="00A45D26" w:rsidRPr="008C2878">
              <w:rPr>
                <w:rStyle w:val="SchwacherVerweis"/>
                <w:sz w:val="18"/>
                <w:szCs w:val="18"/>
              </w:rPr>
              <w:t xml:space="preserve"> </w:t>
            </w:r>
            <w:r w:rsidRPr="008C2878">
              <w:rPr>
                <w:sz w:val="18"/>
                <w:szCs w:val="18"/>
                <w:lang w:val="de-AT"/>
              </w:rPr>
              <w:t>Die ersten 3 Jahre nach der Besiedlung sind die Wichtigsten – da braucht es Vo</w:t>
            </w:r>
            <w:r w:rsidRPr="008C2878">
              <w:rPr>
                <w:sz w:val="18"/>
                <w:szCs w:val="18"/>
                <w:lang w:val="de-AT"/>
              </w:rPr>
              <w:t>r</w:t>
            </w:r>
            <w:r w:rsidRPr="008C2878">
              <w:rPr>
                <w:sz w:val="18"/>
                <w:szCs w:val="18"/>
                <w:lang w:val="de-AT"/>
              </w:rPr>
              <w:t>sorgen</w:t>
            </w:r>
            <w:r w:rsidR="00A45D26" w:rsidRPr="008C2878">
              <w:rPr>
                <w:sz w:val="18"/>
                <w:szCs w:val="18"/>
                <w:lang w:val="de-AT"/>
              </w:rPr>
              <w:t xml:space="preserve">. </w:t>
            </w:r>
            <w:r w:rsidRPr="008C2878">
              <w:rPr>
                <w:sz w:val="18"/>
                <w:szCs w:val="18"/>
                <w:lang w:val="de-AT"/>
              </w:rPr>
              <w:t xml:space="preserve">Vorrangig ist dabei, dass bei wohnspezifischen Maßnahmen nicht von anderen Regelungs- und Unterstützungsbereichen wie Bildung, Gesundheit und sozialer Qualität des Zusammenlebens abgesehen wird. </w:t>
            </w:r>
          </w:p>
        </w:tc>
      </w:tr>
      <w:tr w:rsidR="007A252D" w:rsidRPr="00676F5D" w:rsidTr="00153C28">
        <w:tc>
          <w:tcPr>
            <w:tcW w:w="1809" w:type="dxa"/>
          </w:tcPr>
          <w:p w:rsidR="00587957" w:rsidRDefault="007A252D" w:rsidP="00044AF0">
            <w:pPr>
              <w:spacing w:beforeLines="40" w:afterLines="40" w:line="240" w:lineRule="auto"/>
              <w:rPr>
                <w:smallCaps/>
                <w:sz w:val="20"/>
                <w:szCs w:val="24"/>
                <w:lang w:val="en-US"/>
              </w:rPr>
            </w:pPr>
            <w:r w:rsidRPr="00F14F85">
              <w:rPr>
                <w:smallCaps/>
                <w:sz w:val="20"/>
                <w:lang w:val="en-US"/>
              </w:rPr>
              <w:t>Reflexion, Weite</w:t>
            </w:r>
            <w:r w:rsidRPr="00F14F85">
              <w:rPr>
                <w:smallCaps/>
                <w:sz w:val="20"/>
                <w:lang w:val="en-US"/>
              </w:rPr>
              <w:t>r</w:t>
            </w:r>
            <w:r w:rsidRPr="00F14F85">
              <w:rPr>
                <w:smallCaps/>
                <w:sz w:val="20"/>
                <w:lang w:val="en-US"/>
              </w:rPr>
              <w:t>bildung</w:t>
            </w:r>
          </w:p>
        </w:tc>
        <w:tc>
          <w:tcPr>
            <w:tcW w:w="7479" w:type="dxa"/>
          </w:tcPr>
          <w:p w:rsidR="00587957" w:rsidRDefault="007A252D" w:rsidP="00044AF0">
            <w:pPr>
              <w:spacing w:beforeLines="40" w:afterLines="40" w:line="240" w:lineRule="auto"/>
              <w:jc w:val="left"/>
              <w:rPr>
                <w:sz w:val="18"/>
                <w:szCs w:val="18"/>
                <w:lang w:val="de-AT"/>
              </w:rPr>
            </w:pPr>
            <w:r w:rsidRPr="008C2878">
              <w:rPr>
                <w:rStyle w:val="SchwacherVerweis"/>
                <w:sz w:val="18"/>
                <w:szCs w:val="18"/>
              </w:rPr>
              <w:t>Wohnungsvergabestelle:</w:t>
            </w:r>
            <w:r w:rsidR="00A45D26" w:rsidRPr="008C2878">
              <w:rPr>
                <w:rStyle w:val="SchwacherVerweis"/>
                <w:sz w:val="18"/>
                <w:szCs w:val="18"/>
              </w:rPr>
              <w:t xml:space="preserve"> </w:t>
            </w:r>
            <w:r w:rsidRPr="008C2878">
              <w:rPr>
                <w:sz w:val="18"/>
                <w:szCs w:val="18"/>
                <w:lang w:val="de-AT"/>
              </w:rPr>
              <w:t>Fortbildungsangebote durch die Verwaltungsakademie</w:t>
            </w:r>
          </w:p>
          <w:p w:rsidR="001E30B4" w:rsidRDefault="007A252D" w:rsidP="00044AF0">
            <w:pPr>
              <w:spacing w:beforeLines="40" w:afterLines="40" w:line="240" w:lineRule="auto"/>
              <w:jc w:val="left"/>
              <w:rPr>
                <w:sz w:val="18"/>
                <w:szCs w:val="18"/>
              </w:rPr>
            </w:pPr>
            <w:r w:rsidRPr="008C2878">
              <w:rPr>
                <w:rStyle w:val="SchwacherVerweis"/>
                <w:sz w:val="18"/>
                <w:szCs w:val="18"/>
              </w:rPr>
              <w:t>Aus der Sicht gemeinnütziger Wohnbauträger:</w:t>
            </w:r>
            <w:r w:rsidR="00A45D26" w:rsidRPr="008C2878">
              <w:rPr>
                <w:rStyle w:val="SchwacherVerweis"/>
                <w:sz w:val="18"/>
                <w:szCs w:val="18"/>
              </w:rPr>
              <w:t xml:space="preserve"> </w:t>
            </w:r>
            <w:r w:rsidRPr="008C2878">
              <w:rPr>
                <w:sz w:val="18"/>
                <w:szCs w:val="18"/>
              </w:rPr>
              <w:t>Fortbildungsangebote müssten verpflic</w:t>
            </w:r>
            <w:r w:rsidRPr="008C2878">
              <w:rPr>
                <w:sz w:val="18"/>
                <w:szCs w:val="18"/>
              </w:rPr>
              <w:t>h</w:t>
            </w:r>
            <w:r w:rsidRPr="008C2878">
              <w:rPr>
                <w:sz w:val="18"/>
                <w:szCs w:val="18"/>
              </w:rPr>
              <w:t>tend sein.</w:t>
            </w:r>
          </w:p>
          <w:p w:rsidR="001E30B4" w:rsidRDefault="007A252D" w:rsidP="00044AF0">
            <w:pPr>
              <w:spacing w:beforeLines="40" w:afterLines="40" w:line="240" w:lineRule="auto"/>
              <w:jc w:val="left"/>
              <w:rPr>
                <w:sz w:val="18"/>
                <w:szCs w:val="18"/>
                <w:lang w:val="de-AT"/>
              </w:rPr>
            </w:pPr>
            <w:r w:rsidRPr="008C2878">
              <w:rPr>
                <w:rStyle w:val="SchwacherVerweis"/>
                <w:sz w:val="18"/>
                <w:szCs w:val="18"/>
              </w:rPr>
              <w:t>Beratung / Betreuung von MigrantInnen:</w:t>
            </w:r>
            <w:r w:rsidR="00A45D26" w:rsidRPr="008C2878">
              <w:rPr>
                <w:rStyle w:val="SchwacherVerweis"/>
                <w:sz w:val="18"/>
                <w:szCs w:val="18"/>
              </w:rPr>
              <w:t xml:space="preserve"> </w:t>
            </w:r>
            <w:r w:rsidR="00365EC6">
              <w:rPr>
                <w:rStyle w:val="SchwacherVerweis"/>
                <w:sz w:val="18"/>
                <w:szCs w:val="18"/>
              </w:rPr>
              <w:t>„</w:t>
            </w:r>
            <w:r w:rsidRPr="008C2878">
              <w:rPr>
                <w:sz w:val="18"/>
                <w:szCs w:val="18"/>
              </w:rPr>
              <w:t>Wir machen regelmäßig Supervision und sehr viel Intervision auch.</w:t>
            </w:r>
            <w:r w:rsidR="00F14F85" w:rsidRPr="008C2878">
              <w:rPr>
                <w:sz w:val="18"/>
                <w:szCs w:val="18"/>
              </w:rPr>
              <w:t xml:space="preserve"> </w:t>
            </w:r>
            <w:r w:rsidRPr="008C2878">
              <w:rPr>
                <w:sz w:val="18"/>
                <w:szCs w:val="18"/>
              </w:rPr>
              <w:t xml:space="preserve">Strategieworkshop </w:t>
            </w:r>
            <w:r w:rsidR="002C3747" w:rsidRPr="008C2878">
              <w:rPr>
                <w:sz w:val="18"/>
                <w:szCs w:val="18"/>
              </w:rPr>
              <w:t xml:space="preserve">zum </w:t>
            </w:r>
            <w:r w:rsidRPr="008C2878">
              <w:rPr>
                <w:sz w:val="18"/>
                <w:szCs w:val="18"/>
              </w:rPr>
              <w:t xml:space="preserve">Thema Diversity. </w:t>
            </w:r>
            <w:r w:rsidR="002C3747" w:rsidRPr="008C2878">
              <w:rPr>
                <w:sz w:val="18"/>
                <w:szCs w:val="18"/>
              </w:rPr>
              <w:t xml:space="preserve">Da </w:t>
            </w:r>
            <w:r w:rsidRPr="008C2878">
              <w:rPr>
                <w:sz w:val="18"/>
                <w:szCs w:val="18"/>
              </w:rPr>
              <w:t xml:space="preserve">geht es auch um </w:t>
            </w:r>
            <w:r w:rsidR="002C3747" w:rsidRPr="008C2878">
              <w:rPr>
                <w:sz w:val="18"/>
                <w:szCs w:val="18"/>
              </w:rPr>
              <w:t xml:space="preserve">die Zusammensetzung in den Teams </w:t>
            </w:r>
            <w:r w:rsidRPr="008C2878">
              <w:rPr>
                <w:sz w:val="18"/>
                <w:szCs w:val="18"/>
              </w:rPr>
              <w:t>Wir haben MitarbeiterInnen aus Serbien, Kroatien und Bosnien, wir haben Türkische Mitarbeiter, Schwule und Heteros, Männer und Frauen - es ist eigentlich bunt gemischt. Das Kriterium ist aber nicht der Hintergrund sondern die Skills, die gerade gebraucht werden.</w:t>
            </w:r>
            <w:r w:rsidR="00365EC6">
              <w:rPr>
                <w:sz w:val="18"/>
                <w:szCs w:val="18"/>
              </w:rPr>
              <w:t>“</w:t>
            </w:r>
          </w:p>
        </w:tc>
      </w:tr>
    </w:tbl>
    <w:p w:rsidR="0058218F" w:rsidRDefault="0058218F" w:rsidP="007253E8"/>
    <w:p w:rsidR="007253E8" w:rsidRDefault="007253E8">
      <w:pPr>
        <w:spacing w:before="180" w:after="240" w:line="336" w:lineRule="auto"/>
        <w:jc w:val="center"/>
        <w:rPr>
          <w:b/>
          <w:bCs/>
          <w:i/>
          <w:iCs/>
          <w:color w:val="4F81BD" w:themeColor="accent1"/>
          <w:sz w:val="24"/>
        </w:rPr>
      </w:pPr>
    </w:p>
    <w:p w:rsidR="00F504A9" w:rsidRPr="00742B50" w:rsidRDefault="00F504A9" w:rsidP="000C3B44">
      <w:pPr>
        <w:pStyle w:val="IntensivesAnfhrungszeichen"/>
        <w:numPr>
          <w:ilvl w:val="0"/>
          <w:numId w:val="31"/>
        </w:numPr>
        <w:ind w:left="2268" w:hanging="972"/>
        <w:jc w:val="right"/>
        <w:rPr>
          <w:sz w:val="24"/>
        </w:rPr>
      </w:pPr>
      <w:r w:rsidRPr="00742B50">
        <w:rPr>
          <w:sz w:val="24"/>
        </w:rPr>
        <w:lastRenderedPageBreak/>
        <w:t xml:space="preserve">Gleichbehandlung </w:t>
      </w:r>
      <w:r w:rsidR="000C3B44">
        <w:rPr>
          <w:sz w:val="24"/>
        </w:rPr>
        <w:br/>
      </w:r>
      <w:r w:rsidRPr="00742B50">
        <w:rPr>
          <w:sz w:val="24"/>
        </w:rPr>
        <w:t>ein Thema für die Wo</w:t>
      </w:r>
      <w:r w:rsidR="00742B50" w:rsidRPr="00742B50">
        <w:rPr>
          <w:sz w:val="24"/>
        </w:rPr>
        <w:t xml:space="preserve">hnpolitik </w:t>
      </w:r>
    </w:p>
    <w:p w:rsidR="00742B50" w:rsidRPr="00742B50" w:rsidRDefault="00742B50" w:rsidP="00742B50"/>
    <w:p w:rsidR="00F504A9" w:rsidRDefault="000C3B44" w:rsidP="00E23216">
      <w:pPr>
        <w:pStyle w:val="berschrift3"/>
        <w:rPr>
          <w:lang w:eastAsia="en-US"/>
        </w:rPr>
      </w:pPr>
      <w:r>
        <w:rPr>
          <w:lang w:eastAsia="en-US"/>
        </w:rPr>
        <w:t>1.1</w:t>
      </w:r>
      <w:r>
        <w:rPr>
          <w:lang w:eastAsia="en-US"/>
        </w:rPr>
        <w:tab/>
      </w:r>
      <w:r w:rsidR="00F504A9">
        <w:rPr>
          <w:lang w:eastAsia="en-US"/>
        </w:rPr>
        <w:t>Anmerkungen zur Ausgangssituation</w:t>
      </w:r>
      <w:r w:rsidR="00475336">
        <w:rPr>
          <w:lang w:eastAsia="en-US"/>
        </w:rPr>
        <w:br/>
      </w:r>
    </w:p>
    <w:p w:rsidR="003501F0" w:rsidRDefault="00E56637" w:rsidP="006007C8">
      <w:pPr>
        <w:rPr>
          <w:lang w:val="de-AT" w:eastAsia="en-US"/>
        </w:rPr>
      </w:pPr>
      <w:r>
        <w:rPr>
          <w:lang w:val="de-AT" w:eastAsia="en-US"/>
        </w:rPr>
        <w:t xml:space="preserve">Das </w:t>
      </w:r>
      <w:r w:rsidR="006007C8">
        <w:rPr>
          <w:lang w:val="de-AT" w:eastAsia="en-US"/>
        </w:rPr>
        <w:t>Österreichische Modell der sozialen Wohnpolitik</w:t>
      </w:r>
      <w:r>
        <w:rPr>
          <w:lang w:val="de-AT" w:eastAsia="en-US"/>
        </w:rPr>
        <w:t xml:space="preserve"> zeichnet sich vor allem durch den wei</w:t>
      </w:r>
      <w:r>
        <w:rPr>
          <w:lang w:val="de-AT" w:eastAsia="en-US"/>
        </w:rPr>
        <w:t>t</w:t>
      </w:r>
      <w:r>
        <w:rPr>
          <w:lang w:val="de-AT" w:eastAsia="en-US"/>
        </w:rPr>
        <w:t xml:space="preserve">gehenden Verzicht auf eine armutspolitische Schwerpunktsetzung aus. </w:t>
      </w:r>
      <w:r w:rsidR="00365EC6">
        <w:rPr>
          <w:lang w:val="de-AT" w:eastAsia="en-US"/>
        </w:rPr>
        <w:t xml:space="preserve">Mit </w:t>
      </w:r>
      <w:r>
        <w:rPr>
          <w:lang w:val="de-AT" w:eastAsia="en-US"/>
        </w:rPr>
        <w:t xml:space="preserve">den Mitteln der Wohnbauförderung </w:t>
      </w:r>
      <w:r w:rsidR="00365EC6">
        <w:rPr>
          <w:lang w:val="de-AT" w:eastAsia="en-US"/>
        </w:rPr>
        <w:t xml:space="preserve">sollen </w:t>
      </w:r>
      <w:r>
        <w:rPr>
          <w:lang w:val="de-AT" w:eastAsia="en-US"/>
        </w:rPr>
        <w:t>einerseits die Wohnversorgung breiter Bevölkerungskreise gewäh</w:t>
      </w:r>
      <w:r>
        <w:rPr>
          <w:lang w:val="de-AT" w:eastAsia="en-US"/>
        </w:rPr>
        <w:t>r</w:t>
      </w:r>
      <w:r>
        <w:rPr>
          <w:lang w:val="de-AT" w:eastAsia="en-US"/>
        </w:rPr>
        <w:t>leistet und andererseits ein hohes qualitatives Niveau der Wohnangebote erreicht werden. Im Unterschied zu anderen wohnpolitischen Modellen mit ausgeprägtem Fokus auf die Wohnversorgung von Armutshaushalten (z.B. Großbritannien)</w:t>
      </w:r>
      <w:r>
        <w:rPr>
          <w:rStyle w:val="Funotenzeichen"/>
          <w:lang w:val="de-AT" w:eastAsia="en-US"/>
        </w:rPr>
        <w:footnoteReference w:id="8"/>
      </w:r>
      <w:r>
        <w:rPr>
          <w:lang w:val="de-AT" w:eastAsia="en-US"/>
        </w:rPr>
        <w:t xml:space="preserve"> </w:t>
      </w:r>
      <w:r w:rsidR="003501F0">
        <w:rPr>
          <w:lang w:val="de-AT" w:eastAsia="en-US"/>
        </w:rPr>
        <w:t>wird in Österreich auch die Schaffung von Wohneigentum durch Mittelschichtshaushalte gefördert. Grundsätzlich können solcherart folgende Erfolgsfaktoren festgestellt werden:</w:t>
      </w:r>
    </w:p>
    <w:p w:rsidR="00153C28" w:rsidRDefault="003501F0">
      <w:pPr>
        <w:pStyle w:val="Aufzhlungszeichen"/>
        <w:tabs>
          <w:tab w:val="clear" w:pos="360"/>
          <w:tab w:val="num" w:pos="1068"/>
        </w:tabs>
        <w:ind w:left="1068"/>
        <w:rPr>
          <w:lang w:val="de-AT" w:eastAsia="en-US"/>
        </w:rPr>
      </w:pPr>
      <w:r>
        <w:rPr>
          <w:lang w:val="de-AT" w:eastAsia="en-US"/>
        </w:rPr>
        <w:t>breite Akzeptanz der Wohnbauförderung in der Bevölkerung</w:t>
      </w:r>
    </w:p>
    <w:p w:rsidR="00153C28" w:rsidRDefault="003501F0">
      <w:pPr>
        <w:pStyle w:val="Aufzhlungszeichen"/>
        <w:tabs>
          <w:tab w:val="clear" w:pos="360"/>
          <w:tab w:val="num" w:pos="1068"/>
        </w:tabs>
        <w:ind w:left="1068"/>
        <w:rPr>
          <w:lang w:val="de-AT" w:eastAsia="en-US"/>
        </w:rPr>
      </w:pPr>
      <w:r>
        <w:rPr>
          <w:lang w:val="de-AT" w:eastAsia="en-US"/>
        </w:rPr>
        <w:t>Versorgung breiter Teile der Bevölkerung</w:t>
      </w:r>
      <w:r w:rsidR="00E56637">
        <w:rPr>
          <w:lang w:val="de-AT" w:eastAsia="en-US"/>
        </w:rPr>
        <w:t xml:space="preserve"> </w:t>
      </w:r>
      <w:r>
        <w:rPr>
          <w:lang w:val="de-AT" w:eastAsia="en-US"/>
        </w:rPr>
        <w:t>mit qualitativ hochstehenden Wohnu</w:t>
      </w:r>
      <w:r>
        <w:rPr>
          <w:lang w:val="de-AT" w:eastAsia="en-US"/>
        </w:rPr>
        <w:t>n</w:t>
      </w:r>
      <w:r>
        <w:rPr>
          <w:lang w:val="de-AT" w:eastAsia="en-US"/>
        </w:rPr>
        <w:t>gen</w:t>
      </w:r>
    </w:p>
    <w:p w:rsidR="00153C28" w:rsidRDefault="003501F0">
      <w:pPr>
        <w:pStyle w:val="Aufzhlungszeichen"/>
        <w:tabs>
          <w:tab w:val="clear" w:pos="360"/>
          <w:tab w:val="num" w:pos="1068"/>
        </w:tabs>
        <w:ind w:left="1068"/>
        <w:rPr>
          <w:lang w:val="de-AT" w:eastAsia="en-US"/>
        </w:rPr>
      </w:pPr>
      <w:r>
        <w:rPr>
          <w:lang w:val="de-AT" w:eastAsia="en-US"/>
        </w:rPr>
        <w:t>erfolgreiche Umsetzung von ökologischen und klimaschutztechnischen Innovati</w:t>
      </w:r>
      <w:r>
        <w:rPr>
          <w:lang w:val="de-AT" w:eastAsia="en-US"/>
        </w:rPr>
        <w:t>o</w:t>
      </w:r>
      <w:r>
        <w:rPr>
          <w:lang w:val="de-AT" w:eastAsia="en-US"/>
        </w:rPr>
        <w:t xml:space="preserve">nen </w:t>
      </w:r>
    </w:p>
    <w:p w:rsidR="003501F0" w:rsidRDefault="003501F0" w:rsidP="006007C8">
      <w:pPr>
        <w:rPr>
          <w:lang w:val="de-AT" w:eastAsia="en-US"/>
        </w:rPr>
      </w:pPr>
      <w:r>
        <w:rPr>
          <w:lang w:val="de-AT" w:eastAsia="en-US"/>
        </w:rPr>
        <w:t>Auf der anderen Seite hat diese tendenziell unspezifische Ausrichtung der österreichischen Wohnpolitik dazu geführt, dass die Armutsbevölkerung nur unzureichend von diesem ‚E</w:t>
      </w:r>
      <w:r>
        <w:rPr>
          <w:lang w:val="de-AT" w:eastAsia="en-US"/>
        </w:rPr>
        <w:t>r</w:t>
      </w:r>
      <w:r>
        <w:rPr>
          <w:lang w:val="de-AT" w:eastAsia="en-US"/>
        </w:rPr>
        <w:t xml:space="preserve">folgsmodell‘ profitieren </w:t>
      </w:r>
      <w:r w:rsidR="00F63986">
        <w:rPr>
          <w:lang w:val="de-AT" w:eastAsia="en-US"/>
        </w:rPr>
        <w:t>kann</w:t>
      </w:r>
      <w:r>
        <w:rPr>
          <w:lang w:val="de-AT" w:eastAsia="en-US"/>
        </w:rPr>
        <w:t>.</w:t>
      </w:r>
      <w:r w:rsidR="00F63986">
        <w:rPr>
          <w:rStyle w:val="Funotenzeichen"/>
          <w:lang w:val="de-AT" w:eastAsia="en-US"/>
        </w:rPr>
        <w:footnoteReference w:id="9"/>
      </w:r>
      <w:r>
        <w:rPr>
          <w:lang w:val="de-AT" w:eastAsia="en-US"/>
        </w:rPr>
        <w:t xml:space="preserve"> </w:t>
      </w:r>
      <w:r w:rsidR="00F63986">
        <w:rPr>
          <w:lang w:val="de-AT" w:eastAsia="en-US"/>
        </w:rPr>
        <w:t>Armutshaushalte</w:t>
      </w:r>
      <w:r>
        <w:rPr>
          <w:lang w:val="de-AT" w:eastAsia="en-US"/>
        </w:rPr>
        <w:t xml:space="preserve"> sind (länderweise unterschiedlich</w:t>
      </w:r>
      <w:r w:rsidR="00F63986">
        <w:rPr>
          <w:lang w:val="de-AT" w:eastAsia="en-US"/>
        </w:rPr>
        <w:t xml:space="preserve"> ausg</w:t>
      </w:r>
      <w:r w:rsidR="00F63986">
        <w:rPr>
          <w:lang w:val="de-AT" w:eastAsia="en-US"/>
        </w:rPr>
        <w:t>e</w:t>
      </w:r>
      <w:r w:rsidR="00F63986">
        <w:rPr>
          <w:lang w:val="de-AT" w:eastAsia="en-US"/>
        </w:rPr>
        <w:t>prägt</w:t>
      </w:r>
      <w:r>
        <w:rPr>
          <w:lang w:val="de-AT" w:eastAsia="en-US"/>
        </w:rPr>
        <w:t xml:space="preserve">) damit konfrontiert, dass </w:t>
      </w:r>
    </w:p>
    <w:p w:rsidR="00153C28" w:rsidRDefault="003501F0">
      <w:pPr>
        <w:pStyle w:val="Aufzhlungszeichen"/>
        <w:tabs>
          <w:tab w:val="clear" w:pos="360"/>
          <w:tab w:val="num" w:pos="1068"/>
        </w:tabs>
        <w:ind w:left="1068"/>
        <w:rPr>
          <w:lang w:val="de-AT" w:eastAsia="en-US"/>
        </w:rPr>
      </w:pPr>
      <w:r>
        <w:rPr>
          <w:lang w:val="de-AT" w:eastAsia="en-US"/>
        </w:rPr>
        <w:t>das Preisniveau auch der geförderten Mietwohnungen sehr hoch ist</w:t>
      </w:r>
    </w:p>
    <w:p w:rsidR="00153C28" w:rsidRDefault="003501F0">
      <w:pPr>
        <w:pStyle w:val="Aufzhlungszeichen"/>
        <w:tabs>
          <w:tab w:val="clear" w:pos="360"/>
          <w:tab w:val="num" w:pos="1068"/>
        </w:tabs>
        <w:ind w:left="1068"/>
        <w:rPr>
          <w:lang w:val="de-AT" w:eastAsia="en-US"/>
        </w:rPr>
      </w:pPr>
      <w:r>
        <w:rPr>
          <w:lang w:val="de-AT" w:eastAsia="en-US"/>
        </w:rPr>
        <w:t>die (finanziellen) Zugangshürden etwa in Form von einzubringenden Eigenmitteln und Baukostenbeiträgen nicht bewältigt werden können</w:t>
      </w:r>
    </w:p>
    <w:p w:rsidR="00153C28" w:rsidRDefault="003501F0">
      <w:pPr>
        <w:pStyle w:val="Aufzhlungszeichen"/>
        <w:tabs>
          <w:tab w:val="clear" w:pos="360"/>
          <w:tab w:val="num" w:pos="1068"/>
        </w:tabs>
        <w:ind w:left="1068"/>
        <w:rPr>
          <w:lang w:val="de-AT" w:eastAsia="en-US"/>
        </w:rPr>
      </w:pPr>
      <w:r>
        <w:rPr>
          <w:lang w:val="de-AT" w:eastAsia="en-US"/>
        </w:rPr>
        <w:t xml:space="preserve">in Landeshauptstädten und Ballungszentren ein Mangel an verfügbaren leistbaren Wohnungen besteht </w:t>
      </w:r>
    </w:p>
    <w:p w:rsidR="00153C28" w:rsidRDefault="00F63986">
      <w:pPr>
        <w:pStyle w:val="Aufzhlungszeichen"/>
        <w:tabs>
          <w:tab w:val="clear" w:pos="360"/>
          <w:tab w:val="num" w:pos="1068"/>
        </w:tabs>
        <w:ind w:left="1068"/>
        <w:rPr>
          <w:lang w:val="de-AT" w:eastAsia="en-US"/>
        </w:rPr>
      </w:pPr>
      <w:r>
        <w:rPr>
          <w:lang w:val="de-AT" w:eastAsia="en-US"/>
        </w:rPr>
        <w:t xml:space="preserve">die Wartelisten </w:t>
      </w:r>
      <w:r w:rsidR="003501F0">
        <w:rPr>
          <w:lang w:val="de-AT" w:eastAsia="en-US"/>
        </w:rPr>
        <w:t>in den kommunalen Wohnungsämtern der Landeshauptstädte en</w:t>
      </w:r>
      <w:r w:rsidR="003501F0">
        <w:rPr>
          <w:lang w:val="de-AT" w:eastAsia="en-US"/>
        </w:rPr>
        <w:t>t</w:t>
      </w:r>
      <w:r w:rsidR="003501F0">
        <w:rPr>
          <w:lang w:val="de-AT" w:eastAsia="en-US"/>
        </w:rPr>
        <w:t>sprechend</w:t>
      </w:r>
      <w:r>
        <w:rPr>
          <w:lang w:val="de-AT" w:eastAsia="en-US"/>
        </w:rPr>
        <w:t xml:space="preserve"> angewachsen sind und</w:t>
      </w:r>
    </w:p>
    <w:p w:rsidR="00153C28" w:rsidRDefault="00F63986">
      <w:pPr>
        <w:pStyle w:val="Aufzhlungszeichen"/>
        <w:tabs>
          <w:tab w:val="clear" w:pos="360"/>
          <w:tab w:val="num" w:pos="1068"/>
        </w:tabs>
        <w:ind w:left="1068"/>
        <w:rPr>
          <w:lang w:val="de-AT" w:eastAsia="en-US"/>
        </w:rPr>
      </w:pPr>
      <w:r>
        <w:rPr>
          <w:lang w:val="de-AT" w:eastAsia="en-US"/>
        </w:rPr>
        <w:lastRenderedPageBreak/>
        <w:t xml:space="preserve">eine Wohnversorgung </w:t>
      </w:r>
      <w:r w:rsidR="00403289">
        <w:rPr>
          <w:lang w:val="de-AT" w:eastAsia="en-US"/>
        </w:rPr>
        <w:t>trotz</w:t>
      </w:r>
      <w:r>
        <w:rPr>
          <w:lang w:val="de-AT" w:eastAsia="en-US"/>
        </w:rPr>
        <w:t xml:space="preserve"> </w:t>
      </w:r>
      <w:r w:rsidR="00403289">
        <w:rPr>
          <w:lang w:val="de-AT" w:eastAsia="en-US"/>
        </w:rPr>
        <w:t>zuerkannt</w:t>
      </w:r>
      <w:r>
        <w:rPr>
          <w:lang w:val="de-AT" w:eastAsia="en-US"/>
        </w:rPr>
        <w:t>er Dringlichkeit der Wohnversorgung oft nach ausgesprochen ausgedehnter Wartezeit möglich ist</w:t>
      </w:r>
      <w:r w:rsidR="00BA104A">
        <w:rPr>
          <w:lang w:val="de-AT" w:eastAsia="en-US"/>
        </w:rPr>
        <w:br/>
      </w:r>
    </w:p>
    <w:p w:rsidR="006007C8" w:rsidRPr="006007C8" w:rsidRDefault="00403289" w:rsidP="006007C8">
      <w:pPr>
        <w:rPr>
          <w:lang w:val="de-AT" w:eastAsia="en-US"/>
        </w:rPr>
      </w:pPr>
      <w:r>
        <w:rPr>
          <w:lang w:eastAsia="en-US"/>
        </w:rPr>
        <w:t xml:space="preserve">Bis vor wenigen Jahren war der Bestand des öffentlichen Wohnungsmarktes für nicht-österreichische Haushalte weitgehend verschlossen. </w:t>
      </w:r>
      <w:r w:rsidR="00BA104A">
        <w:rPr>
          <w:lang w:val="de-AT" w:eastAsia="en-US"/>
        </w:rPr>
        <w:t>Diese wohnpolitische Ausgangssituation hat weitreichende Effekte für die Wohnversorgung von MigrantInnenhaushalten, zumal es hier zu einer Kumulation des hohen Armutsrisikos einerseits mit fremdenrechtlich konnotie</w:t>
      </w:r>
      <w:r w:rsidR="00BA104A">
        <w:rPr>
          <w:lang w:val="de-AT" w:eastAsia="en-US"/>
        </w:rPr>
        <w:t>r</w:t>
      </w:r>
      <w:r w:rsidR="00BA104A">
        <w:rPr>
          <w:lang w:val="de-AT" w:eastAsia="en-US"/>
        </w:rPr>
        <w:t>ten Benachteiligungen auf dem Wohnungsmarkt andererseits gekommen ist, die in den ve</w:t>
      </w:r>
      <w:r w:rsidR="00BA104A">
        <w:rPr>
          <w:lang w:val="de-AT" w:eastAsia="en-US"/>
        </w:rPr>
        <w:t>r</w:t>
      </w:r>
      <w:r w:rsidR="00BA104A">
        <w:rPr>
          <w:lang w:val="de-AT" w:eastAsia="en-US"/>
        </w:rPr>
        <w:t>gangenen Jahrzehnten zu einer ethnischen Unterschichtung des Wohnungsmarktes in Öste</w:t>
      </w:r>
      <w:r w:rsidR="00BA104A">
        <w:rPr>
          <w:lang w:val="de-AT" w:eastAsia="en-US"/>
        </w:rPr>
        <w:t>r</w:t>
      </w:r>
      <w:r w:rsidR="00BA104A">
        <w:rPr>
          <w:lang w:val="de-AT" w:eastAsia="en-US"/>
        </w:rPr>
        <w:t>reich geführt hat.</w:t>
      </w:r>
      <w:r w:rsidRPr="00403289">
        <w:rPr>
          <w:lang w:eastAsia="en-US"/>
        </w:rPr>
        <w:t xml:space="preserve"> </w:t>
      </w:r>
    </w:p>
    <w:p w:rsidR="0029708D" w:rsidRDefault="00475336" w:rsidP="00F504A9">
      <w:pPr>
        <w:rPr>
          <w:lang w:eastAsia="en-US"/>
        </w:rPr>
      </w:pPr>
      <w:r>
        <w:rPr>
          <w:lang w:eastAsia="en-US"/>
        </w:rPr>
        <w:t xml:space="preserve">Die Wohnsituation von MigrantInnen hat sich in Österreich seit der Umsetzung der </w:t>
      </w:r>
      <w:r w:rsidR="00720922">
        <w:rPr>
          <w:lang w:eastAsia="en-US"/>
        </w:rPr>
        <w:t>EU-</w:t>
      </w:r>
      <w:r>
        <w:rPr>
          <w:lang w:eastAsia="en-US"/>
        </w:rPr>
        <w:t xml:space="preserve">Antidiskriminierungsvorschriften und zuletzt der </w:t>
      </w:r>
      <w:r w:rsidR="00720922">
        <w:rPr>
          <w:lang w:eastAsia="en-US"/>
        </w:rPr>
        <w:t xml:space="preserve">EU-Gleichstellungsrichtlinie </w:t>
      </w:r>
      <w:r>
        <w:rPr>
          <w:lang w:eastAsia="en-US"/>
        </w:rPr>
        <w:t>für Drittstaat</w:t>
      </w:r>
      <w:r>
        <w:rPr>
          <w:lang w:eastAsia="en-US"/>
        </w:rPr>
        <w:t>s</w:t>
      </w:r>
      <w:r>
        <w:rPr>
          <w:lang w:eastAsia="en-US"/>
        </w:rPr>
        <w:t xml:space="preserve">ausländerInnen </w:t>
      </w:r>
      <w:r w:rsidR="00F14F85">
        <w:rPr>
          <w:lang w:eastAsia="en-US"/>
        </w:rPr>
        <w:t>in nationalen und regionalen Ausführungsgesetzen</w:t>
      </w:r>
      <w:r w:rsidR="00F2013F">
        <w:rPr>
          <w:rStyle w:val="Funotenzeichen"/>
          <w:lang w:eastAsia="en-US"/>
        </w:rPr>
        <w:footnoteReference w:id="10"/>
      </w:r>
      <w:r>
        <w:rPr>
          <w:lang w:eastAsia="en-US"/>
        </w:rPr>
        <w:t xml:space="preserve"> wesentlich verbessert. </w:t>
      </w:r>
      <w:r w:rsidR="00166A6E">
        <w:rPr>
          <w:lang w:eastAsia="en-US"/>
        </w:rPr>
        <w:t>Schritt für Schritt wurden die Zugänge für Menschen mit nicht-österreichischer Staatsbürge</w:t>
      </w:r>
      <w:r w:rsidR="00166A6E">
        <w:rPr>
          <w:lang w:eastAsia="en-US"/>
        </w:rPr>
        <w:t>r</w:t>
      </w:r>
      <w:r w:rsidR="00166A6E">
        <w:rPr>
          <w:lang w:eastAsia="en-US"/>
        </w:rPr>
        <w:t xml:space="preserve">schaft </w:t>
      </w:r>
      <w:r w:rsidR="00403289">
        <w:rPr>
          <w:lang w:eastAsia="en-US"/>
        </w:rPr>
        <w:t xml:space="preserve">zum öffentlichen Wohnungsmarkt </w:t>
      </w:r>
      <w:r w:rsidR="00166A6E">
        <w:rPr>
          <w:lang w:eastAsia="en-US"/>
        </w:rPr>
        <w:t xml:space="preserve">geöffnet. Spätestens seit dem </w:t>
      </w:r>
      <w:r w:rsidR="0096738B">
        <w:rPr>
          <w:lang w:eastAsia="en-US"/>
        </w:rPr>
        <w:t>Inkrafttreten</w:t>
      </w:r>
      <w:r w:rsidR="00166A6E">
        <w:rPr>
          <w:lang w:eastAsia="en-US"/>
        </w:rPr>
        <w:t xml:space="preserve"> der </w:t>
      </w:r>
      <w:r w:rsidR="00F2013F">
        <w:rPr>
          <w:lang w:eastAsia="en-US"/>
        </w:rPr>
        <w:t xml:space="preserve">gleichbehandlungsrelevanten Richtlinien </w:t>
      </w:r>
      <w:r w:rsidR="00166A6E">
        <w:rPr>
          <w:lang w:eastAsia="en-US"/>
        </w:rPr>
        <w:t xml:space="preserve">der EU zeichnet sich auch der soziale / öffentliche Wohnungsmarkt durch zunehmende Anteile von </w:t>
      </w:r>
      <w:r w:rsidR="00403289">
        <w:rPr>
          <w:lang w:eastAsia="en-US"/>
        </w:rPr>
        <w:t xml:space="preserve">WohnungswerberInnen sowie </w:t>
      </w:r>
      <w:r w:rsidR="00166A6E">
        <w:rPr>
          <w:lang w:eastAsia="en-US"/>
        </w:rPr>
        <w:t xml:space="preserve">MieterInnen mit </w:t>
      </w:r>
      <w:r w:rsidR="00F2013F">
        <w:rPr>
          <w:lang w:eastAsia="en-US"/>
        </w:rPr>
        <w:t xml:space="preserve">nicht-österreichischer Staatsbürgerschaft </w:t>
      </w:r>
      <w:r w:rsidR="00166A6E">
        <w:rPr>
          <w:lang w:eastAsia="en-US"/>
        </w:rPr>
        <w:t xml:space="preserve">aus. </w:t>
      </w:r>
    </w:p>
    <w:p w:rsidR="00166A6E" w:rsidRDefault="00403289" w:rsidP="00F504A9">
      <w:pPr>
        <w:rPr>
          <w:lang w:eastAsia="en-US"/>
        </w:rPr>
      </w:pPr>
      <w:r>
        <w:rPr>
          <w:lang w:eastAsia="en-US"/>
        </w:rPr>
        <w:t>Nach wie vor sind jedoch gravierende Unterschiede in der Wohnversorgung zwischen Bevö</w:t>
      </w:r>
      <w:r>
        <w:rPr>
          <w:lang w:eastAsia="en-US"/>
        </w:rPr>
        <w:t>l</w:t>
      </w:r>
      <w:r>
        <w:rPr>
          <w:lang w:eastAsia="en-US"/>
        </w:rPr>
        <w:t>kerungsgruppen mit unterschiedlicher Staatsbürgerschaft bzw. ethnischer Herkunft festz</w:t>
      </w:r>
      <w:r>
        <w:rPr>
          <w:lang w:eastAsia="en-US"/>
        </w:rPr>
        <w:t>u</w:t>
      </w:r>
      <w:r>
        <w:rPr>
          <w:lang w:eastAsia="en-US"/>
        </w:rPr>
        <w:t xml:space="preserve">stellen. </w:t>
      </w:r>
      <w:r w:rsidR="000B068E">
        <w:rPr>
          <w:lang w:eastAsia="en-US"/>
        </w:rPr>
        <w:t>Zahlen, Daten und Fakten zur Wohnversorgung von MigrantInnen in Österreich bel</w:t>
      </w:r>
      <w:r w:rsidR="000B068E">
        <w:rPr>
          <w:lang w:eastAsia="en-US"/>
        </w:rPr>
        <w:t>e</w:t>
      </w:r>
      <w:r w:rsidR="000B068E">
        <w:rPr>
          <w:lang w:eastAsia="en-US"/>
        </w:rPr>
        <w:t>gen, dass diese in deutlich schlechteren Wohnverhältnissen leben und mit höheren Woh</w:t>
      </w:r>
      <w:r w:rsidR="000B068E">
        <w:rPr>
          <w:lang w:eastAsia="en-US"/>
        </w:rPr>
        <w:t>n</w:t>
      </w:r>
      <w:r w:rsidR="000B068E">
        <w:rPr>
          <w:lang w:eastAsia="en-US"/>
        </w:rPr>
        <w:t xml:space="preserve">kosten konfrontiert sind als ÖsterreicherInnen. </w:t>
      </w:r>
      <w:r w:rsidR="00166A6E">
        <w:rPr>
          <w:lang w:eastAsia="en-US"/>
        </w:rPr>
        <w:t xml:space="preserve">Nach wie vor </w:t>
      </w:r>
      <w:r w:rsidR="000C3B44">
        <w:rPr>
          <w:lang w:eastAsia="en-US"/>
        </w:rPr>
        <w:t xml:space="preserve">kann </w:t>
      </w:r>
      <w:r w:rsidR="00166A6E">
        <w:rPr>
          <w:lang w:eastAsia="en-US"/>
        </w:rPr>
        <w:t xml:space="preserve">festgestellt werden, dass ein großer Teil der zugewanderten Personen und Haushalte in Wohnungen des privaten Wohnungsmarktes </w:t>
      </w:r>
      <w:r w:rsidR="008464A5">
        <w:rPr>
          <w:lang w:eastAsia="en-US"/>
        </w:rPr>
        <w:t xml:space="preserve">lebt </w:t>
      </w:r>
      <w:r w:rsidR="00F2013F">
        <w:rPr>
          <w:lang w:eastAsia="en-US"/>
        </w:rPr>
        <w:t xml:space="preserve">und keinen adäquaten Zugang zu </w:t>
      </w:r>
      <w:r w:rsidR="000C3B44">
        <w:rPr>
          <w:lang w:eastAsia="en-US"/>
        </w:rPr>
        <w:t>einer geförderten Wohnung</w:t>
      </w:r>
      <w:r w:rsidR="00F2013F">
        <w:rPr>
          <w:lang w:eastAsia="en-US"/>
        </w:rPr>
        <w:t xml:space="preserve"> </w:t>
      </w:r>
      <w:r w:rsidR="000C3B44">
        <w:rPr>
          <w:lang w:eastAsia="en-US"/>
        </w:rPr>
        <w:t>findet</w:t>
      </w:r>
      <w:r>
        <w:rPr>
          <w:lang w:eastAsia="en-US"/>
        </w:rPr>
        <w:t>.</w:t>
      </w:r>
      <w:r w:rsidR="00F2013F">
        <w:rPr>
          <w:lang w:eastAsia="en-US"/>
        </w:rPr>
        <w:t xml:space="preserve"> </w:t>
      </w:r>
      <w:r w:rsidR="00651E08">
        <w:rPr>
          <w:lang w:eastAsia="en-US"/>
        </w:rPr>
        <w:t xml:space="preserve">Die </w:t>
      </w:r>
      <w:r w:rsidR="00166A6E">
        <w:rPr>
          <w:lang w:eastAsia="en-US"/>
        </w:rPr>
        <w:t xml:space="preserve">offizielle Wohnungsstatistik von Österreich </w:t>
      </w:r>
      <w:r w:rsidR="00651E08">
        <w:rPr>
          <w:lang w:eastAsia="en-US"/>
        </w:rPr>
        <w:t xml:space="preserve">weist </w:t>
      </w:r>
      <w:r w:rsidR="00166A6E">
        <w:rPr>
          <w:lang w:eastAsia="en-US"/>
        </w:rPr>
        <w:t>folgende Fakten aus:</w:t>
      </w:r>
    </w:p>
    <w:p w:rsidR="008F60B0" w:rsidRDefault="00166A6E" w:rsidP="00166A6E">
      <w:pPr>
        <w:pStyle w:val="Aufzhlungszeichen"/>
        <w:tabs>
          <w:tab w:val="clear" w:pos="360"/>
          <w:tab w:val="num" w:pos="1068"/>
        </w:tabs>
        <w:ind w:left="1068"/>
        <w:rPr>
          <w:lang w:eastAsia="en-US"/>
        </w:rPr>
      </w:pPr>
      <w:r>
        <w:rPr>
          <w:lang w:eastAsia="en-US"/>
        </w:rPr>
        <w:t>MigrantInnen verfüg</w:t>
      </w:r>
      <w:r w:rsidR="00403289">
        <w:rPr>
          <w:lang w:eastAsia="en-US"/>
        </w:rPr>
        <w:t>t</w:t>
      </w:r>
      <w:r>
        <w:rPr>
          <w:lang w:eastAsia="en-US"/>
        </w:rPr>
        <w:t xml:space="preserve">en </w:t>
      </w:r>
      <w:r w:rsidR="008F60B0">
        <w:rPr>
          <w:lang w:eastAsia="en-US"/>
        </w:rPr>
        <w:t xml:space="preserve">im Jahr 2007 </w:t>
      </w:r>
      <w:r w:rsidR="00475336">
        <w:rPr>
          <w:lang w:eastAsia="en-US"/>
        </w:rPr>
        <w:t xml:space="preserve">im Durchschnitt über </w:t>
      </w:r>
      <w:r w:rsidR="008F60B0">
        <w:rPr>
          <w:lang w:eastAsia="en-US"/>
        </w:rPr>
        <w:t xml:space="preserve">erheblich weniger Wohnraum als ÖsterreicherInnen: </w:t>
      </w:r>
    </w:p>
    <w:p w:rsidR="008F60B0" w:rsidRDefault="008F60B0" w:rsidP="008F60B0">
      <w:pPr>
        <w:pStyle w:val="Aufzhlungszeichen"/>
        <w:tabs>
          <w:tab w:val="clear" w:pos="360"/>
          <w:tab w:val="num" w:pos="1428"/>
        </w:tabs>
        <w:ind w:left="1428"/>
        <w:rPr>
          <w:lang w:eastAsia="en-US"/>
        </w:rPr>
      </w:pPr>
      <w:r>
        <w:rPr>
          <w:lang w:eastAsia="en-US"/>
        </w:rPr>
        <w:t xml:space="preserve">MigrantInnen: Ø </w:t>
      </w:r>
      <w:r w:rsidR="00475336">
        <w:rPr>
          <w:lang w:eastAsia="en-US"/>
        </w:rPr>
        <w:t>31m</w:t>
      </w:r>
      <w:r w:rsidR="00475336" w:rsidRPr="00475336">
        <w:rPr>
          <w:vertAlign w:val="superscript"/>
          <w:lang w:eastAsia="en-US"/>
        </w:rPr>
        <w:t>2</w:t>
      </w:r>
      <w:r w:rsidR="00475336">
        <w:rPr>
          <w:lang w:eastAsia="en-US"/>
        </w:rPr>
        <w:t xml:space="preserve"> Wohnfläche pro Person</w:t>
      </w:r>
    </w:p>
    <w:p w:rsidR="00166A6E" w:rsidRDefault="00166A6E" w:rsidP="008F60B0">
      <w:pPr>
        <w:pStyle w:val="Aufzhlungszeichen"/>
        <w:tabs>
          <w:tab w:val="clear" w:pos="360"/>
          <w:tab w:val="num" w:pos="1428"/>
        </w:tabs>
        <w:ind w:left="1428"/>
        <w:rPr>
          <w:lang w:eastAsia="en-US"/>
        </w:rPr>
      </w:pPr>
      <w:r>
        <w:rPr>
          <w:lang w:eastAsia="en-US"/>
        </w:rPr>
        <w:t>ÖsterreicherInnen</w:t>
      </w:r>
      <w:r w:rsidR="008F60B0">
        <w:rPr>
          <w:lang w:eastAsia="en-US"/>
        </w:rPr>
        <w:t>:</w:t>
      </w:r>
      <w:r w:rsidR="00475336">
        <w:rPr>
          <w:lang w:eastAsia="en-US"/>
        </w:rPr>
        <w:t xml:space="preserve"> Ø 45m</w:t>
      </w:r>
      <w:r w:rsidR="00475336" w:rsidRPr="00475336">
        <w:rPr>
          <w:vertAlign w:val="superscript"/>
          <w:lang w:eastAsia="en-US"/>
        </w:rPr>
        <w:t>2</w:t>
      </w:r>
      <w:r w:rsidR="008F60B0">
        <w:rPr>
          <w:lang w:eastAsia="en-US"/>
        </w:rPr>
        <w:t xml:space="preserve"> Wohnfläche pro Person</w:t>
      </w:r>
      <w:r w:rsidR="006007C8">
        <w:rPr>
          <w:rStyle w:val="Funotenzeichen"/>
          <w:lang w:eastAsia="en-US"/>
        </w:rPr>
        <w:t xml:space="preserve"> </w:t>
      </w:r>
      <w:r w:rsidR="006007C8">
        <w:t>(Integrationsfonds 2009)</w:t>
      </w:r>
    </w:p>
    <w:p w:rsidR="00166A6E" w:rsidRDefault="009A7AF4" w:rsidP="00166A6E">
      <w:pPr>
        <w:pStyle w:val="Aufzhlungszeichen"/>
        <w:tabs>
          <w:tab w:val="clear" w:pos="360"/>
          <w:tab w:val="num" w:pos="1068"/>
        </w:tabs>
        <w:ind w:left="1068"/>
        <w:rPr>
          <w:lang w:eastAsia="en-US"/>
        </w:rPr>
      </w:pPr>
      <w:r>
        <w:rPr>
          <w:lang w:eastAsia="en-US"/>
        </w:rPr>
        <w:t>MigrantInnen</w:t>
      </w:r>
      <w:r w:rsidR="00166A6E">
        <w:rPr>
          <w:lang w:eastAsia="en-US"/>
        </w:rPr>
        <w:t xml:space="preserve"> leben zu hohen Anteilen in Substandardwohnungen</w:t>
      </w:r>
      <w:r>
        <w:rPr>
          <w:lang w:eastAsia="en-US"/>
        </w:rPr>
        <w:t xml:space="preserve"> oder in überb</w:t>
      </w:r>
      <w:r>
        <w:rPr>
          <w:lang w:eastAsia="en-US"/>
        </w:rPr>
        <w:t>e</w:t>
      </w:r>
      <w:r>
        <w:rPr>
          <w:lang w:eastAsia="en-US"/>
        </w:rPr>
        <w:t>legten Wohnungen</w:t>
      </w:r>
    </w:p>
    <w:p w:rsidR="008F60B0" w:rsidRDefault="008F60B0" w:rsidP="00166A6E">
      <w:pPr>
        <w:pStyle w:val="Aufzhlungszeichen"/>
        <w:tabs>
          <w:tab w:val="clear" w:pos="360"/>
          <w:tab w:val="num" w:pos="1068"/>
        </w:tabs>
        <w:ind w:left="1068"/>
        <w:rPr>
          <w:lang w:eastAsia="en-US"/>
        </w:rPr>
      </w:pPr>
      <w:r>
        <w:rPr>
          <w:lang w:eastAsia="en-US"/>
        </w:rPr>
        <w:lastRenderedPageBreak/>
        <w:t>MigrantInnen</w:t>
      </w:r>
      <w:r w:rsidR="00166A6E">
        <w:rPr>
          <w:lang w:eastAsia="en-US"/>
        </w:rPr>
        <w:t xml:space="preserve"> sind mit deutlich höheren Wohnkosten konfrontiert</w:t>
      </w:r>
      <w:r w:rsidR="00446F07">
        <w:rPr>
          <w:lang w:eastAsia="en-US"/>
        </w:rPr>
        <w:t xml:space="preserve"> </w:t>
      </w:r>
      <w:r w:rsidR="00F2013F">
        <w:rPr>
          <w:lang w:eastAsia="en-US"/>
        </w:rPr>
        <w:t xml:space="preserve">und wenden zu hohen Anteilen mehr als ein Viertel ihres Haushaltseinkommens für die Deckung der Wohnkosten auf; im Jahr </w:t>
      </w:r>
      <w:r w:rsidR="00446F07">
        <w:rPr>
          <w:lang w:eastAsia="en-US"/>
        </w:rPr>
        <w:t>2007</w:t>
      </w:r>
      <w:r w:rsidR="00F2013F">
        <w:rPr>
          <w:lang w:eastAsia="en-US"/>
        </w:rPr>
        <w:t xml:space="preserve"> betraf dies</w:t>
      </w:r>
      <w:r>
        <w:rPr>
          <w:lang w:eastAsia="en-US"/>
        </w:rPr>
        <w:t>:</w:t>
      </w:r>
      <w:r w:rsidR="00166A6E">
        <w:rPr>
          <w:lang w:eastAsia="en-US"/>
        </w:rPr>
        <w:t xml:space="preserve"> </w:t>
      </w:r>
    </w:p>
    <w:p w:rsidR="00166A6E" w:rsidRDefault="00446F07" w:rsidP="008F60B0">
      <w:pPr>
        <w:pStyle w:val="Aufzhlungszeichen"/>
        <w:tabs>
          <w:tab w:val="clear" w:pos="360"/>
          <w:tab w:val="num" w:pos="1428"/>
        </w:tabs>
        <w:ind w:left="1428"/>
        <w:rPr>
          <w:lang w:eastAsia="en-US"/>
        </w:rPr>
      </w:pPr>
      <w:r>
        <w:rPr>
          <w:lang w:eastAsia="en-US"/>
        </w:rPr>
        <w:t xml:space="preserve">18% der </w:t>
      </w:r>
      <w:r w:rsidR="00166A6E">
        <w:rPr>
          <w:lang w:eastAsia="en-US"/>
        </w:rPr>
        <w:t>ÖsterreicherInnen</w:t>
      </w:r>
      <w:r w:rsidR="00F2013F">
        <w:rPr>
          <w:lang w:eastAsia="en-US"/>
        </w:rPr>
        <w:t>,</w:t>
      </w:r>
      <w:r w:rsidR="008F60B0">
        <w:rPr>
          <w:lang w:eastAsia="en-US"/>
        </w:rPr>
        <w:t xml:space="preserve"> </w:t>
      </w:r>
    </w:p>
    <w:p w:rsidR="008F60B0" w:rsidRDefault="00446F07" w:rsidP="008F60B0">
      <w:pPr>
        <w:pStyle w:val="Aufzhlungszeichen"/>
        <w:tabs>
          <w:tab w:val="clear" w:pos="360"/>
          <w:tab w:val="num" w:pos="1428"/>
        </w:tabs>
        <w:ind w:left="1428"/>
        <w:rPr>
          <w:lang w:eastAsia="en-US"/>
        </w:rPr>
      </w:pPr>
      <w:r>
        <w:rPr>
          <w:lang w:eastAsia="en-US"/>
        </w:rPr>
        <w:t xml:space="preserve">31% der </w:t>
      </w:r>
      <w:r w:rsidR="008F60B0">
        <w:rPr>
          <w:lang w:eastAsia="en-US"/>
        </w:rPr>
        <w:t>Mi</w:t>
      </w:r>
      <w:r>
        <w:rPr>
          <w:lang w:eastAsia="en-US"/>
        </w:rPr>
        <w:t>grantInnen türkischer Herkunft</w:t>
      </w:r>
      <w:r w:rsidR="00F2013F">
        <w:rPr>
          <w:lang w:eastAsia="en-US"/>
        </w:rPr>
        <w:t>,</w:t>
      </w:r>
    </w:p>
    <w:p w:rsidR="00446F07" w:rsidRDefault="00446F07" w:rsidP="00446F07">
      <w:pPr>
        <w:pStyle w:val="Aufzhlungszeichen"/>
        <w:tabs>
          <w:tab w:val="clear" w:pos="360"/>
          <w:tab w:val="num" w:pos="1428"/>
        </w:tabs>
        <w:ind w:left="1428"/>
        <w:rPr>
          <w:lang w:eastAsia="en-US"/>
        </w:rPr>
      </w:pPr>
      <w:r>
        <w:rPr>
          <w:lang w:eastAsia="en-US"/>
        </w:rPr>
        <w:t>36%</w:t>
      </w:r>
      <w:r w:rsidRPr="00446F07">
        <w:rPr>
          <w:lang w:eastAsia="en-US"/>
        </w:rPr>
        <w:t xml:space="preserve"> </w:t>
      </w:r>
      <w:r>
        <w:rPr>
          <w:lang w:eastAsia="en-US"/>
        </w:rPr>
        <w:t>der EU-BürgerInnen aus den vor 2004 beigetretenen Staaten</w:t>
      </w:r>
    </w:p>
    <w:p w:rsidR="008F60B0" w:rsidRDefault="00446F07" w:rsidP="008F60B0">
      <w:pPr>
        <w:pStyle w:val="Aufzhlungszeichen"/>
        <w:tabs>
          <w:tab w:val="clear" w:pos="360"/>
          <w:tab w:val="num" w:pos="1428"/>
        </w:tabs>
        <w:ind w:left="1428"/>
        <w:rPr>
          <w:lang w:eastAsia="en-US"/>
        </w:rPr>
      </w:pPr>
      <w:r>
        <w:rPr>
          <w:lang w:eastAsia="en-US"/>
        </w:rPr>
        <w:t xml:space="preserve">51% der AusländerInnen aus dem sonstigen Ausland </w:t>
      </w:r>
    </w:p>
    <w:p w:rsidR="009A7AF4" w:rsidRDefault="00446F07" w:rsidP="00F504A9">
      <w:pPr>
        <w:pStyle w:val="Aufzhlungszeichen"/>
        <w:tabs>
          <w:tab w:val="clear" w:pos="360"/>
          <w:tab w:val="num" w:pos="1068"/>
        </w:tabs>
        <w:ind w:left="1068"/>
        <w:rPr>
          <w:lang w:eastAsia="en-US"/>
        </w:rPr>
      </w:pPr>
      <w:r>
        <w:rPr>
          <w:lang w:eastAsia="en-US"/>
        </w:rPr>
        <w:t xml:space="preserve">Beispiel Oberösterreich: Die </w:t>
      </w:r>
      <w:r w:rsidR="00A126FA">
        <w:rPr>
          <w:lang w:eastAsia="en-US"/>
        </w:rPr>
        <w:t>Wohnkostenbelastung des Haushaltseinkommen</w:t>
      </w:r>
      <w:r>
        <w:rPr>
          <w:lang w:eastAsia="en-US"/>
        </w:rPr>
        <w:t>s</w:t>
      </w:r>
      <w:r w:rsidR="00A126FA">
        <w:rPr>
          <w:lang w:eastAsia="en-US"/>
        </w:rPr>
        <w:t xml:space="preserve"> bei Personen mit ex-jugoslawischem Hintergrund</w:t>
      </w:r>
      <w:r>
        <w:rPr>
          <w:lang w:eastAsia="en-US"/>
        </w:rPr>
        <w:t xml:space="preserve"> betrug im Jahr 2007 im Durc</w:t>
      </w:r>
      <w:r>
        <w:rPr>
          <w:lang w:eastAsia="en-US"/>
        </w:rPr>
        <w:t>h</w:t>
      </w:r>
      <w:r>
        <w:rPr>
          <w:lang w:eastAsia="en-US"/>
        </w:rPr>
        <w:t>schnitt</w:t>
      </w:r>
      <w:r w:rsidR="00A126FA">
        <w:rPr>
          <w:lang w:eastAsia="en-US"/>
        </w:rPr>
        <w:t xml:space="preserve"> 23%; bei ÖsterreicherInnen </w:t>
      </w:r>
      <w:r>
        <w:rPr>
          <w:lang w:eastAsia="en-US"/>
        </w:rPr>
        <w:t>lag</w:t>
      </w:r>
      <w:r w:rsidR="00A126FA">
        <w:rPr>
          <w:lang w:eastAsia="en-US"/>
        </w:rPr>
        <w:t xml:space="preserve"> dieser Anteil im Ø bei 16%.</w:t>
      </w:r>
    </w:p>
    <w:p w:rsidR="009A7AF4" w:rsidRDefault="009A7AF4" w:rsidP="009A7AF4">
      <w:pPr>
        <w:pStyle w:val="Aufzhlungszeichen"/>
        <w:tabs>
          <w:tab w:val="clear" w:pos="360"/>
          <w:tab w:val="num" w:pos="1068"/>
        </w:tabs>
        <w:ind w:left="1068"/>
      </w:pPr>
      <w:r>
        <w:t>MigrantInnen leben überwiegend in Städten mit mehr als 20.000 EinwohnerInnen und hier vor allem in Gemeinden mit einem überdurchschnittlichen Anteil an Mi</w:t>
      </w:r>
      <w:r>
        <w:t>g</w:t>
      </w:r>
      <w:r>
        <w:t xml:space="preserve">rationsbevölkerung. Der detaillierte Blick macht deutlich, dass die </w:t>
      </w:r>
      <w:r w:rsidRPr="009A7AF4">
        <w:rPr>
          <w:b/>
        </w:rPr>
        <w:t>Segregation</w:t>
      </w:r>
      <w:r>
        <w:t xml:space="preserve"> bei Personen aus Afrika, Asien und der Türkei am höchsten ausfällt. „Für die B</w:t>
      </w:r>
      <w:r>
        <w:t>e</w:t>
      </w:r>
      <w:r>
        <w:t>völkerung ausländischer Herkunft lag der Segregationsindex am 1.1.2010 bei g</w:t>
      </w:r>
      <w:r>
        <w:t>e</w:t>
      </w:r>
      <w:r>
        <w:t>nau einem Drittel. Die Bevölkerung deutscher Herkunft verzeichnete mit 23% e</w:t>
      </w:r>
      <w:r>
        <w:t>i</w:t>
      </w:r>
      <w:r>
        <w:t>nen besonders niedrigen Segregationsindex, war also relativ gleichmäßig in allen Gemeinden verteilt, während die Zuwanderer aus der Türkei (45%), aus Asien (46%) und aus Afrika (48%) relativ stark segregiert waren.“</w:t>
      </w:r>
      <w:r w:rsidR="006007C8">
        <w:t xml:space="preserve"> (Integrationsfonds 2009)</w:t>
      </w:r>
      <w:r>
        <w:t xml:space="preserve"> </w:t>
      </w:r>
    </w:p>
    <w:p w:rsidR="009A7AF4" w:rsidRDefault="009A7AF4">
      <w:pPr>
        <w:spacing w:before="180" w:after="240" w:line="336" w:lineRule="auto"/>
        <w:jc w:val="center"/>
        <w:rPr>
          <w:rFonts w:eastAsiaTheme="majorEastAsia" w:cstheme="majorBidi"/>
          <w:b/>
          <w:bCs/>
          <w:color w:val="4F81BD" w:themeColor="accent1"/>
          <w:lang w:val="de-AT" w:eastAsia="en-US"/>
        </w:rPr>
      </w:pPr>
    </w:p>
    <w:p w:rsidR="00F504A9" w:rsidRDefault="000C3B44" w:rsidP="00E23216">
      <w:pPr>
        <w:pStyle w:val="berschrift3"/>
        <w:rPr>
          <w:lang w:eastAsia="en-US"/>
        </w:rPr>
      </w:pPr>
      <w:r>
        <w:rPr>
          <w:lang w:eastAsia="en-US"/>
        </w:rPr>
        <w:t>1.2</w:t>
      </w:r>
      <w:r>
        <w:rPr>
          <w:lang w:eastAsia="en-US"/>
        </w:rPr>
        <w:tab/>
      </w:r>
      <w:r w:rsidR="008C040E">
        <w:rPr>
          <w:lang w:eastAsia="en-US"/>
        </w:rPr>
        <w:t>Hohe Relevanz d</w:t>
      </w:r>
      <w:r w:rsidR="00F504A9">
        <w:rPr>
          <w:lang w:eastAsia="en-US"/>
        </w:rPr>
        <w:t xml:space="preserve">er Fragestellung </w:t>
      </w:r>
      <w:r w:rsidR="008C040E">
        <w:rPr>
          <w:lang w:eastAsia="en-US"/>
        </w:rPr>
        <w:br/>
      </w:r>
    </w:p>
    <w:p w:rsidR="00F504A9" w:rsidRDefault="00F504A9" w:rsidP="00F504A9">
      <w:pPr>
        <w:rPr>
          <w:lang w:eastAsia="en-US"/>
        </w:rPr>
      </w:pPr>
      <w:r>
        <w:rPr>
          <w:lang w:eastAsia="en-US"/>
        </w:rPr>
        <w:t>Die hohe Beteiligung an der Fragebogenerhebung</w:t>
      </w:r>
      <w:r w:rsidR="00365EC6">
        <w:rPr>
          <w:rStyle w:val="Funotenzeichen"/>
          <w:lang w:eastAsia="en-US"/>
        </w:rPr>
        <w:footnoteReference w:id="11"/>
      </w:r>
      <w:r>
        <w:rPr>
          <w:lang w:eastAsia="en-US"/>
        </w:rPr>
        <w:t xml:space="preserve"> kann als Indiz dafür gewertet werden, dass Gleichbehandlung und Diskriminierung auf dem öffentlichen Wohnungsmarkt ein rel</w:t>
      </w:r>
      <w:r>
        <w:rPr>
          <w:lang w:eastAsia="en-US"/>
        </w:rPr>
        <w:t>e</w:t>
      </w:r>
      <w:r>
        <w:rPr>
          <w:lang w:eastAsia="en-US"/>
        </w:rPr>
        <w:t xml:space="preserve">vantes Thema sind. Insgesamt haben sich </w:t>
      </w:r>
      <w:r w:rsidR="00E96F92">
        <w:rPr>
          <w:lang w:eastAsia="en-US"/>
        </w:rPr>
        <w:t>299</w:t>
      </w:r>
      <w:r>
        <w:rPr>
          <w:lang w:eastAsia="en-US"/>
        </w:rPr>
        <w:t xml:space="preserve"> Personen aus ganz Österreich an der Online-Befragung beteiligt. Agenturen des Wohnungsmarktes </w:t>
      </w:r>
      <w:r w:rsidR="00F2013F">
        <w:rPr>
          <w:lang w:eastAsia="en-US"/>
        </w:rPr>
        <w:t xml:space="preserve">(Wohnungsämter und Bauträger) </w:t>
      </w:r>
      <w:r>
        <w:rPr>
          <w:lang w:eastAsia="en-US"/>
        </w:rPr>
        <w:t>s</w:t>
      </w:r>
      <w:r>
        <w:rPr>
          <w:lang w:eastAsia="en-US"/>
        </w:rPr>
        <w:t>o</w:t>
      </w:r>
      <w:r>
        <w:rPr>
          <w:lang w:eastAsia="en-US"/>
        </w:rPr>
        <w:t>wie Beratungs- und Hilfeeinrichtungen für Wohnungssuchende, MigrantInnen und MieterI</w:t>
      </w:r>
      <w:r>
        <w:rPr>
          <w:lang w:eastAsia="en-US"/>
        </w:rPr>
        <w:t>n</w:t>
      </w:r>
      <w:r>
        <w:rPr>
          <w:lang w:eastAsia="en-US"/>
        </w:rPr>
        <w:t>nen sind zu gleichen Teilen (jeweils etwa 50%) am Rücklauf der Fragebögen beteiligt.</w:t>
      </w:r>
      <w:r w:rsidR="009A7AF4">
        <w:rPr>
          <w:lang w:eastAsia="en-US"/>
        </w:rPr>
        <w:br/>
      </w:r>
    </w:p>
    <w:p w:rsidR="00323332" w:rsidRPr="00C55641" w:rsidRDefault="00C50017" w:rsidP="00323332">
      <w:pPr>
        <w:rPr>
          <w:rStyle w:val="SchwacherVerweis"/>
        </w:rPr>
      </w:pPr>
      <w:r>
        <w:rPr>
          <w:rStyle w:val="SchwacherVerweis"/>
        </w:rPr>
        <w:t xml:space="preserve">Grafik 1: </w:t>
      </w:r>
      <w:r w:rsidR="00323332" w:rsidRPr="00C55641">
        <w:rPr>
          <w:rStyle w:val="SchwacherVerweis"/>
        </w:rPr>
        <w:t>Art der Einrichtung, 299 Fragebögen (Mehrfachnennungen)</w:t>
      </w:r>
    </w:p>
    <w:p w:rsidR="00323332" w:rsidRDefault="00323332" w:rsidP="00323332">
      <w:r w:rsidRPr="006D0B3C">
        <w:rPr>
          <w:noProof/>
          <w:lang w:val="de-AT" w:eastAsia="de-AT"/>
        </w:rPr>
        <w:lastRenderedPageBreak/>
        <w:drawing>
          <wp:inline distT="0" distB="0" distL="0" distR="0">
            <wp:extent cx="4572000" cy="2743200"/>
            <wp:effectExtent l="19050" t="0" r="19050" b="0"/>
            <wp:docPr id="13"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br/>
      </w:r>
    </w:p>
    <w:p w:rsidR="00323332" w:rsidRDefault="00323332" w:rsidP="00323332">
      <w:pPr>
        <w:rPr>
          <w:lang w:eastAsia="en-US"/>
        </w:rPr>
      </w:pPr>
      <w:r>
        <w:rPr>
          <w:lang w:eastAsia="en-US"/>
        </w:rPr>
        <w:t>Auch aus den Interviews und</w:t>
      </w:r>
      <w:r w:rsidR="00365EC6">
        <w:rPr>
          <w:lang w:eastAsia="en-US"/>
        </w:rPr>
        <w:t xml:space="preserve"> den regionalen </w:t>
      </w:r>
      <w:r>
        <w:rPr>
          <w:lang w:eastAsia="en-US"/>
        </w:rPr>
        <w:t>ExpertInnengesprächen</w:t>
      </w:r>
      <w:r w:rsidR="00365EC6">
        <w:rPr>
          <w:lang w:eastAsia="en-US"/>
        </w:rPr>
        <w:t xml:space="preserve"> in Bregenz, Innsbruck und St. Pölten</w:t>
      </w:r>
      <w:r w:rsidR="00730C39">
        <w:rPr>
          <w:rStyle w:val="Funotenzeichen"/>
          <w:lang w:eastAsia="en-US"/>
        </w:rPr>
        <w:footnoteReference w:id="12"/>
      </w:r>
      <w:r>
        <w:rPr>
          <w:lang w:eastAsia="en-US"/>
        </w:rPr>
        <w:t xml:space="preserve"> kann eine große Zustimmung zur Frage nach der Relevanz des Themas a</w:t>
      </w:r>
      <w:r>
        <w:rPr>
          <w:lang w:eastAsia="en-US"/>
        </w:rPr>
        <w:t>b</w:t>
      </w:r>
      <w:r>
        <w:rPr>
          <w:lang w:eastAsia="en-US"/>
        </w:rPr>
        <w:t>gelesen werden. Insbesondere wird von den ExpertInnen auf das verbreitete Bemühen um Gleichbehandlung und auf die vielfältigen Überlegungen und Maßnahmen hingewiesen, um Integration und ein gedeihliches Zusammenleben in den Siedlungen und Stadtteilen zu fö</w:t>
      </w:r>
      <w:r>
        <w:rPr>
          <w:lang w:eastAsia="en-US"/>
        </w:rPr>
        <w:t>r</w:t>
      </w:r>
      <w:r>
        <w:rPr>
          <w:lang w:eastAsia="en-US"/>
        </w:rPr>
        <w:t>dern und zu unterstützen. Die z.T. detaillierten Darstellungen zur Praxis z.B. von kommun</w:t>
      </w:r>
      <w:r>
        <w:rPr>
          <w:lang w:eastAsia="en-US"/>
        </w:rPr>
        <w:t>a</w:t>
      </w:r>
      <w:r>
        <w:rPr>
          <w:lang w:eastAsia="en-US"/>
        </w:rPr>
        <w:t xml:space="preserve">len Wohnungsämtern geben zudem exemplarische Beispiele dafür, dass </w:t>
      </w:r>
      <w:r w:rsidR="002254C2">
        <w:rPr>
          <w:lang w:eastAsia="en-US"/>
        </w:rPr>
        <w:t>Sensibilität für Fr</w:t>
      </w:r>
      <w:r w:rsidR="002254C2">
        <w:rPr>
          <w:lang w:eastAsia="en-US"/>
        </w:rPr>
        <w:t>a</w:t>
      </w:r>
      <w:r w:rsidR="002254C2">
        <w:rPr>
          <w:lang w:eastAsia="en-US"/>
        </w:rPr>
        <w:t>gen der Gleichbehandlung sowie der</w:t>
      </w:r>
      <w:r>
        <w:rPr>
          <w:lang w:eastAsia="en-US"/>
        </w:rPr>
        <w:t xml:space="preserve"> Förderung </w:t>
      </w:r>
      <w:r w:rsidR="002254C2">
        <w:rPr>
          <w:lang w:eastAsia="en-US"/>
        </w:rPr>
        <w:t>von</w:t>
      </w:r>
      <w:r>
        <w:rPr>
          <w:lang w:eastAsia="en-US"/>
        </w:rPr>
        <w:t xml:space="preserve"> Integration bzw. </w:t>
      </w:r>
      <w:r w:rsidR="003B3AC7">
        <w:rPr>
          <w:lang w:eastAsia="en-US"/>
        </w:rPr>
        <w:t xml:space="preserve">einem gedeihlichen </w:t>
      </w:r>
      <w:r w:rsidR="002254C2">
        <w:rPr>
          <w:lang w:eastAsia="en-US"/>
        </w:rPr>
        <w:t>Zusammenleben</w:t>
      </w:r>
      <w:r>
        <w:rPr>
          <w:lang w:eastAsia="en-US"/>
        </w:rPr>
        <w:t xml:space="preserve"> in den Wohnsiedlungen </w:t>
      </w:r>
      <w:r w:rsidR="002254C2">
        <w:rPr>
          <w:lang w:eastAsia="en-US"/>
        </w:rPr>
        <w:t>in einem hohen Ausmaß gewährleistet</w:t>
      </w:r>
      <w:r w:rsidR="000C3B44">
        <w:rPr>
          <w:lang w:eastAsia="en-US"/>
        </w:rPr>
        <w:t xml:space="preserve"> ist</w:t>
      </w:r>
      <w:r>
        <w:rPr>
          <w:lang w:eastAsia="en-US"/>
        </w:rPr>
        <w:t xml:space="preserve">. Das </w:t>
      </w:r>
      <w:r w:rsidR="002254C2">
        <w:rPr>
          <w:lang w:eastAsia="en-US"/>
        </w:rPr>
        <w:t>zeigt sich</w:t>
      </w:r>
      <w:r>
        <w:rPr>
          <w:lang w:eastAsia="en-US"/>
        </w:rPr>
        <w:t xml:space="preserve"> insbesondere </w:t>
      </w:r>
      <w:r w:rsidR="002254C2">
        <w:rPr>
          <w:lang w:eastAsia="en-US"/>
        </w:rPr>
        <w:t>in den</w:t>
      </w:r>
      <w:r>
        <w:rPr>
          <w:lang w:eastAsia="en-US"/>
        </w:rPr>
        <w:t xml:space="preserve"> Leitbilder</w:t>
      </w:r>
      <w:r w:rsidR="002254C2">
        <w:rPr>
          <w:lang w:eastAsia="en-US"/>
        </w:rPr>
        <w:t>n</w:t>
      </w:r>
      <w:r>
        <w:rPr>
          <w:lang w:eastAsia="en-US"/>
        </w:rPr>
        <w:t xml:space="preserve"> </w:t>
      </w:r>
      <w:r w:rsidR="003B3AC7">
        <w:rPr>
          <w:lang w:eastAsia="en-US"/>
        </w:rPr>
        <w:t xml:space="preserve">der regionalen / kommunalen Wohnpolitik, in denen </w:t>
      </w:r>
      <w:r w:rsidR="00056557">
        <w:rPr>
          <w:lang w:eastAsia="en-US"/>
        </w:rPr>
        <w:t>der</w:t>
      </w:r>
      <w:r w:rsidR="003B3AC7">
        <w:rPr>
          <w:lang w:eastAsia="en-US"/>
        </w:rPr>
        <w:t xml:space="preserve"> Zielformulierung</w:t>
      </w:r>
      <w:r>
        <w:rPr>
          <w:lang w:eastAsia="en-US"/>
        </w:rPr>
        <w:t xml:space="preserve"> eine</w:t>
      </w:r>
      <w:r w:rsidR="003B3AC7">
        <w:rPr>
          <w:lang w:eastAsia="en-US"/>
        </w:rPr>
        <w:t>r</w:t>
      </w:r>
      <w:r>
        <w:rPr>
          <w:lang w:eastAsia="en-US"/>
        </w:rPr>
        <w:t xml:space="preserve"> ‚gute</w:t>
      </w:r>
      <w:r w:rsidR="003B3AC7">
        <w:rPr>
          <w:lang w:eastAsia="en-US"/>
        </w:rPr>
        <w:t>n</w:t>
      </w:r>
      <w:r>
        <w:rPr>
          <w:lang w:eastAsia="en-US"/>
        </w:rPr>
        <w:t>‘ soziale</w:t>
      </w:r>
      <w:r w:rsidR="003B3AC7">
        <w:rPr>
          <w:lang w:eastAsia="en-US"/>
        </w:rPr>
        <w:t>n</w:t>
      </w:r>
      <w:r>
        <w:rPr>
          <w:lang w:eastAsia="en-US"/>
        </w:rPr>
        <w:t xml:space="preserve"> Durchmischung der Wohnbevölkerung</w:t>
      </w:r>
      <w:r w:rsidR="003B3AC7">
        <w:rPr>
          <w:lang w:eastAsia="en-US"/>
        </w:rPr>
        <w:t xml:space="preserve"> ein promine</w:t>
      </w:r>
      <w:r w:rsidR="003B3AC7">
        <w:rPr>
          <w:lang w:eastAsia="en-US"/>
        </w:rPr>
        <w:t>n</w:t>
      </w:r>
      <w:r w:rsidR="003B3AC7">
        <w:rPr>
          <w:lang w:eastAsia="en-US"/>
        </w:rPr>
        <w:t>ter Stellenwert eingeräumt wird</w:t>
      </w:r>
      <w:r>
        <w:rPr>
          <w:lang w:eastAsia="en-US"/>
        </w:rPr>
        <w:t>. Danach gilt es, in der konkreten Vergabepraxis sicherzuste</w:t>
      </w:r>
      <w:r>
        <w:rPr>
          <w:lang w:eastAsia="en-US"/>
        </w:rPr>
        <w:t>l</w:t>
      </w:r>
      <w:r>
        <w:rPr>
          <w:lang w:eastAsia="en-US"/>
        </w:rPr>
        <w:t>len, dass es nicht zu Ghetto-Bildung bzw. zu</w:t>
      </w:r>
      <w:r w:rsidR="00056557">
        <w:rPr>
          <w:lang w:eastAsia="en-US"/>
        </w:rPr>
        <w:t>r Entwicklung und Verfestigung von</w:t>
      </w:r>
      <w:r>
        <w:rPr>
          <w:lang w:eastAsia="en-US"/>
        </w:rPr>
        <w:t xml:space="preserve"> </w:t>
      </w:r>
      <w:r w:rsidR="00056557">
        <w:rPr>
          <w:lang w:eastAsia="en-US"/>
        </w:rPr>
        <w:t>parallelg</w:t>
      </w:r>
      <w:r w:rsidR="00056557">
        <w:rPr>
          <w:lang w:eastAsia="en-US"/>
        </w:rPr>
        <w:t>e</w:t>
      </w:r>
      <w:r w:rsidR="00056557">
        <w:rPr>
          <w:lang w:eastAsia="en-US"/>
        </w:rPr>
        <w:t xml:space="preserve">sellschaftlichen Strukturen </w:t>
      </w:r>
      <w:r>
        <w:rPr>
          <w:lang w:eastAsia="en-US"/>
        </w:rPr>
        <w:t>kommt. Die ExpertInnen</w:t>
      </w:r>
      <w:r w:rsidR="003B3AC7">
        <w:rPr>
          <w:lang w:eastAsia="en-US"/>
        </w:rPr>
        <w:t>, die durch Interviews oder ihre Teilna</w:t>
      </w:r>
      <w:r w:rsidR="003B3AC7">
        <w:rPr>
          <w:lang w:eastAsia="en-US"/>
        </w:rPr>
        <w:t>h</w:t>
      </w:r>
      <w:r w:rsidR="003B3AC7">
        <w:rPr>
          <w:lang w:eastAsia="en-US"/>
        </w:rPr>
        <w:t>me an Gesprächsrunden an dieser Studie mitgewirkt haben (siehe Aufstellung im Anhang),</w:t>
      </w:r>
      <w:r>
        <w:rPr>
          <w:lang w:eastAsia="en-US"/>
        </w:rPr>
        <w:t xml:space="preserve"> stimmen weitestgehend darin überein, dass es sich hie</w:t>
      </w:r>
      <w:r w:rsidR="003B3AC7">
        <w:rPr>
          <w:lang w:eastAsia="en-US"/>
        </w:rPr>
        <w:t>r um eine Gratwanderung handelt. Danach gilt es</w:t>
      </w:r>
      <w:r>
        <w:rPr>
          <w:lang w:eastAsia="en-US"/>
        </w:rPr>
        <w:t xml:space="preserve"> auf der einen Seite</w:t>
      </w:r>
      <w:r w:rsidR="003B3AC7">
        <w:rPr>
          <w:lang w:eastAsia="en-US"/>
        </w:rPr>
        <w:t>,</w:t>
      </w:r>
      <w:r>
        <w:rPr>
          <w:lang w:eastAsia="en-US"/>
        </w:rPr>
        <w:t xml:space="preserve"> informelle </w:t>
      </w:r>
      <w:r w:rsidR="002254C2">
        <w:rPr>
          <w:lang w:eastAsia="en-US"/>
        </w:rPr>
        <w:t>Regeln und Zielvorstellungen bezüglich</w:t>
      </w:r>
      <w:r>
        <w:rPr>
          <w:lang w:eastAsia="en-US"/>
        </w:rPr>
        <w:t xml:space="preserve"> der Zusammensetzung der Wohnbevölkerung einzuhalten</w:t>
      </w:r>
      <w:r w:rsidR="005B757A">
        <w:rPr>
          <w:lang w:eastAsia="en-US"/>
        </w:rPr>
        <w:t>,</w:t>
      </w:r>
      <w:r>
        <w:rPr>
          <w:lang w:eastAsia="en-US"/>
        </w:rPr>
        <w:t xml:space="preserve"> auf der anderen Seite aber </w:t>
      </w:r>
      <w:r w:rsidR="003B3AC7">
        <w:rPr>
          <w:lang w:eastAsia="en-US"/>
        </w:rPr>
        <w:t xml:space="preserve">muss </w:t>
      </w:r>
      <w:r>
        <w:rPr>
          <w:lang w:eastAsia="en-US"/>
        </w:rPr>
        <w:t xml:space="preserve">die Kehrseite von Quoten, nämlich die Ausgrenzung </w:t>
      </w:r>
      <w:r w:rsidR="003F4A81">
        <w:rPr>
          <w:lang w:eastAsia="en-US"/>
        </w:rPr>
        <w:t>und damit gesetzwidrige</w:t>
      </w:r>
      <w:r w:rsidR="003B3AC7">
        <w:rPr>
          <w:lang w:eastAsia="en-US"/>
        </w:rPr>
        <w:t xml:space="preserve"> Diskriminierung </w:t>
      </w:r>
      <w:r>
        <w:rPr>
          <w:lang w:eastAsia="en-US"/>
        </w:rPr>
        <w:t xml:space="preserve">von </w:t>
      </w:r>
      <w:r w:rsidR="003F4A81">
        <w:rPr>
          <w:lang w:eastAsia="en-US"/>
        </w:rPr>
        <w:t xml:space="preserve">WohnungswerberInnen aus jenen </w:t>
      </w:r>
      <w:r>
        <w:rPr>
          <w:lang w:eastAsia="en-US"/>
        </w:rPr>
        <w:t>Teilgruppen der Wohnbevölkerung</w:t>
      </w:r>
      <w:r w:rsidR="003F4A81">
        <w:rPr>
          <w:lang w:eastAsia="en-US"/>
        </w:rPr>
        <w:t>, die bereits übe</w:t>
      </w:r>
      <w:r w:rsidR="003F4A81">
        <w:rPr>
          <w:lang w:eastAsia="en-US"/>
        </w:rPr>
        <w:t>r</w:t>
      </w:r>
      <w:r w:rsidR="003F4A81">
        <w:rPr>
          <w:lang w:eastAsia="en-US"/>
        </w:rPr>
        <w:t>repräsentiert sind</w:t>
      </w:r>
      <w:r w:rsidR="005B757A">
        <w:rPr>
          <w:lang w:eastAsia="en-US"/>
        </w:rPr>
        <w:t>,</w:t>
      </w:r>
      <w:r>
        <w:rPr>
          <w:lang w:eastAsia="en-US"/>
        </w:rPr>
        <w:t xml:space="preserve"> </w:t>
      </w:r>
      <w:r w:rsidR="003B3AC7">
        <w:rPr>
          <w:lang w:eastAsia="en-US"/>
        </w:rPr>
        <w:t>vermieden werden</w:t>
      </w:r>
      <w:r>
        <w:rPr>
          <w:lang w:eastAsia="en-US"/>
        </w:rPr>
        <w:t xml:space="preserve">. </w:t>
      </w:r>
    </w:p>
    <w:p w:rsidR="00587957" w:rsidRDefault="007A1F19" w:rsidP="00044AF0">
      <w:pPr>
        <w:pBdr>
          <w:top w:val="single" w:sz="4" w:space="7" w:color="auto"/>
          <w:left w:val="single" w:sz="4" w:space="4" w:color="auto"/>
          <w:bottom w:val="single" w:sz="4" w:space="1" w:color="auto"/>
          <w:right w:val="single" w:sz="4" w:space="4" w:color="auto"/>
        </w:pBdr>
        <w:spacing w:beforeLines="40" w:afterLines="40" w:line="240" w:lineRule="auto"/>
        <w:ind w:left="708" w:right="567"/>
        <w:rPr>
          <w:i/>
          <w:sz w:val="20"/>
        </w:rPr>
      </w:pPr>
      <w:r w:rsidRPr="00C55641">
        <w:rPr>
          <w:i/>
          <w:sz w:val="20"/>
        </w:rPr>
        <w:lastRenderedPageBreak/>
        <w:t xml:space="preserve">„Durchmischung, um ein gutes Zusammenleben zu fördern, könnte ein legitimes Ziel im Sinne des Gleichbehandlungsgesetzes sein. Aber: Wie kann das praktisch gehandhabt werden? Was sind die Kriterien für ein gutes Zusammenleben? </w:t>
      </w:r>
    </w:p>
    <w:p w:rsidR="00587957" w:rsidRDefault="007A1F19" w:rsidP="00044AF0">
      <w:pPr>
        <w:pBdr>
          <w:top w:val="single" w:sz="4" w:space="7" w:color="auto"/>
          <w:left w:val="single" w:sz="4" w:space="4" w:color="auto"/>
          <w:bottom w:val="single" w:sz="4" w:space="1" w:color="auto"/>
          <w:right w:val="single" w:sz="4" w:space="4" w:color="auto"/>
        </w:pBdr>
        <w:spacing w:beforeLines="40" w:afterLines="40" w:line="240" w:lineRule="auto"/>
        <w:ind w:left="708" w:right="567"/>
        <w:rPr>
          <w:i/>
          <w:sz w:val="20"/>
        </w:rPr>
      </w:pPr>
      <w:r w:rsidRPr="00C55641">
        <w:rPr>
          <w:i/>
          <w:sz w:val="20"/>
        </w:rPr>
        <w:t>Die Maßnahmen zur Erreichung dieses Zieles müssen allerdings angemessen und sac</w:t>
      </w:r>
      <w:r w:rsidRPr="00C55641">
        <w:rPr>
          <w:i/>
          <w:sz w:val="20"/>
        </w:rPr>
        <w:t>h</w:t>
      </w:r>
      <w:r w:rsidRPr="00C55641">
        <w:rPr>
          <w:i/>
          <w:sz w:val="20"/>
        </w:rPr>
        <w:t>lich gerechtfertigt sein</w:t>
      </w:r>
      <w:r w:rsidR="007C6CB9">
        <w:rPr>
          <w:i/>
          <w:sz w:val="20"/>
        </w:rPr>
        <w:t xml:space="preserve"> und dürfen nicht zu einer Benachteiligung von nicht-österreichi</w:t>
      </w:r>
      <w:r w:rsidR="00730C39">
        <w:rPr>
          <w:i/>
          <w:sz w:val="20"/>
        </w:rPr>
        <w:softHyphen/>
      </w:r>
      <w:r w:rsidR="007C6CB9">
        <w:rPr>
          <w:i/>
          <w:sz w:val="20"/>
        </w:rPr>
        <w:t>schen Haushalten führen</w:t>
      </w:r>
      <w:r w:rsidR="007C6CB9">
        <w:rPr>
          <w:rStyle w:val="Funotenzeichen"/>
          <w:i/>
          <w:sz w:val="20"/>
        </w:rPr>
        <w:footnoteReference w:id="13"/>
      </w:r>
      <w:r w:rsidRPr="00C55641">
        <w:rPr>
          <w:i/>
          <w:sz w:val="20"/>
        </w:rPr>
        <w:t xml:space="preserve">. </w:t>
      </w:r>
    </w:p>
    <w:p w:rsidR="001E30B4" w:rsidRDefault="007A1F19" w:rsidP="00044AF0">
      <w:pPr>
        <w:pBdr>
          <w:top w:val="single" w:sz="4" w:space="7" w:color="auto"/>
          <w:left w:val="single" w:sz="4" w:space="4" w:color="auto"/>
          <w:bottom w:val="single" w:sz="4" w:space="1" w:color="auto"/>
          <w:right w:val="single" w:sz="4" w:space="4" w:color="auto"/>
        </w:pBdr>
        <w:spacing w:beforeLines="40" w:afterLines="40" w:line="240" w:lineRule="auto"/>
        <w:ind w:left="708" w:right="567"/>
        <w:jc w:val="right"/>
        <w:rPr>
          <w:i/>
          <w:sz w:val="20"/>
        </w:rPr>
      </w:pPr>
      <w:r w:rsidRPr="00C55641">
        <w:rPr>
          <w:i/>
          <w:sz w:val="20"/>
        </w:rPr>
        <w:t>Interview Gleichbehandlungsanwaltschaft</w:t>
      </w:r>
    </w:p>
    <w:p w:rsidR="000D7D59" w:rsidRDefault="007A1F19" w:rsidP="00323332">
      <w:pPr>
        <w:rPr>
          <w:lang w:eastAsia="en-US"/>
        </w:rPr>
      </w:pPr>
      <w:r>
        <w:rPr>
          <w:lang w:eastAsia="en-US"/>
        </w:rPr>
        <w:br/>
      </w:r>
      <w:r w:rsidR="00323332">
        <w:rPr>
          <w:lang w:eastAsia="en-US"/>
        </w:rPr>
        <w:t>Wichtig erscheint in diesem Zusammenhang der wiederholt geäußerte Hinweis darauf, dass es für diese Vorgangsweise keine einfachen Regeln und / oder klaren Handlungsanweisu</w:t>
      </w:r>
      <w:r w:rsidR="00323332">
        <w:rPr>
          <w:lang w:eastAsia="en-US"/>
        </w:rPr>
        <w:t>n</w:t>
      </w:r>
      <w:r w:rsidR="00323332">
        <w:rPr>
          <w:lang w:eastAsia="en-US"/>
        </w:rPr>
        <w:t>gen gibt, dass vielmehr Sensibilität, Aufmerksamkeit und Erfahrungswissen gefragt sind, die von den zuständigen ReferentInnen der Wohnungsvergabe in der Praxis erprobt, gesammelt und elaboriert werden müssen.</w:t>
      </w:r>
      <w:r>
        <w:rPr>
          <w:lang w:eastAsia="en-US"/>
        </w:rPr>
        <w:br/>
      </w:r>
    </w:p>
    <w:p w:rsidR="00C55641" w:rsidRDefault="00C55641" w:rsidP="00C55641">
      <w:pPr>
        <w:pBdr>
          <w:top w:val="single" w:sz="4" w:space="1" w:color="auto"/>
          <w:left w:val="single" w:sz="4" w:space="4" w:color="auto"/>
          <w:bottom w:val="single" w:sz="4" w:space="1" w:color="auto"/>
          <w:right w:val="single" w:sz="4" w:space="4" w:color="auto"/>
        </w:pBdr>
        <w:spacing w:before="40" w:after="40" w:line="240" w:lineRule="auto"/>
        <w:ind w:left="567" w:right="425"/>
        <w:rPr>
          <w:i/>
          <w:sz w:val="20"/>
        </w:rPr>
      </w:pPr>
      <w:r>
        <w:rPr>
          <w:i/>
          <w:sz w:val="20"/>
        </w:rPr>
        <w:t>„</w:t>
      </w:r>
      <w:r w:rsidRPr="00C55641">
        <w:rPr>
          <w:i/>
          <w:sz w:val="20"/>
        </w:rPr>
        <w:t>In der Frage der angestrebten Durchmischung in den S</w:t>
      </w:r>
      <w:r w:rsidR="00730C39">
        <w:rPr>
          <w:i/>
          <w:sz w:val="20"/>
        </w:rPr>
        <w:t>iedlungen gibt es keine formale</w:t>
      </w:r>
      <w:r w:rsidRPr="00C55641">
        <w:rPr>
          <w:i/>
          <w:sz w:val="20"/>
        </w:rPr>
        <w:t xml:space="preserve"> Quote</w:t>
      </w:r>
      <w:r w:rsidR="000D1388">
        <w:rPr>
          <w:rStyle w:val="Funotenzeichen"/>
          <w:i/>
          <w:sz w:val="20"/>
        </w:rPr>
        <w:footnoteReference w:id="14"/>
      </w:r>
      <w:r w:rsidRPr="00C55641">
        <w:rPr>
          <w:i/>
          <w:sz w:val="20"/>
        </w:rPr>
        <w:t xml:space="preserve"> bzw. generelle Formel. Die Vorgangsweise beruht eher auf einem kontinuierlichen Lernprozess und baut auf individuell gestalteten Vorsorgen für Beratung und Abklärung von Bedürfnissen der WohnungswerberInnen auf; wichtig dafür sind die persönlichen Kenntnisse </w:t>
      </w:r>
      <w:r>
        <w:rPr>
          <w:i/>
          <w:sz w:val="20"/>
        </w:rPr>
        <w:t>der zuständigen ReferentIn</w:t>
      </w:r>
      <w:r w:rsidR="000C3B44">
        <w:rPr>
          <w:i/>
          <w:sz w:val="20"/>
        </w:rPr>
        <w:t>nen</w:t>
      </w:r>
      <w:r>
        <w:rPr>
          <w:i/>
          <w:sz w:val="20"/>
        </w:rPr>
        <w:t xml:space="preserve"> über das jeweilige Umfeld</w:t>
      </w:r>
      <w:r w:rsidRPr="00C55641">
        <w:rPr>
          <w:i/>
          <w:sz w:val="20"/>
        </w:rPr>
        <w:t xml:space="preserve"> der zu vergebenden Wohnungen</w:t>
      </w:r>
      <w:r w:rsidR="000C3B44">
        <w:rPr>
          <w:i/>
          <w:sz w:val="20"/>
        </w:rPr>
        <w:t xml:space="preserve"> und eine enge Kooperation mit den Hausverwaltungen</w:t>
      </w:r>
      <w:r w:rsidRPr="00C55641">
        <w:rPr>
          <w:i/>
          <w:sz w:val="20"/>
        </w:rPr>
        <w:t>.</w:t>
      </w:r>
      <w:r>
        <w:rPr>
          <w:i/>
          <w:sz w:val="20"/>
        </w:rPr>
        <w:t>“</w:t>
      </w:r>
    </w:p>
    <w:p w:rsidR="00C55641" w:rsidRPr="00C55641" w:rsidRDefault="00C55641" w:rsidP="00C55641">
      <w:pPr>
        <w:pBdr>
          <w:top w:val="single" w:sz="4" w:space="1" w:color="auto"/>
          <w:left w:val="single" w:sz="4" w:space="4" w:color="auto"/>
          <w:bottom w:val="single" w:sz="4" w:space="1" w:color="auto"/>
          <w:right w:val="single" w:sz="4" w:space="4" w:color="auto"/>
        </w:pBdr>
        <w:spacing w:before="40" w:after="40" w:line="240" w:lineRule="auto"/>
        <w:ind w:left="567" w:right="425"/>
        <w:jc w:val="right"/>
        <w:rPr>
          <w:i/>
          <w:sz w:val="20"/>
        </w:rPr>
      </w:pPr>
      <w:r>
        <w:rPr>
          <w:i/>
          <w:sz w:val="20"/>
        </w:rPr>
        <w:t>Interview kommunale</w:t>
      </w:r>
      <w:r w:rsidR="00951878">
        <w:rPr>
          <w:i/>
          <w:sz w:val="20"/>
        </w:rPr>
        <w:t>s</w:t>
      </w:r>
      <w:r>
        <w:rPr>
          <w:i/>
          <w:sz w:val="20"/>
        </w:rPr>
        <w:t xml:space="preserve"> Wohnungsamt</w:t>
      </w:r>
    </w:p>
    <w:p w:rsidR="000D7D59" w:rsidRDefault="000D7D59" w:rsidP="000D7D59">
      <w:pPr>
        <w:rPr>
          <w:lang w:eastAsia="en-US"/>
        </w:rPr>
      </w:pPr>
    </w:p>
    <w:p w:rsidR="00170925" w:rsidRDefault="000C3B44" w:rsidP="00E23216">
      <w:pPr>
        <w:pStyle w:val="berschrift3"/>
        <w:rPr>
          <w:lang w:eastAsia="en-US"/>
        </w:rPr>
      </w:pPr>
      <w:r>
        <w:rPr>
          <w:lang w:eastAsia="en-US"/>
        </w:rPr>
        <w:t>1.3</w:t>
      </w:r>
      <w:r>
        <w:rPr>
          <w:lang w:eastAsia="en-US"/>
        </w:rPr>
        <w:tab/>
      </w:r>
      <w:r w:rsidR="00170925">
        <w:rPr>
          <w:lang w:eastAsia="en-US"/>
        </w:rPr>
        <w:t>Wohnungsbestand und Vergabevolumen am öffentlichen Wohnungsmarkt</w:t>
      </w:r>
      <w:r w:rsidR="00E2105B">
        <w:rPr>
          <w:lang w:eastAsia="en-US"/>
        </w:rPr>
        <w:br/>
      </w:r>
    </w:p>
    <w:p w:rsidR="00166A6E" w:rsidRPr="00E2105B" w:rsidRDefault="00F8153D" w:rsidP="00E2105B">
      <w:pPr>
        <w:rPr>
          <w:lang w:val="de-AT" w:eastAsia="en-US"/>
        </w:rPr>
      </w:pPr>
      <w:r>
        <w:rPr>
          <w:lang w:val="de-AT" w:eastAsia="en-US"/>
        </w:rPr>
        <w:t>Einrichtungen im Umfeld des öffentlichen Wohnungsmarktes sind überwiegend mit der Ve</w:t>
      </w:r>
      <w:r>
        <w:rPr>
          <w:lang w:val="de-AT" w:eastAsia="en-US"/>
        </w:rPr>
        <w:t>r</w:t>
      </w:r>
      <w:r>
        <w:rPr>
          <w:lang w:val="de-AT" w:eastAsia="en-US"/>
        </w:rPr>
        <w:t>waltung oder Vergabe von Gemeindewohnungen bzw. geförderten Mietwohnungen und / oder mit der Beratung, Betreuung bzw. Vertretung von MieterInnen aus diesem Segment des Wohnungsmarktes befasst. Demgegenüber stehen Wohnungen des privaten Wohnungsmar</w:t>
      </w:r>
      <w:r>
        <w:rPr>
          <w:lang w:val="de-AT" w:eastAsia="en-US"/>
        </w:rPr>
        <w:t>k</w:t>
      </w:r>
      <w:r>
        <w:rPr>
          <w:lang w:val="de-AT" w:eastAsia="en-US"/>
        </w:rPr>
        <w:t xml:space="preserve">tes respektive darin lebende Personen bei einem knappen Drittel der TeilnehmerInnen an der Fragebogenerhebung (30%) im </w:t>
      </w:r>
      <w:r w:rsidR="000C3B44">
        <w:rPr>
          <w:lang w:val="de-AT" w:eastAsia="en-US"/>
        </w:rPr>
        <w:t>Mittelpunkt der Aufgabenstellung</w:t>
      </w:r>
      <w:r>
        <w:rPr>
          <w:lang w:val="de-AT" w:eastAsia="en-US"/>
        </w:rPr>
        <w:t>.</w:t>
      </w:r>
      <w:r w:rsidR="003B3AC7">
        <w:rPr>
          <w:lang w:val="de-AT" w:eastAsia="en-US"/>
        </w:rPr>
        <w:br/>
      </w:r>
    </w:p>
    <w:p w:rsidR="00730C39" w:rsidRDefault="00730C39">
      <w:pPr>
        <w:spacing w:before="180" w:after="240" w:line="336" w:lineRule="auto"/>
        <w:jc w:val="center"/>
        <w:rPr>
          <w:rStyle w:val="SchwacherVerweis"/>
        </w:rPr>
      </w:pPr>
      <w:r>
        <w:rPr>
          <w:rStyle w:val="SchwacherVerweis"/>
        </w:rPr>
        <w:br w:type="page"/>
      </w:r>
    </w:p>
    <w:p w:rsidR="00170925" w:rsidRPr="007866AA" w:rsidRDefault="007866AA" w:rsidP="00170925">
      <w:pPr>
        <w:rPr>
          <w:rStyle w:val="SchwacherVerweis"/>
        </w:rPr>
      </w:pPr>
      <w:r w:rsidRPr="007866AA">
        <w:rPr>
          <w:rStyle w:val="SchwacherVerweis"/>
        </w:rPr>
        <w:lastRenderedPageBreak/>
        <w:t xml:space="preserve">Grafik 2: </w:t>
      </w:r>
      <w:r>
        <w:rPr>
          <w:rStyle w:val="SchwacherVerweis"/>
        </w:rPr>
        <w:t>Untergliederung des Wohnungsbestands</w:t>
      </w:r>
    </w:p>
    <w:p w:rsidR="00170925" w:rsidRDefault="00170925" w:rsidP="00170925">
      <w:r w:rsidRPr="00577FFC">
        <w:rPr>
          <w:noProof/>
          <w:lang w:val="de-AT" w:eastAsia="de-AT"/>
        </w:rPr>
        <w:drawing>
          <wp:inline distT="0" distB="0" distL="0" distR="0">
            <wp:extent cx="4572000" cy="2743200"/>
            <wp:effectExtent l="19050" t="0" r="19050" b="0"/>
            <wp:docPr id="8"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br/>
      </w:r>
    </w:p>
    <w:p w:rsidR="00170925" w:rsidRDefault="00170925" w:rsidP="00170925">
      <w:r>
        <w:t xml:space="preserve">Überwiegend sind die beteiligten Einrichtungen mit der Verwaltung </w:t>
      </w:r>
      <w:r w:rsidR="00730C39">
        <w:t>sowie</w:t>
      </w:r>
      <w:r>
        <w:t xml:space="preserve"> Vergabe von Mie</w:t>
      </w:r>
      <w:r>
        <w:t>t</w:t>
      </w:r>
      <w:r>
        <w:t>wohnungen befasst, die entweder direkt in der Regie von Städten stehen oder au</w:t>
      </w:r>
      <w:r w:rsidR="003B3AC7">
        <w:t>s Mitteln der Wohnbauförderung</w:t>
      </w:r>
      <w:r>
        <w:t xml:space="preserve"> errichtet wurden. Weitere 20% der Nennungen betreffen geförderte Eigentumswohnungen. Etwa </w:t>
      </w:r>
      <w:r w:rsidR="00166A6E">
        <w:t>3</w:t>
      </w:r>
      <w:r>
        <w:t>0% der RespondentInnen betreuen auch Wohnungen des pr</w:t>
      </w:r>
      <w:r>
        <w:t>i</w:t>
      </w:r>
      <w:r>
        <w:t>vaten Wohnungsmarktes.</w:t>
      </w:r>
      <w:r>
        <w:br/>
      </w:r>
    </w:p>
    <w:p w:rsidR="007866AA" w:rsidRPr="007866AA" w:rsidRDefault="007866AA" w:rsidP="00170925">
      <w:pPr>
        <w:rPr>
          <w:rStyle w:val="SchwacherVerweis"/>
        </w:rPr>
      </w:pPr>
      <w:r>
        <w:rPr>
          <w:rStyle w:val="SchwacherVerweis"/>
        </w:rPr>
        <w:t>Grafik 3: Volumen des Wohnungsbestands der Einrichtungen</w:t>
      </w:r>
    </w:p>
    <w:p w:rsidR="007866AA" w:rsidRDefault="007866AA" w:rsidP="007866AA">
      <w:r w:rsidRPr="005640D3">
        <w:rPr>
          <w:noProof/>
          <w:lang w:val="de-AT" w:eastAsia="de-AT"/>
        </w:rPr>
        <w:drawing>
          <wp:inline distT="0" distB="0" distL="0" distR="0">
            <wp:extent cx="5486400" cy="3238500"/>
            <wp:effectExtent l="19050" t="0" r="19050" b="0"/>
            <wp:docPr id="14" name="Diagram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br/>
      </w:r>
    </w:p>
    <w:p w:rsidR="007866AA" w:rsidRDefault="007866AA" w:rsidP="007866AA">
      <w:r>
        <w:lastRenderedPageBreak/>
        <w:t>Während etwa jede fünfte Einrichtung (22%) keine Wohnungen verwaltet bzw. vergeben kann, zeichnet etwa jede dritte Einrichtung (33,5%) für einen Bestand von mehr als 1000 Wohnungen verantwortlich. Die weiteren Einrichtungen streuen zwischen einem Bestandsv</w:t>
      </w:r>
      <w:r>
        <w:t>o</w:t>
      </w:r>
      <w:r>
        <w:t>lumen von weniger als 100 Wohnungen (28%), zwischen 101 und 500 (11%) und zwischen 501 und 1000 Wohnungen (6%).</w:t>
      </w:r>
    </w:p>
    <w:p w:rsidR="007866AA" w:rsidRDefault="007866AA" w:rsidP="007866AA">
      <w:r>
        <w:t>Dabei handelt es sich überwiegend um Mietwohnungen (vgl. dazu Tab. 5 im Anhang). Eige</w:t>
      </w:r>
      <w:r>
        <w:t>n</w:t>
      </w:r>
      <w:r>
        <w:t>tumswohnungen</w:t>
      </w:r>
      <w:r w:rsidRPr="00370418">
        <w:t xml:space="preserve"> </w:t>
      </w:r>
      <w:r>
        <w:t>bilden bei einer Minderheit der RespondentInnen einen nennenswerten Anteil am Wohnungsbestand. Bei jeder siebten Einrichtung (14%) beträgt dieser Anteil wen</w:t>
      </w:r>
      <w:r>
        <w:t>i</w:t>
      </w:r>
      <w:r>
        <w:t>ger als 10% des Wohnungsbestandes. Bei 14 Einrichtungen (7%) liegt der Anteil von Eige</w:t>
      </w:r>
      <w:r>
        <w:t>n</w:t>
      </w:r>
      <w:r>
        <w:t>tumswohnungen über einem Zehntel des Bestands.</w:t>
      </w:r>
      <w:r>
        <w:br/>
      </w:r>
    </w:p>
    <w:p w:rsidR="005640D3" w:rsidRDefault="00E23216" w:rsidP="00E23216">
      <w:pPr>
        <w:pStyle w:val="berschrift3"/>
        <w:rPr>
          <w:lang w:eastAsia="en-US"/>
        </w:rPr>
      </w:pPr>
      <w:r>
        <w:rPr>
          <w:lang w:eastAsia="en-US"/>
        </w:rPr>
        <w:t>1.4</w:t>
      </w:r>
      <w:r>
        <w:rPr>
          <w:lang w:eastAsia="en-US"/>
        </w:rPr>
        <w:tab/>
      </w:r>
      <w:r w:rsidR="00170925">
        <w:rPr>
          <w:lang w:eastAsia="en-US"/>
        </w:rPr>
        <w:t xml:space="preserve">Zusammensetzung der </w:t>
      </w:r>
      <w:r w:rsidR="007D7FBF">
        <w:rPr>
          <w:lang w:eastAsia="en-US"/>
        </w:rPr>
        <w:t>Wohnbevölkerung</w:t>
      </w:r>
      <w:r w:rsidR="00EC7429" w:rsidRPr="00EC7429">
        <w:rPr>
          <w:lang w:eastAsia="en-US"/>
        </w:rPr>
        <w:t xml:space="preserve"> </w:t>
      </w:r>
      <w:r w:rsidR="00170925">
        <w:rPr>
          <w:lang w:eastAsia="en-US"/>
        </w:rPr>
        <w:t xml:space="preserve">im </w:t>
      </w:r>
      <w:r w:rsidR="007D7FBF">
        <w:rPr>
          <w:lang w:eastAsia="en-US"/>
        </w:rPr>
        <w:t>öffentlichen Wohnungsmark</w:t>
      </w:r>
      <w:r w:rsidR="007D7FBF">
        <w:rPr>
          <w:lang w:eastAsia="en-US"/>
        </w:rPr>
        <w:t>t</w:t>
      </w:r>
      <w:r w:rsidR="007D7FBF">
        <w:rPr>
          <w:lang w:eastAsia="en-US"/>
        </w:rPr>
        <w:t>segment</w:t>
      </w:r>
    </w:p>
    <w:p w:rsidR="0011374F" w:rsidRDefault="00CA390B">
      <w:r>
        <w:br/>
      </w:r>
      <w:r w:rsidR="002254C2">
        <w:t>Aufgrund der</w:t>
      </w:r>
      <w:r w:rsidR="005B757A">
        <w:t xml:space="preserve"> br</w:t>
      </w:r>
      <w:r w:rsidR="0011374F">
        <w:t>ei</w:t>
      </w:r>
      <w:r w:rsidR="005B757A">
        <w:t>te</w:t>
      </w:r>
      <w:r w:rsidR="002254C2">
        <w:t>n</w:t>
      </w:r>
      <w:r w:rsidR="005B757A">
        <w:t xml:space="preserve"> Beteiligung an der Fragebogenerhebung</w:t>
      </w:r>
      <w:r w:rsidR="0011374F">
        <w:t xml:space="preserve"> </w:t>
      </w:r>
      <w:r w:rsidR="002254C2">
        <w:t xml:space="preserve">ist es </w:t>
      </w:r>
      <w:r w:rsidR="003B3AC7">
        <w:t xml:space="preserve">hier </w:t>
      </w:r>
      <w:r w:rsidR="002254C2">
        <w:t>möglich,</w:t>
      </w:r>
      <w:r w:rsidR="005B757A">
        <w:t xml:space="preserve"> einen </w:t>
      </w:r>
      <w:r w:rsidR="0011374F">
        <w:t>A</w:t>
      </w:r>
      <w:r w:rsidR="0011374F">
        <w:t>n</w:t>
      </w:r>
      <w:r w:rsidR="0011374F">
        <w:t>näherungswert über die ethnische Zusammensetzung der Haushalte im geförderten Woh</w:t>
      </w:r>
      <w:r w:rsidR="0011374F">
        <w:t>n</w:t>
      </w:r>
      <w:r w:rsidR="0011374F">
        <w:t xml:space="preserve">bau, </w:t>
      </w:r>
      <w:r w:rsidR="002254C2">
        <w:t>mit Schwerpunkt auf das Segment der geförderten</w:t>
      </w:r>
      <w:r w:rsidR="0011374F">
        <w:t xml:space="preserve"> Mietwohnungen</w:t>
      </w:r>
      <w:r w:rsidR="002254C2">
        <w:t>, zu bilden</w:t>
      </w:r>
      <w:r w:rsidR="0011374F">
        <w:t>. Insb</w:t>
      </w:r>
      <w:r w:rsidR="0011374F">
        <w:t>e</w:t>
      </w:r>
      <w:r w:rsidR="0011374F">
        <w:t>sondere wichtig erscheint hier der Hinweis darauf, dass im geförderten Wohnbau mit einigen wenigen Ausnahmen eine breite Mischung von Personen mit unterschiedlicher Staatsbürge</w:t>
      </w:r>
      <w:r w:rsidR="0011374F">
        <w:t>r</w:t>
      </w:r>
      <w:r w:rsidR="0011374F">
        <w:t xml:space="preserve">schaft bzw. Migrationshintergrund versammelt ist. </w:t>
      </w:r>
      <w:r w:rsidR="00170925">
        <w:br/>
      </w:r>
    </w:p>
    <w:p w:rsidR="00170925" w:rsidRPr="00E23216" w:rsidRDefault="00170925" w:rsidP="00E23216">
      <w:pPr>
        <w:pStyle w:val="Listenabsatz"/>
        <w:numPr>
          <w:ilvl w:val="2"/>
          <w:numId w:val="31"/>
        </w:numPr>
        <w:ind w:left="1418" w:hanging="709"/>
        <w:rPr>
          <w:u w:val="single"/>
        </w:rPr>
      </w:pPr>
      <w:r w:rsidRPr="00E23216">
        <w:rPr>
          <w:u w:val="single"/>
        </w:rPr>
        <w:t>Verhältnis der MieterInnen nach ihrer Staatsbürgerschaft</w:t>
      </w:r>
    </w:p>
    <w:p w:rsidR="00C33E40" w:rsidRDefault="00642B30">
      <w:r>
        <w:t xml:space="preserve">Im Durchschnitt der RespondentInnen </w:t>
      </w:r>
      <w:r w:rsidR="003C23C1">
        <w:t xml:space="preserve">(vgl. im Detail Tab. 5 im Anhang) </w:t>
      </w:r>
      <w:r>
        <w:t>zeigt sich</w:t>
      </w:r>
      <w:r w:rsidR="000D7D59">
        <w:t>, dass in den meisten Wohnungsbeständen</w:t>
      </w:r>
      <w:r>
        <w:t xml:space="preserve"> eine </w:t>
      </w:r>
      <w:r w:rsidR="00C33E40">
        <w:t xml:space="preserve">gemischte </w:t>
      </w:r>
      <w:r>
        <w:t>Wohnungsbelegung nach staatsbürgerl</w:t>
      </w:r>
      <w:r>
        <w:t>i</w:t>
      </w:r>
      <w:r>
        <w:t>chem Status</w:t>
      </w:r>
      <w:r w:rsidR="000D7D59">
        <w:t xml:space="preserve"> gegeben ist</w:t>
      </w:r>
      <w:r>
        <w:t xml:space="preserve">. </w:t>
      </w:r>
      <w:r w:rsidR="00C33E40">
        <w:t xml:space="preserve">Lediglich </w:t>
      </w:r>
      <w:r w:rsidR="000D7D59">
        <w:t xml:space="preserve">bei </w:t>
      </w:r>
      <w:r w:rsidR="00C33E40">
        <w:t>etwa jede</w:t>
      </w:r>
      <w:r w:rsidR="000D7D59">
        <w:t>r</w:t>
      </w:r>
      <w:r w:rsidR="00C33E40">
        <w:t xml:space="preserve"> fünfte</w:t>
      </w:r>
      <w:r w:rsidR="000D7D59">
        <w:t>n</w:t>
      </w:r>
      <w:r w:rsidR="00C33E40">
        <w:t xml:space="preserve"> Einrichtung </w:t>
      </w:r>
      <w:r w:rsidR="000D7D59">
        <w:t xml:space="preserve">wird die Belegung von </w:t>
      </w:r>
      <w:r w:rsidR="00C33E40">
        <w:t>einer Statusgruppe (überwiegend handelt es sich dabei um ÖsterreicherInnen)</w:t>
      </w:r>
      <w:r w:rsidR="000D7D59">
        <w:t xml:space="preserve"> dominiert</w:t>
      </w:r>
      <w:r w:rsidR="00C33E40">
        <w:t>.</w:t>
      </w:r>
      <w:r w:rsidR="003C23C1">
        <w:br/>
      </w:r>
    </w:p>
    <w:p w:rsidR="00730C39" w:rsidRDefault="00730C39">
      <w:pPr>
        <w:spacing w:before="180" w:after="240" w:line="336" w:lineRule="auto"/>
        <w:jc w:val="center"/>
        <w:rPr>
          <w:rStyle w:val="SchwacherVerweis"/>
        </w:rPr>
      </w:pPr>
      <w:r>
        <w:rPr>
          <w:rStyle w:val="SchwacherVerweis"/>
        </w:rPr>
        <w:br w:type="page"/>
      </w:r>
    </w:p>
    <w:p w:rsidR="00C55641" w:rsidRPr="00C55641" w:rsidRDefault="00C55641">
      <w:pPr>
        <w:rPr>
          <w:rStyle w:val="SchwacherVerweis"/>
        </w:rPr>
      </w:pPr>
      <w:r w:rsidRPr="00C55641">
        <w:rPr>
          <w:rStyle w:val="SchwacherVerweis"/>
        </w:rPr>
        <w:lastRenderedPageBreak/>
        <w:t>Grafik</w:t>
      </w:r>
      <w:r w:rsidR="00C50017">
        <w:rPr>
          <w:rStyle w:val="SchwacherVerweis"/>
        </w:rPr>
        <w:t xml:space="preserve"> </w:t>
      </w:r>
      <w:r w:rsidR="007866AA">
        <w:rPr>
          <w:rStyle w:val="SchwacherVerweis"/>
        </w:rPr>
        <w:t>4</w:t>
      </w:r>
      <w:r w:rsidRPr="00C55641">
        <w:rPr>
          <w:rStyle w:val="SchwacherVerweis"/>
        </w:rPr>
        <w:t>: Verteilung der MieterInnen nach Staatsbürgerschaft</w:t>
      </w:r>
    </w:p>
    <w:p w:rsidR="003C23C1" w:rsidRDefault="003C23C1">
      <w:r w:rsidRPr="003C23C1">
        <w:rPr>
          <w:noProof/>
          <w:lang w:val="de-AT" w:eastAsia="de-AT"/>
        </w:rPr>
        <w:drawing>
          <wp:inline distT="0" distB="0" distL="0" distR="0">
            <wp:extent cx="4572000" cy="2743200"/>
            <wp:effectExtent l="19050" t="0" r="19050" b="0"/>
            <wp:docPr id="2"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br/>
      </w:r>
    </w:p>
    <w:p w:rsidR="00C33E40" w:rsidRDefault="00C33E40">
      <w:r>
        <w:t xml:space="preserve">Etwas vereinfacht </w:t>
      </w:r>
      <w:r w:rsidR="0011374F">
        <w:t xml:space="preserve">dargestellt </w:t>
      </w:r>
      <w:r>
        <w:t xml:space="preserve">setzt sich die </w:t>
      </w:r>
      <w:r w:rsidR="0011374F">
        <w:t xml:space="preserve">durchschnittliche </w:t>
      </w:r>
      <w:r>
        <w:t xml:space="preserve">Gemeinschaft der MieterInnen so zusammen: </w:t>
      </w:r>
    </w:p>
    <w:p w:rsidR="00C33E40" w:rsidRDefault="00C33E40" w:rsidP="003C23C1">
      <w:pPr>
        <w:pStyle w:val="Aufzhlungszeichen"/>
        <w:tabs>
          <w:tab w:val="clear" w:pos="360"/>
          <w:tab w:val="num" w:pos="1068"/>
          <w:tab w:val="right" w:pos="5670"/>
        </w:tabs>
        <w:ind w:left="1068"/>
      </w:pPr>
      <w:r>
        <w:t>österreichische StaatsbürgerInnen</w:t>
      </w:r>
      <w:r w:rsidR="003C23C1">
        <w:tab/>
        <w:t>65%</w:t>
      </w:r>
    </w:p>
    <w:p w:rsidR="00C33E40" w:rsidRDefault="00C33E40" w:rsidP="003C23C1">
      <w:pPr>
        <w:pStyle w:val="Aufzhlungszeichen"/>
        <w:tabs>
          <w:tab w:val="clear" w:pos="360"/>
          <w:tab w:val="num" w:pos="1068"/>
          <w:tab w:val="right" w:pos="5670"/>
        </w:tabs>
        <w:ind w:left="1068"/>
      </w:pPr>
      <w:r>
        <w:t>EU-StaatsbürgerInnen</w:t>
      </w:r>
      <w:r w:rsidR="003C23C1">
        <w:tab/>
        <w:t>15%</w:t>
      </w:r>
    </w:p>
    <w:p w:rsidR="00C33E40" w:rsidRDefault="00C33E40" w:rsidP="003C23C1">
      <w:pPr>
        <w:pStyle w:val="Aufzhlungszeichen"/>
        <w:tabs>
          <w:tab w:val="clear" w:pos="360"/>
          <w:tab w:val="num" w:pos="1068"/>
          <w:tab w:val="right" w:pos="5670"/>
        </w:tabs>
        <w:ind w:left="1068"/>
      </w:pPr>
      <w:r>
        <w:t>Drittstaatsangehörige</w:t>
      </w:r>
      <w:r w:rsidR="003C23C1">
        <w:tab/>
        <w:t>15%</w:t>
      </w:r>
    </w:p>
    <w:p w:rsidR="00C33E40" w:rsidRDefault="00C33E40" w:rsidP="003C23C1">
      <w:pPr>
        <w:pStyle w:val="Aufzhlungszeichen"/>
        <w:tabs>
          <w:tab w:val="clear" w:pos="360"/>
          <w:tab w:val="num" w:pos="1068"/>
          <w:tab w:val="right" w:pos="5670"/>
        </w:tabs>
        <w:ind w:left="1068"/>
      </w:pPr>
      <w:r>
        <w:t>Asylberechtigte</w:t>
      </w:r>
      <w:r w:rsidR="003C23C1">
        <w:tab/>
        <w:t>5%</w:t>
      </w:r>
      <w:r w:rsidR="003C23C1">
        <w:br/>
      </w:r>
    </w:p>
    <w:p w:rsidR="00EC7429" w:rsidRDefault="002C59C7">
      <w:r>
        <w:t>Diese idealtypisch vereinfachte Zusammensetzung der BewohnerInnen zeigt sich ohne gr</w:t>
      </w:r>
      <w:r>
        <w:t>ö</w:t>
      </w:r>
      <w:r>
        <w:t xml:space="preserve">ßere </w:t>
      </w:r>
      <w:r w:rsidR="00ED53AD">
        <w:t>Abweichungen</w:t>
      </w:r>
      <w:r>
        <w:t xml:space="preserve"> unabhängig von der Art der beteiligten Einrichtungen, gilt somit gle</w:t>
      </w:r>
      <w:r>
        <w:t>i</w:t>
      </w:r>
      <w:r>
        <w:t>chermaßen für Beratungseinrichtungen wie kommunale Wohnungsämter, für gemeinnützige wie private Wohnbauträger.</w:t>
      </w:r>
    </w:p>
    <w:p w:rsidR="00400460" w:rsidRDefault="00400460">
      <w:r>
        <w:t>Der Anteil von nicht-österreichischen Haushalten im hier repräsentierten Wohnungsmark</w:t>
      </w:r>
      <w:r>
        <w:t>t</w:t>
      </w:r>
      <w:r>
        <w:t xml:space="preserve">segment liegt mithin deutlich über deren entsprechenden Anteilen an der Wohnbevölkerung in Österreich. Dies erklärt sich möglicherweise daraus, dass vor allem Einrichtungen aus dem städtischen Umfeld an dieser Befragung teilgenommen haben und der insgesamt gesehen sehr bedeutsame Bereich des Wohnungseigentums hier nicht abgebildet </w:t>
      </w:r>
      <w:r w:rsidR="00E23216">
        <w:t>wird</w:t>
      </w:r>
      <w:r>
        <w:t>.</w:t>
      </w:r>
    </w:p>
    <w:p w:rsidR="002C59C7" w:rsidRDefault="002C59C7"/>
    <w:p w:rsidR="00730C39" w:rsidRDefault="00730C39">
      <w:pPr>
        <w:spacing w:before="180" w:after="240" w:line="336" w:lineRule="auto"/>
        <w:jc w:val="center"/>
        <w:rPr>
          <w:u w:val="single"/>
          <w:lang w:eastAsia="en-US"/>
        </w:rPr>
      </w:pPr>
      <w:r>
        <w:rPr>
          <w:u w:val="single"/>
          <w:lang w:eastAsia="en-US"/>
        </w:rPr>
        <w:br w:type="page"/>
      </w:r>
    </w:p>
    <w:p w:rsidR="002C59C7" w:rsidRPr="00E23216" w:rsidRDefault="001931E2" w:rsidP="00E23216">
      <w:pPr>
        <w:pStyle w:val="Listenabsatz"/>
        <w:numPr>
          <w:ilvl w:val="2"/>
          <w:numId w:val="31"/>
        </w:numPr>
        <w:rPr>
          <w:u w:val="single"/>
          <w:lang w:eastAsia="en-US"/>
        </w:rPr>
      </w:pPr>
      <w:r w:rsidRPr="00E23216">
        <w:rPr>
          <w:u w:val="single"/>
          <w:lang w:eastAsia="en-US"/>
        </w:rPr>
        <w:lastRenderedPageBreak/>
        <w:t>Unterscheidung nach muttersprachlichem Hintergrund</w:t>
      </w:r>
      <w:r w:rsidR="00E447C5" w:rsidRPr="00E23216">
        <w:rPr>
          <w:u w:val="single"/>
          <w:lang w:eastAsia="en-US"/>
        </w:rPr>
        <w:br/>
      </w:r>
    </w:p>
    <w:p w:rsidR="003C7221" w:rsidRDefault="001931E2">
      <w:pPr>
        <w:rPr>
          <w:lang w:val="de-AT"/>
        </w:rPr>
      </w:pPr>
      <w:r>
        <w:rPr>
          <w:lang w:val="de-AT"/>
        </w:rPr>
        <w:t xml:space="preserve">Knapp jede vierte Einrichtung (23%) </w:t>
      </w:r>
      <w:r w:rsidR="00323332">
        <w:rPr>
          <w:lang w:val="de-AT"/>
        </w:rPr>
        <w:t>kann diese</w:t>
      </w:r>
      <w:r>
        <w:rPr>
          <w:lang w:val="de-AT"/>
        </w:rPr>
        <w:t xml:space="preserve"> Frage </w:t>
      </w:r>
      <w:r w:rsidR="00323332">
        <w:rPr>
          <w:lang w:val="de-AT"/>
        </w:rPr>
        <w:t>nicht beantworten</w:t>
      </w:r>
      <w:r>
        <w:rPr>
          <w:lang w:val="de-AT"/>
        </w:rPr>
        <w:t>, weil der mutte</w:t>
      </w:r>
      <w:r>
        <w:rPr>
          <w:lang w:val="de-AT"/>
        </w:rPr>
        <w:t>r</w:t>
      </w:r>
      <w:r>
        <w:rPr>
          <w:lang w:val="de-AT"/>
        </w:rPr>
        <w:t>sprachliche Hintergrund nicht erhoben wird und keine entsprechende</w:t>
      </w:r>
      <w:r w:rsidR="008D7F15">
        <w:rPr>
          <w:lang w:val="de-AT"/>
        </w:rPr>
        <w:t>n</w:t>
      </w:r>
      <w:r>
        <w:rPr>
          <w:lang w:val="de-AT"/>
        </w:rPr>
        <w:t xml:space="preserve"> Au</w:t>
      </w:r>
      <w:r w:rsidR="008D7F15">
        <w:rPr>
          <w:lang w:val="de-AT"/>
        </w:rPr>
        <w:t>fzeichn</w:t>
      </w:r>
      <w:r>
        <w:rPr>
          <w:lang w:val="de-AT"/>
        </w:rPr>
        <w:t>ung</w:t>
      </w:r>
      <w:r w:rsidR="008D7F15">
        <w:rPr>
          <w:lang w:val="de-AT"/>
        </w:rPr>
        <w:t>en</w:t>
      </w:r>
      <w:r>
        <w:rPr>
          <w:lang w:val="de-AT"/>
        </w:rPr>
        <w:t xml:space="preserve"> vo</w:t>
      </w:r>
      <w:r>
        <w:rPr>
          <w:lang w:val="de-AT"/>
        </w:rPr>
        <w:t>r</w:t>
      </w:r>
      <w:r>
        <w:rPr>
          <w:lang w:val="de-AT"/>
        </w:rPr>
        <w:t>lieg</w:t>
      </w:r>
      <w:r w:rsidR="008D7F15">
        <w:rPr>
          <w:lang w:val="de-AT"/>
        </w:rPr>
        <w:t>en</w:t>
      </w:r>
      <w:r>
        <w:rPr>
          <w:lang w:val="de-AT"/>
        </w:rPr>
        <w:t xml:space="preserve">. </w:t>
      </w:r>
    </w:p>
    <w:p w:rsidR="003C7221" w:rsidRDefault="001931E2">
      <w:pPr>
        <w:rPr>
          <w:lang w:val="de-AT"/>
        </w:rPr>
      </w:pPr>
      <w:r>
        <w:rPr>
          <w:lang w:val="de-AT"/>
        </w:rPr>
        <w:t xml:space="preserve">Bei weiteren 13% </w:t>
      </w:r>
      <w:r w:rsidR="008D7F15">
        <w:rPr>
          <w:lang w:val="de-AT"/>
        </w:rPr>
        <w:t xml:space="preserve">der RespondentInnen </w:t>
      </w:r>
      <w:r>
        <w:rPr>
          <w:lang w:val="de-AT"/>
        </w:rPr>
        <w:t xml:space="preserve">finden sich nur deutschsprachige BewohnerInnen. </w:t>
      </w:r>
    </w:p>
    <w:p w:rsidR="001931E2" w:rsidRDefault="000671F8">
      <w:pPr>
        <w:rPr>
          <w:lang w:val="de-AT"/>
        </w:rPr>
      </w:pPr>
      <w:r>
        <w:rPr>
          <w:lang w:val="de-AT"/>
        </w:rPr>
        <w:t>Der Anteil von Personengruppen mit nicht-deutscher Muttersprache streut in den übrigen Einrichtungen im Wesentlichen zwischen 10% und 30%. Einrichtungen mit einem höheren Anteil an Personen mit nicht-deutschem Sprachhintergrund bilden demgegenüber eher die Ausnahme. Lediglich acht Einrichtungen (4%)</w:t>
      </w:r>
      <w:r w:rsidR="003C7221">
        <w:rPr>
          <w:lang w:val="de-AT"/>
        </w:rPr>
        <w:t>, die sich an dieser Online-Befragung beteiligt haben,</w:t>
      </w:r>
      <w:r>
        <w:rPr>
          <w:lang w:val="de-AT"/>
        </w:rPr>
        <w:t xml:space="preserve"> betreuen ausschließlich Personen mit fremdsprachlichem Hintergrund.</w:t>
      </w:r>
      <w:r w:rsidR="00C55641">
        <w:rPr>
          <w:lang w:val="de-AT"/>
        </w:rPr>
        <w:br/>
      </w:r>
    </w:p>
    <w:p w:rsidR="00C55641" w:rsidRPr="00C55641" w:rsidRDefault="00C55641">
      <w:pPr>
        <w:rPr>
          <w:rStyle w:val="SchwacherVerweis"/>
        </w:rPr>
      </w:pPr>
      <w:r w:rsidRPr="00C55641">
        <w:rPr>
          <w:rStyle w:val="SchwacherVerweis"/>
        </w:rPr>
        <w:t>Grafik</w:t>
      </w:r>
      <w:r w:rsidR="007866AA">
        <w:rPr>
          <w:rStyle w:val="SchwacherVerweis"/>
        </w:rPr>
        <w:t xml:space="preserve"> 5</w:t>
      </w:r>
      <w:r w:rsidRPr="00C55641">
        <w:rPr>
          <w:rStyle w:val="SchwacherVerweis"/>
        </w:rPr>
        <w:t>: Anteil fremdsprachiger MieterInnen</w:t>
      </w:r>
    </w:p>
    <w:p w:rsidR="008D7F15" w:rsidRDefault="00BE79F8" w:rsidP="00323332">
      <w:pPr>
        <w:rPr>
          <w:rFonts w:eastAsiaTheme="majorEastAsia" w:cstheme="majorBidi"/>
          <w:b/>
          <w:bCs/>
          <w:color w:val="4F81BD" w:themeColor="accent1"/>
          <w:lang w:val="de-AT"/>
        </w:rPr>
      </w:pPr>
      <w:r w:rsidRPr="00BE79F8">
        <w:rPr>
          <w:noProof/>
          <w:lang w:val="de-AT" w:eastAsia="de-AT"/>
        </w:rPr>
        <w:drawing>
          <wp:inline distT="0" distB="0" distL="0" distR="0">
            <wp:extent cx="5486937" cy="3419341"/>
            <wp:effectExtent l="19050" t="0" r="18513" b="0"/>
            <wp:docPr id="9" name="Diagram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0671F8">
        <w:br/>
      </w:r>
    </w:p>
    <w:p w:rsidR="005640D3" w:rsidRPr="00DF3173" w:rsidRDefault="000671F8" w:rsidP="00DF3173">
      <w:pPr>
        <w:pStyle w:val="Listenabsatz"/>
        <w:numPr>
          <w:ilvl w:val="2"/>
          <w:numId w:val="31"/>
        </w:numPr>
        <w:rPr>
          <w:u w:val="single"/>
          <w:lang w:eastAsia="en-US"/>
        </w:rPr>
      </w:pPr>
      <w:r w:rsidRPr="00DF3173">
        <w:rPr>
          <w:u w:val="single"/>
          <w:lang w:eastAsia="en-US"/>
        </w:rPr>
        <w:t>MigrantInnen der ersten Generation (nicht in Österreich geboren)</w:t>
      </w:r>
      <w:r w:rsidR="00E447C5" w:rsidRPr="00DF3173">
        <w:rPr>
          <w:u w:val="single"/>
          <w:lang w:eastAsia="en-US"/>
        </w:rPr>
        <w:br/>
      </w:r>
    </w:p>
    <w:p w:rsidR="003C7221" w:rsidRDefault="000671F8">
      <w:r>
        <w:t xml:space="preserve">Die Antworten auf die Frage, </w:t>
      </w:r>
      <w:r w:rsidR="001D18E3">
        <w:t xml:space="preserve">zu welchen Anteilen die BewohnerInnen </w:t>
      </w:r>
      <w:r w:rsidR="008D7F15">
        <w:t>nicht</w:t>
      </w:r>
      <w:r w:rsidR="001D18E3">
        <w:t xml:space="preserve"> in Österreich geboren wurden, weisen eine ähnliche Verteilung wie bezüglich der Muttersprache auf. Auch hier ist der Anteil jener Einrichtungen am größten, die zu dieser Frage keine entsprechenden Unterlagen haben (26%). </w:t>
      </w:r>
    </w:p>
    <w:p w:rsidR="001D18E3" w:rsidRDefault="008D7F15">
      <w:r>
        <w:lastRenderedPageBreak/>
        <w:t>Etwa jede achte Einrichtung</w:t>
      </w:r>
      <w:r w:rsidR="001D18E3">
        <w:t xml:space="preserve"> (12%) </w:t>
      </w:r>
      <w:r>
        <w:t>betreut</w:t>
      </w:r>
      <w:r w:rsidR="001D18E3">
        <w:t xml:space="preserve"> ausschließlich Personen, die in Österreich geb</w:t>
      </w:r>
      <w:r w:rsidR="001D18E3">
        <w:t>o</w:t>
      </w:r>
      <w:r w:rsidR="001D18E3">
        <w:t xml:space="preserve">ren sind. In den übrigen Einrichtungen ergibt sich im Wesentlichen eine Streuung der Anteile zwischen 10 – 50%. Einrichtungen mit einem höheren Anteil stellen die Ausnahme dar. </w:t>
      </w:r>
      <w:r w:rsidR="00EF75BA">
        <w:br/>
      </w:r>
    </w:p>
    <w:p w:rsidR="00C55641" w:rsidRPr="00C55641" w:rsidRDefault="00C55641">
      <w:pPr>
        <w:rPr>
          <w:rStyle w:val="SchwacherVerweis"/>
        </w:rPr>
      </w:pPr>
      <w:r w:rsidRPr="00C55641">
        <w:rPr>
          <w:rStyle w:val="SchwacherVerweis"/>
        </w:rPr>
        <w:t>Grafik</w:t>
      </w:r>
      <w:r w:rsidR="00C50017">
        <w:rPr>
          <w:rStyle w:val="SchwacherVerweis"/>
        </w:rPr>
        <w:t xml:space="preserve"> </w:t>
      </w:r>
      <w:r w:rsidR="007866AA">
        <w:rPr>
          <w:rStyle w:val="SchwacherVerweis"/>
        </w:rPr>
        <w:t>6</w:t>
      </w:r>
      <w:r w:rsidRPr="00C55641">
        <w:rPr>
          <w:rStyle w:val="SchwacherVerweis"/>
        </w:rPr>
        <w:t>: Anteil von nicht in Österreich geborenen Personen</w:t>
      </w:r>
    </w:p>
    <w:p w:rsidR="00531887" w:rsidRDefault="00531887">
      <w:r w:rsidRPr="00531887">
        <w:rPr>
          <w:noProof/>
          <w:lang w:val="de-AT" w:eastAsia="de-AT"/>
        </w:rPr>
        <w:drawing>
          <wp:inline distT="0" distB="0" distL="0" distR="0">
            <wp:extent cx="5486937" cy="3548130"/>
            <wp:effectExtent l="19050" t="0" r="18513" b="0"/>
            <wp:docPr id="10" name="Diagram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55641" w:rsidRDefault="0011374F">
      <w:r>
        <w:t>In den Interviews und ExpertInnen-Gesprächsrunden wird darauf hingewiesen, dass der A</w:t>
      </w:r>
      <w:r>
        <w:t>n</w:t>
      </w:r>
      <w:r>
        <w:t>teil von Personen/Haushalten mit Migrationshintergrund wesentlich davon abhängig ist, ob die entsprechenden Wohnobjekte im städtischen oder eher ländlichen Raum angesiedelt sind.</w:t>
      </w:r>
      <w:r w:rsidR="00730C39">
        <w:br/>
      </w:r>
    </w:p>
    <w:p w:rsidR="007A1F19" w:rsidRDefault="007A1F19" w:rsidP="007A1F19">
      <w:pPr>
        <w:pBdr>
          <w:top w:val="single" w:sz="4" w:space="1" w:color="auto"/>
          <w:left w:val="single" w:sz="4" w:space="4" w:color="auto"/>
          <w:bottom w:val="single" w:sz="4" w:space="1" w:color="auto"/>
          <w:right w:val="single" w:sz="4" w:space="4" w:color="auto"/>
        </w:pBdr>
        <w:ind w:left="567" w:right="425"/>
        <w:rPr>
          <w:rFonts w:cs="Tahoma"/>
          <w:i/>
          <w:sz w:val="20"/>
        </w:rPr>
      </w:pPr>
      <w:r w:rsidRPr="007A1F19">
        <w:rPr>
          <w:rFonts w:cs="Tahoma"/>
          <w:i/>
          <w:sz w:val="20"/>
        </w:rPr>
        <w:t>Der Anteil der NichtösterreicherInnen bei günstigen Mietwohnungen ist regional sehr u</w:t>
      </w:r>
      <w:r w:rsidRPr="007A1F19">
        <w:rPr>
          <w:rFonts w:cs="Tahoma"/>
          <w:i/>
          <w:sz w:val="20"/>
        </w:rPr>
        <w:t>n</w:t>
      </w:r>
      <w:r w:rsidRPr="007A1F19">
        <w:rPr>
          <w:rFonts w:cs="Tahoma"/>
          <w:i/>
          <w:sz w:val="20"/>
        </w:rPr>
        <w:t>terschiedlich. Teils beträgt ihr Anteil unter den WohnungswerberInnen bis zu 70%. Und dann gibt es Gegenden, wo keine einzige WohnungswerberIn aus einem Drittstaat kommt. „Die Ausländerfrage konzentriert s</w:t>
      </w:r>
      <w:r w:rsidR="008149FB">
        <w:rPr>
          <w:rFonts w:cs="Tahoma"/>
          <w:i/>
          <w:sz w:val="20"/>
        </w:rPr>
        <w:t>ich eher auf die Ballungsräume.</w:t>
      </w:r>
      <w:r w:rsidRPr="007A1F19">
        <w:rPr>
          <w:rFonts w:cs="Tahoma"/>
          <w:i/>
          <w:sz w:val="20"/>
        </w:rPr>
        <w:t xml:space="preserve"> Die wenigsten gehen in den ländlichen Raum oder in kleinere Gemeinden außerhalb der Ballungsräume. Die ziehen natürlich dorthin, wo es ausreichend Arbeitsstellen gibt.</w:t>
      </w:r>
      <w:r w:rsidR="008149FB">
        <w:rPr>
          <w:rFonts w:cs="Tahoma"/>
          <w:i/>
          <w:sz w:val="20"/>
        </w:rPr>
        <w:t>“</w:t>
      </w:r>
      <w:r w:rsidRPr="007A1F19">
        <w:rPr>
          <w:rFonts w:cs="Tahoma"/>
          <w:i/>
          <w:sz w:val="20"/>
        </w:rPr>
        <w:t xml:space="preserve"> </w:t>
      </w:r>
    </w:p>
    <w:p w:rsidR="0011374F" w:rsidRDefault="007A1F19" w:rsidP="007A1F19">
      <w:pPr>
        <w:pBdr>
          <w:top w:val="single" w:sz="4" w:space="1" w:color="auto"/>
          <w:left w:val="single" w:sz="4" w:space="4" w:color="auto"/>
          <w:bottom w:val="single" w:sz="4" w:space="1" w:color="auto"/>
          <w:right w:val="single" w:sz="4" w:space="4" w:color="auto"/>
        </w:pBdr>
        <w:ind w:left="567" w:right="425"/>
        <w:rPr>
          <w:rFonts w:cs="Tahoma"/>
          <w:i/>
          <w:sz w:val="20"/>
        </w:rPr>
      </w:pPr>
      <w:r w:rsidRPr="007A1F19">
        <w:rPr>
          <w:rFonts w:cs="Tahoma"/>
          <w:i/>
          <w:sz w:val="20"/>
        </w:rPr>
        <w:t>Damit stellt sich eigentlich nur im städtischen Raum die Frage, wie die Integration im Z</w:t>
      </w:r>
      <w:r w:rsidRPr="007A1F19">
        <w:rPr>
          <w:rFonts w:cs="Tahoma"/>
          <w:i/>
          <w:sz w:val="20"/>
        </w:rPr>
        <w:t>u</w:t>
      </w:r>
      <w:r w:rsidRPr="007A1F19">
        <w:rPr>
          <w:rFonts w:cs="Tahoma"/>
          <w:i/>
          <w:sz w:val="20"/>
        </w:rPr>
        <w:t>sammenleben in den Siedlungen / in der Hausgemeinschaft gelingen oder gefördert we</w:t>
      </w:r>
      <w:r w:rsidRPr="007A1F19">
        <w:rPr>
          <w:rFonts w:cs="Tahoma"/>
          <w:i/>
          <w:sz w:val="20"/>
        </w:rPr>
        <w:t>r</w:t>
      </w:r>
      <w:r w:rsidRPr="007A1F19">
        <w:rPr>
          <w:rFonts w:cs="Tahoma"/>
          <w:i/>
          <w:sz w:val="20"/>
        </w:rPr>
        <w:t>den kann.</w:t>
      </w:r>
    </w:p>
    <w:p w:rsidR="007A1F19" w:rsidRPr="007A1F19" w:rsidRDefault="007A1F19" w:rsidP="007A1F19">
      <w:pPr>
        <w:pBdr>
          <w:top w:val="single" w:sz="4" w:space="1" w:color="auto"/>
          <w:left w:val="single" w:sz="4" w:space="4" w:color="auto"/>
          <w:bottom w:val="single" w:sz="4" w:space="1" w:color="auto"/>
          <w:right w:val="single" w:sz="4" w:space="4" w:color="auto"/>
        </w:pBdr>
        <w:ind w:left="567" w:right="425"/>
        <w:jc w:val="right"/>
        <w:rPr>
          <w:i/>
          <w:sz w:val="20"/>
        </w:rPr>
      </w:pPr>
      <w:r>
        <w:rPr>
          <w:rFonts w:cs="Tahoma"/>
          <w:i/>
          <w:sz w:val="20"/>
        </w:rPr>
        <w:t>Gesprächsrunde mit ExpertInnen in Niederösterreich</w:t>
      </w:r>
    </w:p>
    <w:p w:rsidR="00BE79F8" w:rsidRDefault="00BE79F8"/>
    <w:p w:rsidR="000F6FC2" w:rsidRDefault="00DF3173" w:rsidP="00DF3173">
      <w:pPr>
        <w:pStyle w:val="IntensivesAnfhrungszeichen"/>
        <w:numPr>
          <w:ilvl w:val="0"/>
          <w:numId w:val="31"/>
        </w:numPr>
        <w:ind w:left="2268" w:hanging="972"/>
        <w:jc w:val="right"/>
        <w:rPr>
          <w:lang w:eastAsia="en-US"/>
        </w:rPr>
      </w:pPr>
      <w:r>
        <w:rPr>
          <w:lang w:eastAsia="en-US"/>
        </w:rPr>
        <w:t>Diskriminierung von</w:t>
      </w:r>
      <w:r w:rsidR="000F6FC2">
        <w:rPr>
          <w:lang w:eastAsia="en-US"/>
        </w:rPr>
        <w:t xml:space="preserve"> Nicht-ÖsterreicherInnen </w:t>
      </w:r>
      <w:r>
        <w:rPr>
          <w:lang w:eastAsia="en-US"/>
        </w:rPr>
        <w:br/>
      </w:r>
      <w:r w:rsidR="000F6FC2">
        <w:rPr>
          <w:lang w:eastAsia="en-US"/>
        </w:rPr>
        <w:t xml:space="preserve">auf </w:t>
      </w:r>
      <w:r>
        <w:rPr>
          <w:lang w:eastAsia="en-US"/>
        </w:rPr>
        <w:t xml:space="preserve">dem Wohnungsmarkt </w:t>
      </w:r>
    </w:p>
    <w:p w:rsidR="004A46A5" w:rsidRDefault="00DF3173" w:rsidP="000F6FC2">
      <w:pPr>
        <w:rPr>
          <w:lang w:val="de-AT" w:eastAsia="en-US"/>
        </w:rPr>
      </w:pPr>
      <w:r>
        <w:rPr>
          <w:lang w:val="de-AT" w:eastAsia="en-US"/>
        </w:rPr>
        <w:br/>
      </w:r>
      <w:r w:rsidR="000F6FC2">
        <w:rPr>
          <w:lang w:val="de-AT" w:eastAsia="en-US"/>
        </w:rPr>
        <w:t xml:space="preserve">Die Kernfrage zum Thema Diskriminierung ist wohl, ob die gesetzlichen und administrativen Vorgaben für die Vergabe öffentlich geförderter Wohnungen </w:t>
      </w:r>
      <w:r w:rsidR="004A46A5">
        <w:rPr>
          <w:lang w:val="de-AT" w:eastAsia="en-US"/>
        </w:rPr>
        <w:t xml:space="preserve">sowie die Zugänglichkeit des sozialen bzw. Gemeinde-Wohnungsmarktes </w:t>
      </w:r>
      <w:r w:rsidR="000F6FC2">
        <w:rPr>
          <w:lang w:val="de-AT" w:eastAsia="en-US"/>
        </w:rPr>
        <w:t xml:space="preserve">den Gleichbehandlungsnormen entsprechen. </w:t>
      </w:r>
    </w:p>
    <w:p w:rsidR="000F6FC2" w:rsidRDefault="000F6FC2" w:rsidP="000F6FC2">
      <w:pPr>
        <w:rPr>
          <w:lang w:val="de-AT" w:eastAsia="en-US"/>
        </w:rPr>
      </w:pPr>
      <w:r>
        <w:rPr>
          <w:lang w:val="de-AT" w:eastAsia="en-US"/>
        </w:rPr>
        <w:t>Überwiegend</w:t>
      </w:r>
      <w:r w:rsidR="00DC059B">
        <w:rPr>
          <w:lang w:val="de-AT" w:eastAsia="en-US"/>
        </w:rPr>
        <w:t xml:space="preserve"> (64% bzw. 70%)</w:t>
      </w:r>
      <w:r>
        <w:rPr>
          <w:lang w:val="de-AT" w:eastAsia="en-US"/>
        </w:rPr>
        <w:t xml:space="preserve"> sind die TeilnehmerInnen an der Fragebogenerhebung dieser Meinung. Allerdings zeichnet sich hier eine durchaus beachtliche Minderheit mit einer gege</w:t>
      </w:r>
      <w:r>
        <w:rPr>
          <w:lang w:val="de-AT" w:eastAsia="en-US"/>
        </w:rPr>
        <w:t>n</w:t>
      </w:r>
      <w:r>
        <w:rPr>
          <w:lang w:val="de-AT" w:eastAsia="en-US"/>
        </w:rPr>
        <w:t>teiligen Meinung ab, wonach die gesetzlichen und administrativen Vorsorgen zum einen diesbezügliche Mängel aufweisen bzw. überhaupt der Gleichbehandlungsnorm widerspr</w:t>
      </w:r>
      <w:r>
        <w:rPr>
          <w:lang w:val="de-AT" w:eastAsia="en-US"/>
        </w:rPr>
        <w:t>e</w:t>
      </w:r>
      <w:r>
        <w:rPr>
          <w:lang w:val="de-AT" w:eastAsia="en-US"/>
        </w:rPr>
        <w:t>chen. Zum anderen verweisen einige Wortmeldungen darauf, dass auch gleichbehandlung</w:t>
      </w:r>
      <w:r>
        <w:rPr>
          <w:lang w:val="de-AT" w:eastAsia="en-US"/>
        </w:rPr>
        <w:t>s</w:t>
      </w:r>
      <w:r>
        <w:rPr>
          <w:lang w:val="de-AT" w:eastAsia="en-US"/>
        </w:rPr>
        <w:t>konforme und nichtdiskriminierende gesetzliche sowie administrative Vorsorgen nicht ausre</w:t>
      </w:r>
      <w:r>
        <w:rPr>
          <w:lang w:val="de-AT" w:eastAsia="en-US"/>
        </w:rPr>
        <w:t>i</w:t>
      </w:r>
      <w:r>
        <w:rPr>
          <w:lang w:val="de-AT" w:eastAsia="en-US"/>
        </w:rPr>
        <w:t>chen würden, um eine De-Facto-Benachteiligung nachhaltig verhindern zu können.</w:t>
      </w:r>
    </w:p>
    <w:p w:rsidR="007A338C" w:rsidRDefault="000F6FC2" w:rsidP="00937126">
      <w:pPr>
        <w:rPr>
          <w:lang w:val="de-AT"/>
        </w:rPr>
      </w:pPr>
      <w:r>
        <w:rPr>
          <w:lang w:val="de-AT"/>
        </w:rPr>
        <w:t>Jede/r dritte Fragebogen-RespondentIn (30%) ist der Ansicht, dass gesetzliche Bestimmu</w:t>
      </w:r>
      <w:r>
        <w:rPr>
          <w:lang w:val="de-AT"/>
        </w:rPr>
        <w:t>n</w:t>
      </w:r>
      <w:r>
        <w:rPr>
          <w:lang w:val="de-AT"/>
        </w:rPr>
        <w:t xml:space="preserve">gen zur Benachteiligung von MigrantInnen auf dem öffentlich geförderten Wohnungsmarkt führen. Noch deutlicher ausgeprägt ist diese skeptische Haltung hinsichtlich des ursächlichen Anteils von administrativen Vorgaben (36%) an der Benachteiligung nicht-österreichischer MitbürgerInnen. </w:t>
      </w:r>
    </w:p>
    <w:p w:rsidR="000A0956" w:rsidRDefault="00DC059B">
      <w:pPr>
        <w:sectPr w:rsidR="000A0956" w:rsidSect="00DA05AB">
          <w:footerReference w:type="default" r:id="rId21"/>
          <w:footerReference w:type="first" r:id="rId22"/>
          <w:pgSz w:w="11906" w:h="16838"/>
          <w:pgMar w:top="1417" w:right="1417" w:bottom="1134" w:left="1417" w:header="708" w:footer="708" w:gutter="0"/>
          <w:cols w:space="708"/>
          <w:titlePg/>
          <w:docGrid w:linePitch="360"/>
        </w:sectPr>
      </w:pPr>
      <w:r>
        <w:br/>
      </w:r>
    </w:p>
    <w:p w:rsidR="00C50017" w:rsidRPr="008D2223" w:rsidRDefault="007866AA">
      <w:pPr>
        <w:rPr>
          <w:rStyle w:val="SchwacherVerweis"/>
        </w:rPr>
      </w:pPr>
      <w:r>
        <w:rPr>
          <w:rStyle w:val="SchwacherVerweis"/>
        </w:rPr>
        <w:lastRenderedPageBreak/>
        <w:t>Grafik 7</w:t>
      </w:r>
      <w:r w:rsidR="00C50017" w:rsidRPr="008D2223">
        <w:rPr>
          <w:rStyle w:val="SchwacherVerweis"/>
        </w:rPr>
        <w:t xml:space="preserve">: gesetzliche </w:t>
      </w:r>
      <w:r w:rsidR="008D2223" w:rsidRPr="008D2223">
        <w:rPr>
          <w:rStyle w:val="SchwacherVerweis"/>
        </w:rPr>
        <w:t>Benachteiligung</w:t>
      </w:r>
    </w:p>
    <w:p w:rsidR="00B74B1C" w:rsidRDefault="00B74B1C">
      <w:r w:rsidRPr="00B74B1C">
        <w:rPr>
          <w:noProof/>
          <w:lang w:val="de-AT" w:eastAsia="de-AT"/>
        </w:rPr>
        <w:drawing>
          <wp:inline distT="0" distB="0" distL="0" distR="0">
            <wp:extent cx="2724150" cy="2182969"/>
            <wp:effectExtent l="19050" t="0" r="19050" b="7781"/>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F3173" w:rsidRDefault="00DF3173">
      <w:pPr>
        <w:rPr>
          <w:rStyle w:val="SchwacherVerweis"/>
        </w:rPr>
      </w:pPr>
      <w:r>
        <w:rPr>
          <w:rStyle w:val="SchwacherVerweis"/>
        </w:rPr>
        <w:br/>
      </w:r>
    </w:p>
    <w:p w:rsidR="008D2223" w:rsidRPr="008D2223" w:rsidRDefault="008D2223">
      <w:pPr>
        <w:rPr>
          <w:rStyle w:val="SchwacherVerweis"/>
        </w:rPr>
      </w:pPr>
      <w:r w:rsidRPr="008D2223">
        <w:rPr>
          <w:rStyle w:val="SchwacherVerweis"/>
        </w:rPr>
        <w:lastRenderedPageBreak/>
        <w:t xml:space="preserve">Grafik </w:t>
      </w:r>
      <w:r w:rsidR="007866AA">
        <w:rPr>
          <w:rStyle w:val="SchwacherVerweis"/>
        </w:rPr>
        <w:t>8</w:t>
      </w:r>
      <w:r w:rsidRPr="008D2223">
        <w:rPr>
          <w:rStyle w:val="SchwacherVerweis"/>
        </w:rPr>
        <w:t>: administrative Benachteiligung</w:t>
      </w:r>
    </w:p>
    <w:p w:rsidR="00B74B1C" w:rsidRDefault="00B74B1C">
      <w:r w:rsidRPr="00B74B1C">
        <w:rPr>
          <w:noProof/>
          <w:lang w:val="de-AT" w:eastAsia="de-AT"/>
        </w:rPr>
        <w:drawing>
          <wp:inline distT="0" distB="0" distL="0" distR="0">
            <wp:extent cx="2725053" cy="2215166"/>
            <wp:effectExtent l="19050" t="0" r="18147" b="0"/>
            <wp:docPr id="5"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A0956" w:rsidRDefault="000A0956"/>
    <w:p w:rsidR="000A0956" w:rsidRDefault="000A0956">
      <w:pPr>
        <w:sectPr w:rsidR="000A0956" w:rsidSect="000A0956">
          <w:type w:val="continuous"/>
          <w:pgSz w:w="11906" w:h="16838"/>
          <w:pgMar w:top="1417" w:right="1417" w:bottom="1134" w:left="1417" w:header="708" w:footer="708" w:gutter="0"/>
          <w:cols w:num="2" w:space="708"/>
          <w:docGrid w:linePitch="360"/>
        </w:sectPr>
      </w:pPr>
    </w:p>
    <w:p w:rsidR="00AA7F04" w:rsidRDefault="00AA7F04">
      <w:r>
        <w:lastRenderedPageBreak/>
        <w:t xml:space="preserve">Während die gesetzlichen Grundlagen von </w:t>
      </w:r>
      <w:r w:rsidR="00DC059B">
        <w:t>der</w:t>
      </w:r>
      <w:r>
        <w:t xml:space="preserve"> Mehrheit der TeilnehmerInnen (51%) als eher diskriminierungsfrei bewertet werden, kommen die administrativen Vorgaben deutlich schlec</w:t>
      </w:r>
      <w:r>
        <w:t>h</w:t>
      </w:r>
      <w:r>
        <w:t>ter weg. Von insgesamt 36% der Einrichtungen werden diese als ursächlich für die Benachte</w:t>
      </w:r>
      <w:r>
        <w:t>i</w:t>
      </w:r>
      <w:r>
        <w:t>ligung von Nicht-ÖsterreicherInnen eingeschätzt.</w:t>
      </w:r>
      <w:r>
        <w:br/>
      </w:r>
    </w:p>
    <w:p w:rsidR="00233081" w:rsidRDefault="00233081" w:rsidP="00233081">
      <w:r>
        <w:t xml:space="preserve">Viele RespondentInnen (etwa 10%) führen </w:t>
      </w:r>
      <w:r w:rsidR="00DC059B">
        <w:t xml:space="preserve">in ihren schriftlichen Anmerkungen zur Frage </w:t>
      </w:r>
      <w:r>
        <w:t>ko</w:t>
      </w:r>
      <w:r>
        <w:t>n</w:t>
      </w:r>
      <w:r>
        <w:t>krete weitere Gründe für die Benachteiligung von Nicht-ÖsterreicherInnen bei der Vergabe von Wohnungen an und verweisen dabei auf folgende Aspekte:</w:t>
      </w:r>
    </w:p>
    <w:p w:rsidR="00233081" w:rsidRPr="003D46E0" w:rsidRDefault="00DC059B" w:rsidP="00233081">
      <w:pPr>
        <w:pStyle w:val="notranslate"/>
        <w:numPr>
          <w:ilvl w:val="0"/>
          <w:numId w:val="2"/>
        </w:numPr>
        <w:spacing w:before="0" w:beforeAutospacing="0" w:after="60" w:afterAutospacing="0"/>
        <w:ind w:left="714" w:hanging="357"/>
        <w:rPr>
          <w:rFonts w:ascii="Tahoma" w:hAnsi="Tahoma" w:cs="Tahoma"/>
          <w:sz w:val="22"/>
        </w:rPr>
      </w:pPr>
      <w:r>
        <w:rPr>
          <w:rFonts w:ascii="Tahoma" w:hAnsi="Tahoma" w:cs="Tahoma"/>
          <w:sz w:val="22"/>
        </w:rPr>
        <w:t>„</w:t>
      </w:r>
      <w:r w:rsidR="00233081" w:rsidRPr="003D46E0">
        <w:rPr>
          <w:rFonts w:ascii="Tahoma" w:hAnsi="Tahoma" w:cs="Tahoma"/>
          <w:sz w:val="22"/>
        </w:rPr>
        <w:t>Politische Gründe</w:t>
      </w:r>
      <w:r>
        <w:rPr>
          <w:rFonts w:ascii="Tahoma" w:hAnsi="Tahoma" w:cs="Tahoma"/>
          <w:sz w:val="22"/>
        </w:rPr>
        <w:t>“</w:t>
      </w:r>
      <w:r w:rsidR="00233081" w:rsidRPr="003D46E0">
        <w:rPr>
          <w:rFonts w:ascii="Tahoma" w:hAnsi="Tahoma" w:cs="Tahoma"/>
          <w:sz w:val="22"/>
        </w:rPr>
        <w:t xml:space="preserve">, </w:t>
      </w:r>
      <w:r>
        <w:rPr>
          <w:rFonts w:ascii="Tahoma" w:hAnsi="Tahoma" w:cs="Tahoma"/>
          <w:sz w:val="22"/>
        </w:rPr>
        <w:t>„</w:t>
      </w:r>
      <w:r w:rsidR="00233081" w:rsidRPr="003D46E0">
        <w:rPr>
          <w:rFonts w:ascii="Tahoma" w:hAnsi="Tahoma" w:cs="Tahoma"/>
          <w:sz w:val="22"/>
        </w:rPr>
        <w:t>Wohnungsvergabe ist eine Entscheidung des jeweiligen Vizebü</w:t>
      </w:r>
      <w:r w:rsidR="00233081" w:rsidRPr="003D46E0">
        <w:rPr>
          <w:rFonts w:ascii="Tahoma" w:hAnsi="Tahoma" w:cs="Tahoma"/>
          <w:sz w:val="22"/>
        </w:rPr>
        <w:t>r</w:t>
      </w:r>
      <w:r w:rsidR="00233081" w:rsidRPr="003D46E0">
        <w:rPr>
          <w:rFonts w:ascii="Tahoma" w:hAnsi="Tahoma" w:cs="Tahoma"/>
          <w:sz w:val="22"/>
        </w:rPr>
        <w:t>germeisters</w:t>
      </w:r>
      <w:r>
        <w:rPr>
          <w:rFonts w:ascii="Tahoma" w:hAnsi="Tahoma" w:cs="Tahoma"/>
          <w:sz w:val="22"/>
        </w:rPr>
        <w:t>“</w:t>
      </w:r>
      <w:r w:rsidR="00233081" w:rsidRPr="003D46E0">
        <w:rPr>
          <w:rFonts w:ascii="Tahoma" w:hAnsi="Tahoma" w:cs="Tahoma"/>
          <w:sz w:val="22"/>
        </w:rPr>
        <w:t xml:space="preserve">; </w:t>
      </w:r>
      <w:r>
        <w:rPr>
          <w:rFonts w:ascii="Tahoma" w:hAnsi="Tahoma" w:cs="Tahoma"/>
          <w:sz w:val="22"/>
        </w:rPr>
        <w:t>„</w:t>
      </w:r>
      <w:r w:rsidR="00233081" w:rsidRPr="003D46E0">
        <w:rPr>
          <w:rFonts w:ascii="Tahoma" w:hAnsi="Tahoma" w:cs="Tahoma"/>
          <w:sz w:val="22"/>
        </w:rPr>
        <w:t>es wird versucht, eine stärkere Durchmischung der Wohnblöcke zu e</w:t>
      </w:r>
      <w:r w:rsidR="00233081" w:rsidRPr="003D46E0">
        <w:rPr>
          <w:rFonts w:ascii="Tahoma" w:hAnsi="Tahoma" w:cs="Tahoma"/>
          <w:sz w:val="22"/>
        </w:rPr>
        <w:t>r</w:t>
      </w:r>
      <w:r w:rsidR="00233081" w:rsidRPr="003D46E0">
        <w:rPr>
          <w:rFonts w:ascii="Tahoma" w:hAnsi="Tahoma" w:cs="Tahoma"/>
          <w:sz w:val="22"/>
        </w:rPr>
        <w:t>reichen</w:t>
      </w:r>
      <w:r>
        <w:rPr>
          <w:rFonts w:ascii="Tahoma" w:hAnsi="Tahoma" w:cs="Tahoma"/>
          <w:sz w:val="22"/>
        </w:rPr>
        <w:t>“</w:t>
      </w:r>
      <w:r w:rsidR="00233081" w:rsidRPr="003D46E0">
        <w:rPr>
          <w:rFonts w:ascii="Tahoma" w:hAnsi="Tahoma" w:cs="Tahoma"/>
          <w:sz w:val="22"/>
        </w:rPr>
        <w:t>, "Ausländerquote</w:t>
      </w:r>
      <w:r>
        <w:rPr>
          <w:rFonts w:ascii="Tahoma" w:hAnsi="Tahoma" w:cs="Tahoma"/>
          <w:sz w:val="22"/>
        </w:rPr>
        <w:t>:</w:t>
      </w:r>
      <w:r w:rsidR="00233081" w:rsidRPr="003D46E0">
        <w:rPr>
          <w:rFonts w:ascii="Tahoma" w:hAnsi="Tahoma" w:cs="Tahoma"/>
          <w:sz w:val="22"/>
        </w:rPr>
        <w:t xml:space="preserve"> auch, wenn öst. Staatsbürgerschaft schon vorliegt, aber man/frau nicht in Österreich geboren is</w:t>
      </w:r>
      <w:r>
        <w:rPr>
          <w:rFonts w:ascii="Tahoma" w:hAnsi="Tahoma" w:cs="Tahoma"/>
          <w:sz w:val="22"/>
        </w:rPr>
        <w:t>t, fällt man in diese Statistik“</w:t>
      </w:r>
    </w:p>
    <w:p w:rsidR="00233081" w:rsidRPr="003D46E0" w:rsidRDefault="00DC059B" w:rsidP="00233081">
      <w:pPr>
        <w:pStyle w:val="notranslate"/>
        <w:numPr>
          <w:ilvl w:val="0"/>
          <w:numId w:val="2"/>
        </w:numPr>
        <w:spacing w:before="0" w:beforeAutospacing="0" w:after="60" w:afterAutospacing="0"/>
        <w:ind w:left="714" w:hanging="357"/>
        <w:rPr>
          <w:rFonts w:ascii="Tahoma" w:hAnsi="Tahoma" w:cs="Tahoma"/>
          <w:sz w:val="22"/>
        </w:rPr>
      </w:pPr>
      <w:r>
        <w:rPr>
          <w:rFonts w:ascii="Tahoma" w:hAnsi="Tahoma" w:cs="Tahoma"/>
          <w:sz w:val="22"/>
        </w:rPr>
        <w:t>„</w:t>
      </w:r>
      <w:r w:rsidR="00233081" w:rsidRPr="003D46E0">
        <w:rPr>
          <w:rFonts w:ascii="Tahoma" w:hAnsi="Tahoma" w:cs="Tahoma"/>
          <w:sz w:val="22"/>
        </w:rPr>
        <w:t>kenne hauptsächlich den privaten</w:t>
      </w:r>
      <w:r w:rsidR="00233081">
        <w:rPr>
          <w:rFonts w:ascii="Tahoma" w:hAnsi="Tahoma" w:cs="Tahoma"/>
          <w:sz w:val="22"/>
        </w:rPr>
        <w:t xml:space="preserve"> Wohnungsmarkt: hier bekommen "</w:t>
      </w:r>
      <w:r w:rsidR="00233081" w:rsidRPr="003D46E0">
        <w:rPr>
          <w:rFonts w:ascii="Tahoma" w:hAnsi="Tahoma" w:cs="Tahoma"/>
          <w:sz w:val="22"/>
        </w:rPr>
        <w:t>Ausländer" nur jene Wohnungen, die am privaten Wohnungsmarkt sonst nicht mehr vermietbar sind. Zudem zahlt das Sozialamt für diese schäbigen Wohnungen viel zu hohe Preise; Sozia</w:t>
      </w:r>
      <w:r w:rsidR="00233081" w:rsidRPr="003D46E0">
        <w:rPr>
          <w:rFonts w:ascii="Tahoma" w:hAnsi="Tahoma" w:cs="Tahoma"/>
          <w:sz w:val="22"/>
        </w:rPr>
        <w:t>l</w:t>
      </w:r>
      <w:r w:rsidR="00233081" w:rsidRPr="003D46E0">
        <w:rPr>
          <w:rFonts w:ascii="Tahoma" w:hAnsi="Tahoma" w:cs="Tahoma"/>
          <w:sz w:val="22"/>
        </w:rPr>
        <w:t>amt und Mietzinsbeihilfe halten den Mietpreis für sanierungsbedürftige, schäbige Wo</w:t>
      </w:r>
      <w:r w:rsidR="00233081" w:rsidRPr="003D46E0">
        <w:rPr>
          <w:rFonts w:ascii="Tahoma" w:hAnsi="Tahoma" w:cs="Tahoma"/>
          <w:sz w:val="22"/>
        </w:rPr>
        <w:t>h</w:t>
      </w:r>
      <w:r w:rsidR="00233081" w:rsidRPr="003D46E0">
        <w:rPr>
          <w:rFonts w:ascii="Tahoma" w:hAnsi="Tahoma" w:cs="Tahoma"/>
          <w:sz w:val="22"/>
        </w:rPr>
        <w:t>nungen ungebrochen hoch: Bsp</w:t>
      </w:r>
      <w:r w:rsidR="00233081">
        <w:rPr>
          <w:rFonts w:ascii="Tahoma" w:hAnsi="Tahoma" w:cs="Tahoma"/>
          <w:sz w:val="22"/>
        </w:rPr>
        <w:t>.</w:t>
      </w:r>
      <w:r w:rsidR="00233081" w:rsidRPr="003D46E0">
        <w:rPr>
          <w:rFonts w:ascii="Tahoma" w:hAnsi="Tahoma" w:cs="Tahoma"/>
          <w:sz w:val="22"/>
        </w:rPr>
        <w:t xml:space="preserve"> 18 qm Loch um 400 Euro inkl.</w:t>
      </w:r>
      <w:r>
        <w:rPr>
          <w:rFonts w:ascii="Tahoma" w:hAnsi="Tahoma" w:cs="Tahoma"/>
          <w:sz w:val="22"/>
        </w:rPr>
        <w:t>“</w:t>
      </w:r>
    </w:p>
    <w:p w:rsidR="00233081" w:rsidRPr="00B221D7" w:rsidRDefault="00DC059B" w:rsidP="00233081">
      <w:pPr>
        <w:pStyle w:val="notranslate"/>
        <w:numPr>
          <w:ilvl w:val="0"/>
          <w:numId w:val="2"/>
        </w:numPr>
        <w:spacing w:before="0" w:beforeAutospacing="0" w:after="60" w:afterAutospacing="0"/>
        <w:ind w:left="714" w:hanging="357"/>
        <w:rPr>
          <w:rFonts w:ascii="Tahoma" w:hAnsi="Tahoma" w:cs="Tahoma"/>
          <w:sz w:val="22"/>
        </w:rPr>
      </w:pPr>
      <w:r>
        <w:rPr>
          <w:rFonts w:ascii="Tahoma" w:hAnsi="Tahoma" w:cs="Tahoma"/>
          <w:sz w:val="22"/>
        </w:rPr>
        <w:t>„</w:t>
      </w:r>
      <w:r w:rsidR="00233081" w:rsidRPr="00B221D7">
        <w:rPr>
          <w:rFonts w:ascii="Tahoma" w:hAnsi="Tahoma" w:cs="Tahoma"/>
          <w:sz w:val="22"/>
        </w:rPr>
        <w:t>Unterbringung im betreuten Wohnen ist abhängig von einer Förderbewilligung durch die zuständige Sozialabteilung</w:t>
      </w:r>
      <w:r>
        <w:rPr>
          <w:rFonts w:ascii="Tahoma" w:hAnsi="Tahoma" w:cs="Tahoma"/>
          <w:sz w:val="22"/>
        </w:rPr>
        <w:t>“</w:t>
      </w:r>
      <w:r w:rsidR="00233081" w:rsidRPr="00B221D7">
        <w:rPr>
          <w:rFonts w:ascii="Tahoma" w:hAnsi="Tahoma" w:cs="Tahoma"/>
          <w:sz w:val="22"/>
        </w:rPr>
        <w:t xml:space="preserve"> / </w:t>
      </w:r>
      <w:r>
        <w:rPr>
          <w:rFonts w:ascii="Tahoma" w:hAnsi="Tahoma" w:cs="Tahoma"/>
          <w:sz w:val="22"/>
        </w:rPr>
        <w:t>„</w:t>
      </w:r>
      <w:r w:rsidR="00233081" w:rsidRPr="00B221D7">
        <w:rPr>
          <w:rFonts w:ascii="Tahoma" w:hAnsi="Tahoma" w:cs="Tahoma"/>
          <w:sz w:val="22"/>
        </w:rPr>
        <w:t>für Vergabe der Wohnplätze im Betreuten Wohnen müssen bestimmte landesgesetzliche Voraussetzungen erfüllt sein</w:t>
      </w:r>
      <w:r w:rsidR="005A23D7">
        <w:rPr>
          <w:rFonts w:ascii="Tahoma" w:hAnsi="Tahoma" w:cs="Tahoma"/>
          <w:sz w:val="22"/>
        </w:rPr>
        <w:t>“</w:t>
      </w:r>
      <w:r w:rsidR="00233081" w:rsidRPr="00B221D7">
        <w:rPr>
          <w:rFonts w:ascii="Tahoma" w:hAnsi="Tahoma" w:cs="Tahoma"/>
          <w:sz w:val="22"/>
        </w:rPr>
        <w:t xml:space="preserve"> / </w:t>
      </w:r>
      <w:r w:rsidR="005A23D7">
        <w:rPr>
          <w:rFonts w:ascii="Tahoma" w:hAnsi="Tahoma" w:cs="Tahoma"/>
          <w:sz w:val="22"/>
        </w:rPr>
        <w:t>„</w:t>
      </w:r>
      <w:r w:rsidR="00233081" w:rsidRPr="00B221D7">
        <w:rPr>
          <w:rFonts w:ascii="Tahoma" w:hAnsi="Tahoma" w:cs="Tahoma"/>
          <w:sz w:val="22"/>
        </w:rPr>
        <w:t>Kriterien sind Wohnungslosigkeit und Förderwürdigkeit</w:t>
      </w:r>
      <w:r w:rsidR="005A23D7">
        <w:rPr>
          <w:rFonts w:ascii="Tahoma" w:hAnsi="Tahoma" w:cs="Tahoma"/>
          <w:sz w:val="22"/>
        </w:rPr>
        <w:t>“</w:t>
      </w:r>
    </w:p>
    <w:p w:rsidR="00233081" w:rsidRPr="003D46E0" w:rsidRDefault="005A23D7" w:rsidP="00233081">
      <w:pPr>
        <w:pStyle w:val="notranslate"/>
        <w:numPr>
          <w:ilvl w:val="0"/>
          <w:numId w:val="2"/>
        </w:numPr>
        <w:spacing w:before="0" w:beforeAutospacing="0" w:after="60" w:afterAutospacing="0"/>
        <w:ind w:left="714" w:hanging="357"/>
        <w:rPr>
          <w:rFonts w:ascii="Tahoma" w:hAnsi="Tahoma" w:cs="Tahoma"/>
          <w:sz w:val="22"/>
          <w:lang w:val="en-US"/>
        </w:rPr>
      </w:pPr>
      <w:r>
        <w:rPr>
          <w:rFonts w:ascii="Tahoma" w:hAnsi="Tahoma" w:cs="Tahoma"/>
          <w:sz w:val="22"/>
          <w:lang w:val="en-US"/>
        </w:rPr>
        <w:t>“</w:t>
      </w:r>
      <w:r w:rsidR="00233081" w:rsidRPr="003D46E0">
        <w:rPr>
          <w:rFonts w:ascii="Tahoma" w:hAnsi="Tahoma" w:cs="Tahoma"/>
          <w:sz w:val="22"/>
          <w:lang w:val="en-US"/>
        </w:rPr>
        <w:t>teilweise Quotenregelung</w:t>
      </w:r>
      <w:r>
        <w:rPr>
          <w:rFonts w:ascii="Tahoma" w:hAnsi="Tahoma" w:cs="Tahoma"/>
          <w:sz w:val="22"/>
          <w:lang w:val="en-US"/>
        </w:rPr>
        <w:t>”</w:t>
      </w:r>
    </w:p>
    <w:p w:rsidR="00233081" w:rsidRPr="003D46E0" w:rsidRDefault="005A23D7" w:rsidP="00233081">
      <w:pPr>
        <w:pStyle w:val="notranslate"/>
        <w:numPr>
          <w:ilvl w:val="0"/>
          <w:numId w:val="2"/>
        </w:numPr>
        <w:spacing w:before="0" w:beforeAutospacing="0" w:after="60" w:afterAutospacing="0"/>
        <w:ind w:left="714" w:hanging="357"/>
        <w:rPr>
          <w:rFonts w:ascii="Tahoma" w:hAnsi="Tahoma" w:cs="Tahoma"/>
          <w:sz w:val="22"/>
        </w:rPr>
      </w:pPr>
      <w:r>
        <w:rPr>
          <w:rFonts w:ascii="Tahoma" w:hAnsi="Tahoma" w:cs="Tahoma"/>
          <w:sz w:val="22"/>
        </w:rPr>
        <w:t>„</w:t>
      </w:r>
      <w:r w:rsidR="00233081" w:rsidRPr="003D46E0">
        <w:rPr>
          <w:rFonts w:ascii="Tahoma" w:hAnsi="Tahoma" w:cs="Tahoma"/>
          <w:sz w:val="22"/>
        </w:rPr>
        <w:t>Informelle Zugangshürden: Sprachkompetenz, Behandlung und Beratung bei der Wohnungssuche</w:t>
      </w:r>
      <w:r>
        <w:rPr>
          <w:rFonts w:ascii="Tahoma" w:hAnsi="Tahoma" w:cs="Tahoma"/>
          <w:sz w:val="22"/>
        </w:rPr>
        <w:t>“</w:t>
      </w:r>
      <w:r w:rsidR="00233081" w:rsidRPr="003D46E0">
        <w:rPr>
          <w:rFonts w:ascii="Tahoma" w:hAnsi="Tahoma" w:cs="Tahoma"/>
          <w:sz w:val="22"/>
        </w:rPr>
        <w:t xml:space="preserve"> </w:t>
      </w:r>
    </w:p>
    <w:p w:rsidR="00233081" w:rsidRPr="003D46E0" w:rsidRDefault="005A23D7" w:rsidP="00233081">
      <w:pPr>
        <w:pStyle w:val="notranslate"/>
        <w:numPr>
          <w:ilvl w:val="0"/>
          <w:numId w:val="2"/>
        </w:numPr>
        <w:spacing w:before="0" w:beforeAutospacing="0" w:after="60" w:afterAutospacing="0"/>
        <w:ind w:left="714" w:hanging="357"/>
        <w:rPr>
          <w:rFonts w:ascii="Tahoma" w:hAnsi="Tahoma" w:cs="Tahoma"/>
          <w:sz w:val="22"/>
        </w:rPr>
      </w:pPr>
      <w:r>
        <w:rPr>
          <w:rFonts w:ascii="Tahoma" w:hAnsi="Tahoma" w:cs="Tahoma"/>
          <w:sz w:val="22"/>
        </w:rPr>
        <w:t>„</w:t>
      </w:r>
      <w:r w:rsidR="00233081" w:rsidRPr="003D46E0">
        <w:rPr>
          <w:rFonts w:ascii="Tahoma" w:hAnsi="Tahoma" w:cs="Tahoma"/>
          <w:sz w:val="22"/>
        </w:rPr>
        <w:t>ökonomische Hürden (für Haushalte mit geringem Einkommen zu hohe (Neu-)Mieten in Gemeindebauten)</w:t>
      </w:r>
      <w:r>
        <w:rPr>
          <w:rFonts w:ascii="Tahoma" w:hAnsi="Tahoma" w:cs="Tahoma"/>
          <w:sz w:val="22"/>
        </w:rPr>
        <w:t>“</w:t>
      </w:r>
    </w:p>
    <w:p w:rsidR="00233081" w:rsidRPr="00B221D7" w:rsidRDefault="005A23D7" w:rsidP="00233081">
      <w:pPr>
        <w:pStyle w:val="notranslate"/>
        <w:numPr>
          <w:ilvl w:val="0"/>
          <w:numId w:val="2"/>
        </w:numPr>
        <w:spacing w:before="0" w:beforeAutospacing="0" w:after="60" w:afterAutospacing="0"/>
        <w:ind w:left="714" w:hanging="357"/>
        <w:rPr>
          <w:rFonts w:ascii="Tahoma" w:hAnsi="Tahoma" w:cs="Tahoma"/>
          <w:sz w:val="22"/>
        </w:rPr>
      </w:pPr>
      <w:r>
        <w:rPr>
          <w:rFonts w:ascii="Tahoma" w:hAnsi="Tahoma" w:cs="Tahoma"/>
          <w:sz w:val="22"/>
        </w:rPr>
        <w:t>„</w:t>
      </w:r>
      <w:r w:rsidR="00233081" w:rsidRPr="00B221D7">
        <w:rPr>
          <w:rFonts w:ascii="Tahoma" w:hAnsi="Tahoma" w:cs="Tahoma"/>
          <w:sz w:val="22"/>
        </w:rPr>
        <w:t xml:space="preserve">Gemeindebau: Daueraufenthalt EU nötig / GemeindewohnungswerberInnen müssen zumindest 5 Jahre in </w:t>
      </w:r>
      <w:r w:rsidR="00233081">
        <w:rPr>
          <w:rFonts w:ascii="Tahoma" w:hAnsi="Tahoma" w:cs="Tahoma"/>
          <w:sz w:val="22"/>
        </w:rPr>
        <w:t>der Gemeinde</w:t>
      </w:r>
      <w:r w:rsidR="00233081" w:rsidRPr="00B221D7">
        <w:rPr>
          <w:rFonts w:ascii="Tahoma" w:hAnsi="Tahoma" w:cs="Tahoma"/>
          <w:sz w:val="22"/>
        </w:rPr>
        <w:t xml:space="preserve"> leben ("Aufenthaltsverfestigung")</w:t>
      </w:r>
      <w:r>
        <w:rPr>
          <w:rFonts w:ascii="Tahoma" w:hAnsi="Tahoma" w:cs="Tahoma"/>
          <w:sz w:val="22"/>
        </w:rPr>
        <w:t>“</w:t>
      </w:r>
      <w:r w:rsidR="00233081" w:rsidRPr="00B221D7">
        <w:rPr>
          <w:rFonts w:ascii="Tahoma" w:hAnsi="Tahoma" w:cs="Tahoma"/>
          <w:sz w:val="22"/>
        </w:rPr>
        <w:t xml:space="preserve"> </w:t>
      </w:r>
    </w:p>
    <w:p w:rsidR="00233081" w:rsidRPr="003D46E0" w:rsidRDefault="005A23D7" w:rsidP="00233081">
      <w:pPr>
        <w:pStyle w:val="notranslate"/>
        <w:numPr>
          <w:ilvl w:val="0"/>
          <w:numId w:val="2"/>
        </w:numPr>
        <w:spacing w:before="0" w:beforeAutospacing="0" w:after="60" w:afterAutospacing="0"/>
        <w:ind w:left="714" w:hanging="357"/>
        <w:rPr>
          <w:rFonts w:ascii="Tahoma" w:hAnsi="Tahoma" w:cs="Tahoma"/>
          <w:sz w:val="22"/>
        </w:rPr>
      </w:pPr>
      <w:r>
        <w:rPr>
          <w:rFonts w:ascii="Tahoma" w:hAnsi="Tahoma" w:cs="Tahoma"/>
          <w:sz w:val="22"/>
        </w:rPr>
        <w:t>„</w:t>
      </w:r>
      <w:r w:rsidR="00233081" w:rsidRPr="003D46E0">
        <w:rPr>
          <w:rFonts w:ascii="Tahoma" w:hAnsi="Tahoma" w:cs="Tahoma"/>
          <w:sz w:val="22"/>
        </w:rPr>
        <w:t xml:space="preserve">anerkannte Flüchtlinge: </w:t>
      </w:r>
      <w:r w:rsidR="00233081">
        <w:rPr>
          <w:rFonts w:ascii="Tahoma" w:hAnsi="Tahoma" w:cs="Tahoma"/>
          <w:sz w:val="22"/>
        </w:rPr>
        <w:t>Voraussetzung ist ein Dauer</w:t>
      </w:r>
      <w:r w:rsidR="00233081" w:rsidRPr="003D46E0">
        <w:rPr>
          <w:rFonts w:ascii="Tahoma" w:hAnsi="Tahoma" w:cs="Tahoma"/>
          <w:sz w:val="22"/>
        </w:rPr>
        <w:t xml:space="preserve">wohnsitz </w:t>
      </w:r>
      <w:r w:rsidR="00233081">
        <w:rPr>
          <w:rFonts w:ascii="Tahoma" w:hAnsi="Tahoma" w:cs="Tahoma"/>
          <w:sz w:val="22"/>
        </w:rPr>
        <w:t>im Bundesland</w:t>
      </w:r>
      <w:r>
        <w:rPr>
          <w:rFonts w:ascii="Tahoma" w:hAnsi="Tahoma" w:cs="Tahoma"/>
          <w:sz w:val="22"/>
        </w:rPr>
        <w:t>“</w:t>
      </w:r>
    </w:p>
    <w:p w:rsidR="00233081" w:rsidRPr="00B0095E" w:rsidRDefault="005A23D7" w:rsidP="00233081">
      <w:pPr>
        <w:pStyle w:val="notranslate"/>
        <w:numPr>
          <w:ilvl w:val="0"/>
          <w:numId w:val="2"/>
        </w:numPr>
        <w:spacing w:before="0" w:beforeAutospacing="0" w:after="60" w:afterAutospacing="0"/>
        <w:ind w:left="714" w:hanging="357"/>
        <w:rPr>
          <w:rFonts w:ascii="Tahoma" w:hAnsi="Tahoma" w:cs="Tahoma"/>
          <w:sz w:val="22"/>
        </w:rPr>
      </w:pPr>
      <w:r>
        <w:rPr>
          <w:rFonts w:ascii="Tahoma" w:hAnsi="Tahoma" w:cs="Tahoma"/>
          <w:sz w:val="22"/>
        </w:rPr>
        <w:t>„</w:t>
      </w:r>
      <w:r w:rsidR="00233081" w:rsidRPr="00B0095E">
        <w:rPr>
          <w:rFonts w:ascii="Tahoma" w:hAnsi="Tahoma" w:cs="Tahoma"/>
          <w:sz w:val="22"/>
        </w:rPr>
        <w:t>informell: persönliche Vorurteile der wohnungsvergebenden Personen / Benachteil</w:t>
      </w:r>
      <w:r w:rsidR="00233081" w:rsidRPr="00B0095E">
        <w:rPr>
          <w:rFonts w:ascii="Tahoma" w:hAnsi="Tahoma" w:cs="Tahoma"/>
          <w:sz w:val="22"/>
        </w:rPr>
        <w:t>i</w:t>
      </w:r>
      <w:r w:rsidR="00233081" w:rsidRPr="00B0095E">
        <w:rPr>
          <w:rFonts w:ascii="Tahoma" w:hAnsi="Tahoma" w:cs="Tahoma"/>
          <w:sz w:val="22"/>
        </w:rPr>
        <w:t>gung aufgrund persönlicher Abneigung des/der Sachbearbeiter/In</w:t>
      </w:r>
      <w:r>
        <w:rPr>
          <w:rFonts w:ascii="Tahoma" w:hAnsi="Tahoma" w:cs="Tahoma"/>
          <w:sz w:val="22"/>
        </w:rPr>
        <w:t>“</w:t>
      </w:r>
    </w:p>
    <w:p w:rsidR="00233081" w:rsidRPr="003D46E0" w:rsidRDefault="005A23D7" w:rsidP="00233081">
      <w:pPr>
        <w:pStyle w:val="notranslate"/>
        <w:numPr>
          <w:ilvl w:val="0"/>
          <w:numId w:val="2"/>
        </w:numPr>
        <w:spacing w:before="0" w:beforeAutospacing="0" w:after="60" w:afterAutospacing="0"/>
        <w:ind w:left="714" w:hanging="357"/>
        <w:rPr>
          <w:rFonts w:ascii="Tahoma" w:hAnsi="Tahoma" w:cs="Tahoma"/>
          <w:sz w:val="22"/>
        </w:rPr>
      </w:pPr>
      <w:r>
        <w:rPr>
          <w:rFonts w:ascii="Tahoma" w:hAnsi="Tahoma" w:cs="Tahoma"/>
          <w:sz w:val="22"/>
        </w:rPr>
        <w:t>„</w:t>
      </w:r>
      <w:r w:rsidR="00233081" w:rsidRPr="003D46E0">
        <w:rPr>
          <w:rFonts w:ascii="Tahoma" w:hAnsi="Tahoma" w:cs="Tahoma"/>
          <w:sz w:val="22"/>
        </w:rPr>
        <w:t>z.B. Finanzierungsunsicherheit bei illegalisierten Flüchtlingen</w:t>
      </w:r>
      <w:r>
        <w:rPr>
          <w:rFonts w:ascii="Tahoma" w:hAnsi="Tahoma" w:cs="Tahoma"/>
          <w:sz w:val="22"/>
        </w:rPr>
        <w:t>“</w:t>
      </w:r>
    </w:p>
    <w:p w:rsidR="00233081" w:rsidRPr="003D46E0" w:rsidRDefault="005A23D7" w:rsidP="00233081">
      <w:pPr>
        <w:pStyle w:val="notranslate"/>
        <w:numPr>
          <w:ilvl w:val="0"/>
          <w:numId w:val="2"/>
        </w:numPr>
        <w:spacing w:before="0" w:beforeAutospacing="0" w:after="60" w:afterAutospacing="0"/>
        <w:ind w:left="714" w:hanging="357"/>
        <w:rPr>
          <w:rFonts w:ascii="Tahoma" w:hAnsi="Tahoma" w:cs="Tahoma"/>
          <w:sz w:val="22"/>
        </w:rPr>
      </w:pPr>
      <w:r>
        <w:rPr>
          <w:rFonts w:ascii="Tahoma" w:hAnsi="Tahoma" w:cs="Tahoma"/>
          <w:sz w:val="22"/>
        </w:rPr>
        <w:t>„</w:t>
      </w:r>
      <w:r w:rsidR="00233081" w:rsidRPr="003D46E0">
        <w:rPr>
          <w:rFonts w:ascii="Tahoma" w:hAnsi="Tahoma" w:cs="Tahoma"/>
          <w:sz w:val="22"/>
        </w:rPr>
        <w:t xml:space="preserve">Meiner Meinung nach </w:t>
      </w:r>
      <w:r w:rsidR="00233081">
        <w:rPr>
          <w:rFonts w:ascii="Tahoma" w:hAnsi="Tahoma" w:cs="Tahoma"/>
          <w:sz w:val="22"/>
        </w:rPr>
        <w:t xml:space="preserve">diskriminieren </w:t>
      </w:r>
      <w:r w:rsidR="00233081" w:rsidRPr="003D46E0">
        <w:rPr>
          <w:rFonts w:ascii="Tahoma" w:hAnsi="Tahoma" w:cs="Tahoma"/>
          <w:sz w:val="22"/>
        </w:rPr>
        <w:t>Vergaberichtlinien der Gemeinde</w:t>
      </w:r>
      <w:r w:rsidR="00233081">
        <w:rPr>
          <w:rFonts w:ascii="Tahoma" w:hAnsi="Tahoma" w:cs="Tahoma"/>
          <w:sz w:val="22"/>
        </w:rPr>
        <w:t>n</w:t>
      </w:r>
      <w:r w:rsidR="00233081" w:rsidRPr="003D46E0">
        <w:rPr>
          <w:rFonts w:ascii="Tahoma" w:hAnsi="Tahoma" w:cs="Tahoma"/>
          <w:sz w:val="22"/>
        </w:rPr>
        <w:t xml:space="preserve"> bzw. lande</w:t>
      </w:r>
      <w:r w:rsidR="00233081" w:rsidRPr="003D46E0">
        <w:rPr>
          <w:rFonts w:ascii="Tahoma" w:hAnsi="Tahoma" w:cs="Tahoma"/>
          <w:sz w:val="22"/>
        </w:rPr>
        <w:t>s</w:t>
      </w:r>
      <w:r w:rsidR="00233081" w:rsidRPr="003D46E0">
        <w:rPr>
          <w:rFonts w:ascii="Tahoma" w:hAnsi="Tahoma" w:cs="Tahoma"/>
          <w:sz w:val="22"/>
        </w:rPr>
        <w:t>rechtliche Bestimmungen</w:t>
      </w:r>
      <w:r w:rsidR="00233081">
        <w:rPr>
          <w:rFonts w:ascii="Tahoma" w:hAnsi="Tahoma" w:cs="Tahoma"/>
          <w:sz w:val="22"/>
        </w:rPr>
        <w:t>;</w:t>
      </w:r>
      <w:r w:rsidR="00233081" w:rsidRPr="003D46E0">
        <w:rPr>
          <w:rFonts w:ascii="Tahoma" w:hAnsi="Tahoma" w:cs="Tahoma"/>
          <w:sz w:val="22"/>
        </w:rPr>
        <w:t xml:space="preserve"> z.B</w:t>
      </w:r>
      <w:r w:rsidR="00233081">
        <w:rPr>
          <w:rFonts w:ascii="Tahoma" w:hAnsi="Tahoma" w:cs="Tahoma"/>
          <w:sz w:val="22"/>
        </w:rPr>
        <w:t>.</w:t>
      </w:r>
      <w:r w:rsidR="00233081" w:rsidRPr="003D46E0">
        <w:rPr>
          <w:rFonts w:ascii="Tahoma" w:hAnsi="Tahoma" w:cs="Tahoma"/>
          <w:sz w:val="22"/>
        </w:rPr>
        <w:t xml:space="preserve"> </w:t>
      </w:r>
      <w:r w:rsidR="00233081">
        <w:rPr>
          <w:rFonts w:ascii="Tahoma" w:hAnsi="Tahoma" w:cs="Tahoma"/>
          <w:sz w:val="22"/>
        </w:rPr>
        <w:t xml:space="preserve">Ausschluss von </w:t>
      </w:r>
      <w:r w:rsidR="00233081" w:rsidRPr="003D46E0">
        <w:rPr>
          <w:rFonts w:ascii="Tahoma" w:hAnsi="Tahoma" w:cs="Tahoma"/>
          <w:sz w:val="22"/>
        </w:rPr>
        <w:t>NichtösterreicherInnen</w:t>
      </w:r>
      <w:r w:rsidR="00233081">
        <w:rPr>
          <w:rFonts w:ascii="Tahoma" w:hAnsi="Tahoma" w:cs="Tahoma"/>
          <w:sz w:val="22"/>
        </w:rPr>
        <w:t xml:space="preserve"> aus der Woh</w:t>
      </w:r>
      <w:r w:rsidR="00233081">
        <w:rPr>
          <w:rFonts w:ascii="Tahoma" w:hAnsi="Tahoma" w:cs="Tahoma"/>
          <w:sz w:val="22"/>
        </w:rPr>
        <w:t>n</w:t>
      </w:r>
      <w:r w:rsidR="00233081">
        <w:rPr>
          <w:rFonts w:ascii="Tahoma" w:hAnsi="Tahoma" w:cs="Tahoma"/>
          <w:sz w:val="22"/>
        </w:rPr>
        <w:t>beihilfe</w:t>
      </w:r>
      <w:r>
        <w:rPr>
          <w:rFonts w:ascii="Tahoma" w:hAnsi="Tahoma" w:cs="Tahoma"/>
          <w:sz w:val="22"/>
        </w:rPr>
        <w:t>“</w:t>
      </w:r>
    </w:p>
    <w:p w:rsidR="00233081" w:rsidRPr="003D46E0" w:rsidRDefault="005A23D7" w:rsidP="00233081">
      <w:pPr>
        <w:pStyle w:val="notranslate"/>
        <w:numPr>
          <w:ilvl w:val="0"/>
          <w:numId w:val="2"/>
        </w:numPr>
        <w:spacing w:before="0" w:beforeAutospacing="0" w:after="60" w:afterAutospacing="0"/>
        <w:ind w:left="714" w:hanging="357"/>
        <w:rPr>
          <w:rFonts w:ascii="Tahoma" w:hAnsi="Tahoma" w:cs="Tahoma"/>
          <w:sz w:val="22"/>
        </w:rPr>
      </w:pPr>
      <w:r>
        <w:rPr>
          <w:rFonts w:ascii="Tahoma" w:hAnsi="Tahoma" w:cs="Tahoma"/>
          <w:sz w:val="22"/>
        </w:rPr>
        <w:t>„</w:t>
      </w:r>
      <w:r w:rsidR="00233081" w:rsidRPr="003D46E0">
        <w:rPr>
          <w:rFonts w:ascii="Tahoma" w:hAnsi="Tahoma" w:cs="Tahoma"/>
          <w:sz w:val="22"/>
        </w:rPr>
        <w:t>Durchmischung der Siedlungen, Entgegensteuern der Ghettobildung</w:t>
      </w:r>
      <w:r>
        <w:rPr>
          <w:rFonts w:ascii="Tahoma" w:hAnsi="Tahoma" w:cs="Tahoma"/>
          <w:sz w:val="22"/>
        </w:rPr>
        <w:t>“</w:t>
      </w:r>
    </w:p>
    <w:p w:rsidR="00233081" w:rsidRPr="003D46E0" w:rsidRDefault="005A23D7" w:rsidP="00233081">
      <w:pPr>
        <w:pStyle w:val="notranslate"/>
        <w:numPr>
          <w:ilvl w:val="0"/>
          <w:numId w:val="2"/>
        </w:numPr>
        <w:spacing w:before="0" w:beforeAutospacing="0" w:after="60" w:afterAutospacing="0"/>
        <w:ind w:left="714" w:hanging="357"/>
        <w:rPr>
          <w:rFonts w:ascii="Tahoma" w:hAnsi="Tahoma" w:cs="Tahoma"/>
          <w:sz w:val="22"/>
        </w:rPr>
      </w:pPr>
      <w:r>
        <w:rPr>
          <w:rFonts w:ascii="Tahoma" w:hAnsi="Tahoma" w:cs="Tahoma"/>
          <w:sz w:val="22"/>
        </w:rPr>
        <w:t>„</w:t>
      </w:r>
      <w:r w:rsidR="00233081" w:rsidRPr="003D46E0">
        <w:rPr>
          <w:rFonts w:ascii="Tahoma" w:hAnsi="Tahoma" w:cs="Tahoma"/>
          <w:sz w:val="22"/>
        </w:rPr>
        <w:t>Anspruch auf Grundsicherung muss bestehen</w:t>
      </w:r>
      <w:r>
        <w:rPr>
          <w:rFonts w:ascii="Tahoma" w:hAnsi="Tahoma" w:cs="Tahoma"/>
          <w:sz w:val="22"/>
        </w:rPr>
        <w:t>“</w:t>
      </w:r>
    </w:p>
    <w:p w:rsidR="00233081" w:rsidRPr="003D46E0" w:rsidRDefault="005A23D7" w:rsidP="00233081">
      <w:pPr>
        <w:pStyle w:val="notranslate"/>
        <w:numPr>
          <w:ilvl w:val="0"/>
          <w:numId w:val="2"/>
        </w:numPr>
        <w:spacing w:before="0" w:beforeAutospacing="0" w:after="60" w:afterAutospacing="0"/>
        <w:ind w:left="714" w:hanging="357"/>
        <w:rPr>
          <w:rFonts w:ascii="Tahoma" w:hAnsi="Tahoma" w:cs="Tahoma"/>
          <w:sz w:val="22"/>
        </w:rPr>
      </w:pPr>
      <w:r>
        <w:rPr>
          <w:rFonts w:ascii="Tahoma" w:hAnsi="Tahoma" w:cs="Tahoma"/>
          <w:sz w:val="22"/>
        </w:rPr>
        <w:t>„</w:t>
      </w:r>
      <w:r w:rsidR="00233081" w:rsidRPr="00B221D7">
        <w:rPr>
          <w:rFonts w:ascii="Tahoma" w:hAnsi="Tahoma" w:cs="Tahoma"/>
          <w:sz w:val="22"/>
        </w:rPr>
        <w:t>Rassismus seitens der Vermieter / Vermieter wollen keine Ausländer, Familien mit vi</w:t>
      </w:r>
      <w:r w:rsidR="00233081" w:rsidRPr="00B221D7">
        <w:rPr>
          <w:rFonts w:ascii="Tahoma" w:hAnsi="Tahoma" w:cs="Tahoma"/>
          <w:sz w:val="22"/>
        </w:rPr>
        <w:t>e</w:t>
      </w:r>
      <w:r w:rsidR="00233081" w:rsidRPr="00B221D7">
        <w:rPr>
          <w:rFonts w:ascii="Tahoma" w:hAnsi="Tahoma" w:cs="Tahoma"/>
          <w:sz w:val="22"/>
        </w:rPr>
        <w:t xml:space="preserve">len Kindern, Haustieren / bei wohnungssuchendem Klienten aus Afrika gab es bei der Wohnungssuche am privaten Wohnungsmarkt Schwierigkeiten aufgrund rassistischer Vorbehalte (Hautfarbe, etc.) / Vorurteile insbesondere am privaten Wohnungsmarkt </w:t>
      </w:r>
      <w:r w:rsidR="00233081">
        <w:rPr>
          <w:rFonts w:ascii="Tahoma" w:hAnsi="Tahoma" w:cs="Tahoma"/>
          <w:sz w:val="22"/>
        </w:rPr>
        <w:t xml:space="preserve">/ </w:t>
      </w:r>
      <w:r w:rsidR="00233081" w:rsidRPr="003D46E0">
        <w:rPr>
          <w:rFonts w:ascii="Tahoma" w:hAnsi="Tahoma" w:cs="Tahoma"/>
          <w:sz w:val="22"/>
        </w:rPr>
        <w:t>Privatwohnungsanbieter suchen sich MieterInnen nach "Bonität" aus</w:t>
      </w:r>
      <w:r w:rsidR="00233081">
        <w:rPr>
          <w:rFonts w:ascii="Tahoma" w:hAnsi="Tahoma" w:cs="Tahoma"/>
          <w:sz w:val="22"/>
        </w:rPr>
        <w:t xml:space="preserve"> bzw.</w:t>
      </w:r>
      <w:r w:rsidR="00233081" w:rsidRPr="003D46E0">
        <w:rPr>
          <w:rFonts w:ascii="Tahoma" w:hAnsi="Tahoma" w:cs="Tahoma"/>
          <w:sz w:val="22"/>
        </w:rPr>
        <w:t xml:space="preserve"> vermieten an Nicht- ÖsterreicherInnen vorzugsweise Wohnungen, die ÖsterreicherInnen nicht ne</w:t>
      </w:r>
      <w:r w:rsidR="00233081" w:rsidRPr="003D46E0">
        <w:rPr>
          <w:rFonts w:ascii="Tahoma" w:hAnsi="Tahoma" w:cs="Tahoma"/>
          <w:sz w:val="22"/>
        </w:rPr>
        <w:t>h</w:t>
      </w:r>
      <w:r w:rsidR="00233081" w:rsidRPr="003D46E0">
        <w:rPr>
          <w:rFonts w:ascii="Tahoma" w:hAnsi="Tahoma" w:cs="Tahoma"/>
          <w:sz w:val="22"/>
        </w:rPr>
        <w:t>men.</w:t>
      </w:r>
      <w:r w:rsidR="00233081">
        <w:rPr>
          <w:rFonts w:ascii="Tahoma" w:hAnsi="Tahoma" w:cs="Tahoma"/>
          <w:sz w:val="22"/>
        </w:rPr>
        <w:t xml:space="preserve"> / </w:t>
      </w:r>
      <w:r w:rsidR="00233081" w:rsidRPr="003D46E0">
        <w:rPr>
          <w:rFonts w:ascii="Tahoma" w:hAnsi="Tahoma" w:cs="Tahoma"/>
          <w:sz w:val="22"/>
        </w:rPr>
        <w:t>Diskriminierung von Nicht-ÖsterreicherInnen bei der Vergabe privater Mietwo</w:t>
      </w:r>
      <w:r w:rsidR="00233081" w:rsidRPr="003D46E0">
        <w:rPr>
          <w:rFonts w:ascii="Tahoma" w:hAnsi="Tahoma" w:cs="Tahoma"/>
          <w:sz w:val="22"/>
        </w:rPr>
        <w:t>h</w:t>
      </w:r>
      <w:r w:rsidR="00233081">
        <w:rPr>
          <w:rFonts w:ascii="Tahoma" w:hAnsi="Tahoma" w:cs="Tahoma"/>
          <w:sz w:val="22"/>
        </w:rPr>
        <w:t>n</w:t>
      </w:r>
      <w:r w:rsidR="00233081" w:rsidRPr="003D46E0">
        <w:rPr>
          <w:rFonts w:ascii="Tahoma" w:hAnsi="Tahoma" w:cs="Tahoma"/>
          <w:sz w:val="22"/>
        </w:rPr>
        <w:t>ungen</w:t>
      </w:r>
      <w:r>
        <w:rPr>
          <w:rFonts w:ascii="Tahoma" w:hAnsi="Tahoma" w:cs="Tahoma"/>
          <w:sz w:val="22"/>
        </w:rPr>
        <w:t>“</w:t>
      </w:r>
    </w:p>
    <w:p w:rsidR="00233081" w:rsidRPr="00B221D7" w:rsidRDefault="005A23D7" w:rsidP="00233081">
      <w:pPr>
        <w:pStyle w:val="notranslate"/>
        <w:numPr>
          <w:ilvl w:val="0"/>
          <w:numId w:val="2"/>
        </w:numPr>
        <w:spacing w:before="0" w:beforeAutospacing="0" w:after="60" w:afterAutospacing="0"/>
        <w:ind w:left="714" w:hanging="357"/>
        <w:rPr>
          <w:rFonts w:ascii="Tahoma" w:hAnsi="Tahoma" w:cs="Tahoma"/>
          <w:sz w:val="22"/>
        </w:rPr>
      </w:pPr>
      <w:r>
        <w:rPr>
          <w:rFonts w:ascii="Tahoma" w:hAnsi="Tahoma" w:cs="Tahoma"/>
          <w:sz w:val="22"/>
        </w:rPr>
        <w:lastRenderedPageBreak/>
        <w:t>„</w:t>
      </w:r>
      <w:r w:rsidR="00233081" w:rsidRPr="00B221D7">
        <w:rPr>
          <w:rFonts w:ascii="Tahoma" w:hAnsi="Tahoma" w:cs="Tahoma"/>
          <w:sz w:val="22"/>
        </w:rPr>
        <w:t>Wir vermitteln Gemeindewohnungen, die Gemeinden legen Wert darauf, dass zuerst NiederösterreicherInnen in den Genuss von Wohnrechten kommen</w:t>
      </w:r>
      <w:r>
        <w:rPr>
          <w:rFonts w:ascii="Tahoma" w:hAnsi="Tahoma" w:cs="Tahoma"/>
          <w:sz w:val="22"/>
        </w:rPr>
        <w:t>“</w:t>
      </w:r>
      <w:r w:rsidR="00233081" w:rsidRPr="00B221D7">
        <w:rPr>
          <w:rFonts w:ascii="Tahoma" w:hAnsi="Tahoma" w:cs="Tahoma"/>
          <w:sz w:val="22"/>
        </w:rPr>
        <w:t xml:space="preserve"> / </w:t>
      </w:r>
      <w:r>
        <w:rPr>
          <w:rFonts w:ascii="Tahoma" w:hAnsi="Tahoma" w:cs="Tahoma"/>
          <w:sz w:val="22"/>
        </w:rPr>
        <w:t>„</w:t>
      </w:r>
      <w:r w:rsidR="00233081" w:rsidRPr="00B221D7">
        <w:rPr>
          <w:rFonts w:ascii="Tahoma" w:hAnsi="Tahoma" w:cs="Tahoma"/>
          <w:sz w:val="22"/>
        </w:rPr>
        <w:t>Wohnungsve</w:t>
      </w:r>
      <w:r w:rsidR="00233081" w:rsidRPr="00B221D7">
        <w:rPr>
          <w:rFonts w:ascii="Tahoma" w:hAnsi="Tahoma" w:cs="Tahoma"/>
          <w:sz w:val="22"/>
        </w:rPr>
        <w:t>r</w:t>
      </w:r>
      <w:r w:rsidR="00233081" w:rsidRPr="00B221D7">
        <w:rPr>
          <w:rFonts w:ascii="Tahoma" w:hAnsi="Tahoma" w:cs="Tahoma"/>
          <w:sz w:val="22"/>
        </w:rPr>
        <w:t>gabe an Einheimische</w:t>
      </w:r>
      <w:r>
        <w:rPr>
          <w:rFonts w:ascii="Tahoma" w:hAnsi="Tahoma" w:cs="Tahoma"/>
          <w:sz w:val="22"/>
        </w:rPr>
        <w:t>“</w:t>
      </w:r>
    </w:p>
    <w:p w:rsidR="00233081" w:rsidRPr="003D46E0" w:rsidRDefault="005A23D7" w:rsidP="00233081">
      <w:pPr>
        <w:pStyle w:val="notranslate"/>
        <w:numPr>
          <w:ilvl w:val="0"/>
          <w:numId w:val="2"/>
        </w:numPr>
        <w:spacing w:before="0" w:beforeAutospacing="0" w:after="60" w:afterAutospacing="0"/>
        <w:ind w:left="714" w:hanging="357"/>
        <w:rPr>
          <w:rFonts w:ascii="Tahoma" w:hAnsi="Tahoma" w:cs="Tahoma"/>
          <w:sz w:val="22"/>
        </w:rPr>
      </w:pPr>
      <w:r>
        <w:rPr>
          <w:rFonts w:ascii="Tahoma" w:hAnsi="Tahoma" w:cs="Tahoma"/>
          <w:sz w:val="22"/>
        </w:rPr>
        <w:t>„</w:t>
      </w:r>
      <w:r w:rsidR="00233081" w:rsidRPr="003D46E0">
        <w:rPr>
          <w:rFonts w:ascii="Tahoma" w:hAnsi="Tahoma" w:cs="Tahoma"/>
          <w:sz w:val="22"/>
        </w:rPr>
        <w:t>Bei uns werden nur Personen betreut, die von offizieller Stelle gefördert werden, das heißt, dass diese weitgehend integriert sind. Es ist im Sinne des Fördergebers, die Pe</w:t>
      </w:r>
      <w:r w:rsidR="00233081" w:rsidRPr="003D46E0">
        <w:rPr>
          <w:rFonts w:ascii="Tahoma" w:hAnsi="Tahoma" w:cs="Tahoma"/>
          <w:sz w:val="22"/>
        </w:rPr>
        <w:t>r</w:t>
      </w:r>
      <w:r w:rsidR="00233081" w:rsidRPr="003D46E0">
        <w:rPr>
          <w:rFonts w:ascii="Tahoma" w:hAnsi="Tahoma" w:cs="Tahoma"/>
          <w:sz w:val="22"/>
        </w:rPr>
        <w:t>sonen möglichst effizient in eine höhere Wohnform zu vermitteln.</w:t>
      </w:r>
      <w:r>
        <w:rPr>
          <w:rFonts w:ascii="Tahoma" w:hAnsi="Tahoma" w:cs="Tahoma"/>
          <w:sz w:val="22"/>
        </w:rPr>
        <w:t>“</w:t>
      </w:r>
    </w:p>
    <w:p w:rsidR="00233081" w:rsidRPr="003D46E0" w:rsidRDefault="005A23D7" w:rsidP="00233081">
      <w:pPr>
        <w:pStyle w:val="notranslate"/>
        <w:numPr>
          <w:ilvl w:val="0"/>
          <w:numId w:val="2"/>
        </w:numPr>
        <w:spacing w:before="0" w:beforeAutospacing="0" w:after="60" w:afterAutospacing="0"/>
        <w:ind w:left="714" w:hanging="357"/>
        <w:rPr>
          <w:rFonts w:ascii="Tahoma" w:hAnsi="Tahoma" w:cs="Tahoma"/>
          <w:sz w:val="22"/>
        </w:rPr>
      </w:pPr>
      <w:r>
        <w:rPr>
          <w:rFonts w:ascii="Tahoma" w:hAnsi="Tahoma" w:cs="Tahoma"/>
          <w:sz w:val="22"/>
        </w:rPr>
        <w:t>„</w:t>
      </w:r>
      <w:r w:rsidR="00233081" w:rsidRPr="003D46E0">
        <w:rPr>
          <w:rFonts w:ascii="Tahoma" w:hAnsi="Tahoma" w:cs="Tahoma"/>
          <w:sz w:val="22"/>
        </w:rPr>
        <w:t>Gesetzlich ist eine Benachteiligung von EU BürgerInnen und Drittstaatsangehörigen nicht gedeckt. Trotzdem gibt es in den Vergaberichtlinien einzelner Gemeinden Passi, die Drittstaatsangehörige beim Zugang zu öffentlichem Wohnraum benachteiligen. I</w:t>
      </w:r>
      <w:r w:rsidR="00233081" w:rsidRPr="003D46E0">
        <w:rPr>
          <w:rFonts w:ascii="Tahoma" w:hAnsi="Tahoma" w:cs="Tahoma"/>
          <w:sz w:val="22"/>
        </w:rPr>
        <w:t>n</w:t>
      </w:r>
      <w:r w:rsidR="00233081" w:rsidRPr="003D46E0">
        <w:rPr>
          <w:rFonts w:ascii="Tahoma" w:hAnsi="Tahoma" w:cs="Tahoma"/>
          <w:sz w:val="22"/>
        </w:rPr>
        <w:t>offizielle Richtlinien für den Anteil an Drittstaatsangehörigen in einem Wohnhaus pr</w:t>
      </w:r>
      <w:r w:rsidR="00233081" w:rsidRPr="003D46E0">
        <w:rPr>
          <w:rFonts w:ascii="Tahoma" w:hAnsi="Tahoma" w:cs="Tahoma"/>
          <w:sz w:val="22"/>
        </w:rPr>
        <w:t>ä</w:t>
      </w:r>
      <w:r w:rsidR="00233081" w:rsidRPr="003D46E0">
        <w:rPr>
          <w:rFonts w:ascii="Tahoma" w:hAnsi="Tahoma" w:cs="Tahoma"/>
          <w:sz w:val="22"/>
        </w:rPr>
        <w:t>gen in fast allen größeren Gemeinden Tirols die Wohnungsvergabe und führen zu Di</w:t>
      </w:r>
      <w:r w:rsidR="00233081" w:rsidRPr="003D46E0">
        <w:rPr>
          <w:rFonts w:ascii="Tahoma" w:hAnsi="Tahoma" w:cs="Tahoma"/>
          <w:sz w:val="22"/>
        </w:rPr>
        <w:t>s</w:t>
      </w:r>
      <w:r w:rsidR="00233081" w:rsidRPr="003D46E0">
        <w:rPr>
          <w:rFonts w:ascii="Tahoma" w:hAnsi="Tahoma" w:cs="Tahoma"/>
          <w:sz w:val="22"/>
        </w:rPr>
        <w:t>kriminierung von Drittstaatsangehörigen, besonders von Personen mit türkischem Migrationshintergrund.</w:t>
      </w:r>
      <w:r>
        <w:rPr>
          <w:rFonts w:ascii="Tahoma" w:hAnsi="Tahoma" w:cs="Tahoma"/>
          <w:sz w:val="22"/>
        </w:rPr>
        <w:t>“</w:t>
      </w:r>
      <w:r w:rsidR="00233081">
        <w:rPr>
          <w:rFonts w:ascii="Tahoma" w:hAnsi="Tahoma" w:cs="Tahoma"/>
          <w:sz w:val="22"/>
        </w:rPr>
        <w:br/>
      </w:r>
    </w:p>
    <w:p w:rsidR="00233081" w:rsidRDefault="00233081" w:rsidP="00233081">
      <w:pPr>
        <w:ind w:left="360"/>
      </w:pPr>
      <w:r>
        <w:t>Insbesondere wird hier auf Vorurteile in der öffentlichen Meinung sowie bei den für die Vergabe verantwortlichen Personen hingewiesen, die in (informellen) Quotenregelungen sowie informellen Zugangshürden (z.B. Sprachkompetenz) ihren Niederschlag finden und in der konkreten Beratung und Behandlung von nicht-österreichischen Wohnungswerb</w:t>
      </w:r>
      <w:r>
        <w:t>e</w:t>
      </w:r>
      <w:r>
        <w:t>rInnen mit benachteiligenden Effekten zum Ausdruck kommen. Politische Vorgaben bezü</w:t>
      </w:r>
      <w:r>
        <w:t>g</w:t>
      </w:r>
      <w:r>
        <w:t>lich einer erwünschten Durchmischung von Siedlungen / Wohngebäuden sowie inoffizielle Richtlinien für einen anzustrebenden Maximalanteil von Drittstaatsangehörigen in den Hausgemeinschaften („AusländerInnen-Quote“) führen demnach zu einer konkreten Di</w:t>
      </w:r>
      <w:r>
        <w:t>s</w:t>
      </w:r>
      <w:r>
        <w:t>kriminierung, welche nach Einschätzung einer RespondentIn insbesondere Personen mit türkischem Migrationshintergrund betrifft.</w:t>
      </w:r>
    </w:p>
    <w:p w:rsidR="00233081" w:rsidRDefault="00233081" w:rsidP="00233081">
      <w:pPr>
        <w:ind w:left="360"/>
      </w:pPr>
      <w:r>
        <w:t>Als weitere Diskriminierungsdynamik weisen einzelne RespondentInnen zudem auf die B</w:t>
      </w:r>
      <w:r>
        <w:t>e</w:t>
      </w:r>
      <w:r>
        <w:t>obachtung hin, dass Gemeinden im Rahmen ihrer Zuweisungskompetenz dazu neigen, einheimische WohnungswerberInnen bevorzugt zu behandeln.</w:t>
      </w:r>
      <w:r>
        <w:br/>
      </w:r>
    </w:p>
    <w:p w:rsidR="00461019" w:rsidRDefault="00461019" w:rsidP="00461019">
      <w:pPr>
        <w:pStyle w:val="berschrift3"/>
      </w:pPr>
      <w:r>
        <w:t>2.1</w:t>
      </w:r>
      <w:r>
        <w:tab/>
        <w:t xml:space="preserve">Einschätzung von Benachteiligungsquellen nach Art der Einrichtung </w:t>
      </w:r>
      <w:r>
        <w:br/>
      </w:r>
    </w:p>
    <w:p w:rsidR="00461019" w:rsidRDefault="00461019">
      <w:r>
        <w:rPr>
          <w:lang w:val="de-AT"/>
        </w:rPr>
        <w:t>Zwischen den Beratungseinrichtungen einerseits und den Agenturen des Wohnungsmarktes andererseits lassen sich erhebliche Unterschiede in der Ausprägung der kritischen Einschä</w:t>
      </w:r>
      <w:r>
        <w:rPr>
          <w:lang w:val="de-AT"/>
        </w:rPr>
        <w:t>t</w:t>
      </w:r>
      <w:r>
        <w:rPr>
          <w:lang w:val="de-AT"/>
        </w:rPr>
        <w:t>zung respektive Sensibilität in Bezug auf Diskriminierungen auf dem Wohnungsmarkt festste</w:t>
      </w:r>
      <w:r>
        <w:rPr>
          <w:lang w:val="de-AT"/>
        </w:rPr>
        <w:t>l</w:t>
      </w:r>
      <w:r>
        <w:rPr>
          <w:lang w:val="de-AT"/>
        </w:rPr>
        <w:t>len.</w:t>
      </w:r>
      <w:r>
        <w:br/>
      </w:r>
    </w:p>
    <w:p w:rsidR="00233081" w:rsidRDefault="00233081">
      <w:pPr>
        <w:spacing w:before="180" w:after="240" w:line="336" w:lineRule="auto"/>
        <w:jc w:val="center"/>
        <w:rPr>
          <w:rStyle w:val="SchwacherVerweis"/>
        </w:rPr>
      </w:pPr>
      <w:r>
        <w:rPr>
          <w:rStyle w:val="SchwacherVerweis"/>
        </w:rPr>
        <w:br w:type="page"/>
      </w:r>
    </w:p>
    <w:p w:rsidR="00C55641" w:rsidRPr="00C55641" w:rsidRDefault="00C55641">
      <w:pPr>
        <w:rPr>
          <w:rStyle w:val="SchwacherVerweis"/>
        </w:rPr>
      </w:pPr>
      <w:r w:rsidRPr="00C55641">
        <w:rPr>
          <w:rStyle w:val="SchwacherVerweis"/>
        </w:rPr>
        <w:lastRenderedPageBreak/>
        <w:t>Grafik</w:t>
      </w:r>
      <w:r w:rsidR="008D2223">
        <w:rPr>
          <w:rStyle w:val="SchwacherVerweis"/>
        </w:rPr>
        <w:t xml:space="preserve"> </w:t>
      </w:r>
      <w:r w:rsidR="007866AA">
        <w:rPr>
          <w:rStyle w:val="SchwacherVerweis"/>
        </w:rPr>
        <w:t>9</w:t>
      </w:r>
      <w:r w:rsidRPr="00C55641">
        <w:rPr>
          <w:rStyle w:val="SchwacherVerweis"/>
        </w:rPr>
        <w:t>: Benachteiligung durch gesetzliche oder administrative Regelungen</w:t>
      </w:r>
      <w:r w:rsidR="00DF3173">
        <w:rPr>
          <w:rStyle w:val="SchwacherVerweis"/>
        </w:rPr>
        <w:t xml:space="preserve"> nach Art der Einrichtung</w:t>
      </w:r>
    </w:p>
    <w:p w:rsidR="00DF3173" w:rsidRDefault="00AA7F04">
      <w:pPr>
        <w:rPr>
          <w:lang w:val="de-AT"/>
        </w:rPr>
      </w:pPr>
      <w:r w:rsidRPr="003D46E0">
        <w:rPr>
          <w:noProof/>
          <w:lang w:val="de-AT" w:eastAsia="de-AT"/>
        </w:rPr>
        <w:drawing>
          <wp:inline distT="0" distB="0" distL="0" distR="0">
            <wp:extent cx="5705609" cy="2743200"/>
            <wp:effectExtent l="19050" t="0" r="28441" b="0"/>
            <wp:docPr id="16"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A7F04" w:rsidRDefault="00AA7F04">
      <w:r>
        <w:br/>
      </w:r>
      <w:r w:rsidR="00233081">
        <w:t>Demnach sind es vor allem Beratungseinrichtungen sowie private Bauträger, die gesetzliche Bestimmungen und administrative Vorgaben hinsichtlich Benachteiligungseffekten eher ske</w:t>
      </w:r>
      <w:r w:rsidR="00233081">
        <w:t>p</w:t>
      </w:r>
      <w:r w:rsidR="00233081">
        <w:t>tisch bewerten. Demgegenüber sind kommunale Wohnungsämter und gemeinnützige Woh</w:t>
      </w:r>
      <w:r w:rsidR="00233081">
        <w:t>n</w:t>
      </w:r>
      <w:r w:rsidR="00233081">
        <w:t>bauträger in dieser Hinsicht weniger kritisch und lehnen die Vorstellung möglicher Benachteil</w:t>
      </w:r>
      <w:r w:rsidR="00233081">
        <w:t>i</w:t>
      </w:r>
      <w:r w:rsidR="00233081">
        <w:t>gung überproportional häufig ab.</w:t>
      </w:r>
    </w:p>
    <w:p w:rsidR="00461019" w:rsidRDefault="00461019"/>
    <w:p w:rsidR="00461019" w:rsidRDefault="00233081" w:rsidP="00233081">
      <w:pPr>
        <w:pStyle w:val="berschrift3"/>
      </w:pPr>
      <w:r>
        <w:t>2.2</w:t>
      </w:r>
      <w:r>
        <w:tab/>
      </w:r>
      <w:r w:rsidR="00461019">
        <w:t>Gleichbehandlung / Diskriminierung in regionaler Hinsicht</w:t>
      </w:r>
    </w:p>
    <w:p w:rsidR="003C7221" w:rsidRDefault="00233081" w:rsidP="004A46A5">
      <w:r>
        <w:br/>
      </w:r>
      <w:r w:rsidR="008F1F39">
        <w:t>Die ExpertInnen</w:t>
      </w:r>
      <w:r w:rsidR="00E30D98">
        <w:t>, die an Interviews und Gesprächsrunden in</w:t>
      </w:r>
      <w:r w:rsidR="003C7221">
        <w:t xml:space="preserve"> den weiteren für diese Studie </w:t>
      </w:r>
      <w:r w:rsidR="008F1F39">
        <w:t>im Detail erkundeten Modellregionen</w:t>
      </w:r>
      <w:r w:rsidR="00E30D98">
        <w:t xml:space="preserve"> teilgenommen haben,</w:t>
      </w:r>
      <w:r w:rsidR="008F1F39">
        <w:t xml:space="preserve"> stellen </w:t>
      </w:r>
      <w:r w:rsidR="00E30D98">
        <w:t>zu dieser Frage</w:t>
      </w:r>
      <w:r w:rsidR="008F1F39">
        <w:t xml:space="preserve"> fest:</w:t>
      </w:r>
    </w:p>
    <w:p w:rsidR="008F1F39" w:rsidRDefault="008F1F39" w:rsidP="008F1F39">
      <w:pPr>
        <w:pStyle w:val="Aufzhlungszeichen"/>
      </w:pPr>
      <w:r w:rsidRPr="001716C0">
        <w:rPr>
          <w:rStyle w:val="SchwacherVerweis"/>
        </w:rPr>
        <w:t>Bregenz</w:t>
      </w:r>
      <w:r>
        <w:t xml:space="preserve">: großes Bemühen um Gleichbehandlung, </w:t>
      </w:r>
      <w:r w:rsidR="00C63F08">
        <w:t>insbesondere</w:t>
      </w:r>
      <w:r>
        <w:t xml:space="preserve"> die Vergabe von geförder</w:t>
      </w:r>
      <w:r w:rsidR="00461019">
        <w:softHyphen/>
      </w:r>
      <w:r>
        <w:t>ten Mietwohnungen, auf die die Stadt Bregenz ein Zuweisungsrecht hat, erfolgt nach An</w:t>
      </w:r>
      <w:r w:rsidR="00461019">
        <w:softHyphen/>
      </w:r>
      <w:r>
        <w:t>sicht der InterviewpartnerInnen diskriminierungsfrei</w:t>
      </w:r>
      <w:r w:rsidR="00951878">
        <w:t xml:space="preserve"> (mit Ausnahme einer aktuell anste</w:t>
      </w:r>
      <w:r w:rsidR="00461019">
        <w:softHyphen/>
      </w:r>
      <w:r w:rsidR="00951878">
        <w:t xml:space="preserve">henden Eingabe bei der übergeordneten Instanz des Landes, siehe dazu unten, S. </w:t>
      </w:r>
      <w:r w:rsidR="009D702E">
        <w:t>53</w:t>
      </w:r>
      <w:r w:rsidR="00951878">
        <w:t>)</w:t>
      </w:r>
      <w:r w:rsidR="0044599E">
        <w:t>. Einschränkend wird darauf hingewiesen, dass der Wohnungsbestand, in den das städtische Wohnungsamt zuweisen kann, räumlich auf zwei größere Siedlungen am westlichen Stad</w:t>
      </w:r>
      <w:r w:rsidR="0044599E">
        <w:t>t</w:t>
      </w:r>
      <w:r w:rsidR="0044599E">
        <w:t xml:space="preserve">rand konzentriert ist und es keine Einflussmöglichkeiten in anderen Stadtteilen (z.T. mit günstigen Substandardwohnungen und hohem AusländerInnenanteil) gibt. </w:t>
      </w:r>
    </w:p>
    <w:p w:rsidR="00864CD6" w:rsidRDefault="008F1F39" w:rsidP="008F1F39">
      <w:pPr>
        <w:pStyle w:val="Aufzhlungszeichen"/>
      </w:pPr>
      <w:r w:rsidRPr="001716C0">
        <w:rPr>
          <w:rStyle w:val="SchwacherVerweis"/>
        </w:rPr>
        <w:t>Linz</w:t>
      </w:r>
      <w:r w:rsidR="005316C9">
        <w:rPr>
          <w:rStyle w:val="SchwacherVerweis"/>
        </w:rPr>
        <w:t>/OÖ</w:t>
      </w:r>
      <w:r>
        <w:t xml:space="preserve">: die Vergabe ist nach Ansicht </w:t>
      </w:r>
      <w:r w:rsidR="00951878">
        <w:t xml:space="preserve">einzelner </w:t>
      </w:r>
      <w:r>
        <w:t xml:space="preserve">InterviewpartnerInnen </w:t>
      </w:r>
      <w:r w:rsidR="005A23D7">
        <w:t xml:space="preserve">aus dem Kontext von Bauträgern und Wohnungsvergabe </w:t>
      </w:r>
      <w:r>
        <w:t>eher kein Problem</w:t>
      </w:r>
      <w:r w:rsidR="005A23D7">
        <w:t xml:space="preserve">, sie verweisen zur Begründung </w:t>
      </w:r>
      <w:r w:rsidR="005A23D7">
        <w:lastRenderedPageBreak/>
        <w:t xml:space="preserve">darauf, dass </w:t>
      </w:r>
      <w:r w:rsidR="00E30D98">
        <w:t>keine Beschwerden</w:t>
      </w:r>
      <w:r w:rsidR="005A23D7">
        <w:t xml:space="preserve"> vorliegen</w:t>
      </w:r>
      <w:r>
        <w:t xml:space="preserve">. </w:t>
      </w:r>
      <w:r w:rsidR="001B54D8">
        <w:t>Ihrer Ansicht nach kommt</w:t>
      </w:r>
      <w:r>
        <w:t xml:space="preserve"> es </w:t>
      </w:r>
      <w:r w:rsidR="00951878">
        <w:t xml:space="preserve">eher </w:t>
      </w:r>
      <w:r>
        <w:t>im Kontext des Zusammenlebens zu kritischen und / oder auffälligen Situationen, die spezielle Ma</w:t>
      </w:r>
      <w:r>
        <w:t>ß</w:t>
      </w:r>
      <w:r>
        <w:t>nahmen des Konfliktmanagements erforderlich machen</w:t>
      </w:r>
      <w:r w:rsidR="00951878">
        <w:t xml:space="preserve">. </w:t>
      </w:r>
    </w:p>
    <w:p w:rsidR="00153C28" w:rsidRDefault="00951878" w:rsidP="00864CD6">
      <w:pPr>
        <w:pStyle w:val="Aufzhlungszeichen"/>
        <w:tabs>
          <w:tab w:val="clear" w:pos="360"/>
          <w:tab w:val="num" w:pos="720"/>
        </w:tabs>
        <w:ind w:left="720"/>
      </w:pPr>
      <w:r>
        <w:t xml:space="preserve">Im Gegensatz dazu verweisen InterviewpartnerInnen </w:t>
      </w:r>
      <w:r w:rsidR="00512A37">
        <w:t>aus Beratungs</w:t>
      </w:r>
      <w:r w:rsidR="005A23D7">
        <w:t>- oder Betreuung</w:t>
      </w:r>
      <w:r w:rsidR="005A23D7">
        <w:t>s</w:t>
      </w:r>
      <w:r w:rsidR="00512A37">
        <w:t xml:space="preserve">einrichtungen </w:t>
      </w:r>
      <w:r>
        <w:t xml:space="preserve">auf konkrete </w:t>
      </w:r>
      <w:r w:rsidR="001B54D8">
        <w:t xml:space="preserve">Probleme, die insbesondere Drittstaatsangehörige sowie Konventionsflüchtlinge </w:t>
      </w:r>
      <w:r w:rsidR="00F15E4F">
        <w:t>betreffen</w:t>
      </w:r>
      <w:r w:rsidR="00512A37">
        <w:t>. Danach werden</w:t>
      </w:r>
      <w:r>
        <w:t xml:space="preserve"> Anträge auf Wohnversorgung, die von Konventionsflüchtlingen </w:t>
      </w:r>
      <w:r w:rsidR="00864CD6">
        <w:t xml:space="preserve">bei einzelnen genossenschaftlichen Bauträgern ohne </w:t>
      </w:r>
      <w:r>
        <w:t>akt</w:t>
      </w:r>
      <w:r>
        <w:t>i</w:t>
      </w:r>
      <w:r>
        <w:t xml:space="preserve">ve Unterstützung durch Betreuungseinrichtungen </w:t>
      </w:r>
      <w:r w:rsidR="00512A37">
        <w:t>eingebracht werden, nicht oder nur sehr schleppend bearbeitet</w:t>
      </w:r>
      <w:r w:rsidR="00864CD6">
        <w:t xml:space="preserve">. </w:t>
      </w:r>
      <w:r w:rsidR="00512A37">
        <w:t xml:space="preserve"> </w:t>
      </w:r>
      <w:r w:rsidR="00152CD1">
        <w:br/>
      </w:r>
    </w:p>
    <w:p w:rsidR="00F15E4F" w:rsidRDefault="00F15E4F" w:rsidP="008F1F39">
      <w:pPr>
        <w:pStyle w:val="Aufzhlungszeichen"/>
        <w:rPr>
          <w:rStyle w:val="SchwacherVerweis"/>
          <w:smallCaps w:val="0"/>
          <w:color w:val="auto"/>
          <w:u w:val="none"/>
        </w:rPr>
      </w:pPr>
      <w:r w:rsidRPr="00F15E4F">
        <w:rPr>
          <w:rStyle w:val="SchwacherVerweis"/>
        </w:rPr>
        <w:t>Niederösterreich</w:t>
      </w:r>
      <w:r>
        <w:rPr>
          <w:rStyle w:val="SchwacherVerweis"/>
          <w:smallCaps w:val="0"/>
          <w:color w:val="auto"/>
          <w:u w:val="none"/>
        </w:rPr>
        <w:t xml:space="preserve">: </w:t>
      </w:r>
      <w:r w:rsidR="00217382">
        <w:rPr>
          <w:rStyle w:val="SchwacherVerweis"/>
          <w:smallCaps w:val="0"/>
          <w:color w:val="auto"/>
          <w:u w:val="none"/>
        </w:rPr>
        <w:t>Während der Zugang für Nicht-ÖsterreicherInnen zu Wohneigentum tendenziell bis nachhaltig verstellt ist, erweist sich die Niederösterreichische Wohnbaufö</w:t>
      </w:r>
      <w:r w:rsidR="00217382">
        <w:rPr>
          <w:rStyle w:val="SchwacherVerweis"/>
          <w:smallCaps w:val="0"/>
          <w:color w:val="auto"/>
          <w:u w:val="none"/>
        </w:rPr>
        <w:t>r</w:t>
      </w:r>
      <w:r w:rsidR="00217382">
        <w:rPr>
          <w:rStyle w:val="SchwacherVerweis"/>
          <w:smallCaps w:val="0"/>
          <w:color w:val="auto"/>
          <w:u w:val="none"/>
        </w:rPr>
        <w:t>derung hinsichtlich des Zugangs zu geförderten Mietwohnungen als ausgesprochen gro</w:t>
      </w:r>
      <w:r w:rsidR="00217382">
        <w:rPr>
          <w:rStyle w:val="SchwacherVerweis"/>
          <w:smallCaps w:val="0"/>
          <w:color w:val="auto"/>
          <w:u w:val="none"/>
        </w:rPr>
        <w:t>ß</w:t>
      </w:r>
      <w:r w:rsidR="00217382">
        <w:rPr>
          <w:rStyle w:val="SchwacherVerweis"/>
          <w:smallCaps w:val="0"/>
          <w:color w:val="auto"/>
          <w:u w:val="none"/>
        </w:rPr>
        <w:t xml:space="preserve">zügig. Demnach sind auch subsidiär Schutzberechtigte zugangsberechtigt. </w:t>
      </w:r>
      <w:r w:rsidR="00461019">
        <w:rPr>
          <w:rStyle w:val="SchwacherVerweis"/>
          <w:smallCaps w:val="0"/>
          <w:color w:val="auto"/>
          <w:u w:val="none"/>
        </w:rPr>
        <w:br/>
      </w:r>
      <w:r w:rsidR="00217382">
        <w:rPr>
          <w:rStyle w:val="SchwacherVerweis"/>
          <w:smallCaps w:val="0"/>
          <w:color w:val="auto"/>
          <w:u w:val="none"/>
        </w:rPr>
        <w:t>ExpertInnen aus Beratung und Wohnungsvergabe weisen jedoch darauf hin, dass insb</w:t>
      </w:r>
      <w:r w:rsidR="00217382">
        <w:rPr>
          <w:rStyle w:val="SchwacherVerweis"/>
          <w:smallCaps w:val="0"/>
          <w:color w:val="auto"/>
          <w:u w:val="none"/>
        </w:rPr>
        <w:t>e</w:t>
      </w:r>
      <w:r w:rsidR="00217382">
        <w:rPr>
          <w:rStyle w:val="SchwacherVerweis"/>
          <w:smallCaps w:val="0"/>
          <w:color w:val="auto"/>
          <w:u w:val="none"/>
        </w:rPr>
        <w:t>sondere die finanziellen Rahmenbedingungen (Transparenz der Kosten je nach Förderper</w:t>
      </w:r>
      <w:r w:rsidR="00217382">
        <w:rPr>
          <w:rStyle w:val="SchwacherVerweis"/>
          <w:smallCaps w:val="0"/>
          <w:color w:val="auto"/>
          <w:u w:val="none"/>
        </w:rPr>
        <w:t>i</w:t>
      </w:r>
      <w:r w:rsidR="00217382">
        <w:rPr>
          <w:rStyle w:val="SchwacherVerweis"/>
          <w:smallCaps w:val="0"/>
          <w:color w:val="auto"/>
          <w:u w:val="none"/>
        </w:rPr>
        <w:t>oden und Errichtungszeitraum, hohe Einstiegskosten und steigende Nebenkosten, ib. für Energie- und Betriebskosten) dafür verantwortlich sind, dass sich viele Armutshaushalte eine geförderte Wohnung nicht leisten können. Dazu kommt, dass zum einen das Instr</w:t>
      </w:r>
      <w:r w:rsidR="00217382">
        <w:rPr>
          <w:rStyle w:val="SchwacherVerweis"/>
          <w:smallCaps w:val="0"/>
          <w:color w:val="auto"/>
          <w:u w:val="none"/>
        </w:rPr>
        <w:t>u</w:t>
      </w:r>
      <w:r w:rsidR="00217382">
        <w:rPr>
          <w:rStyle w:val="SchwacherVerweis"/>
          <w:smallCaps w:val="0"/>
          <w:color w:val="auto"/>
          <w:u w:val="none"/>
        </w:rPr>
        <w:t xml:space="preserve">ment der Wohnbeihilfe auf das Segment der geförderten Mietwohnungen eingeschränkt ist und Drittstaatsangehörige </w:t>
      </w:r>
      <w:r w:rsidR="00461019">
        <w:rPr>
          <w:rStyle w:val="SchwacherVerweis"/>
          <w:smallCaps w:val="0"/>
          <w:color w:val="auto"/>
          <w:u w:val="none"/>
        </w:rPr>
        <w:t xml:space="preserve">zum anderen </w:t>
      </w:r>
      <w:r w:rsidR="00217382">
        <w:rPr>
          <w:rStyle w:val="SchwacherVerweis"/>
          <w:smallCaps w:val="0"/>
          <w:color w:val="auto"/>
          <w:u w:val="none"/>
        </w:rPr>
        <w:t>vom Bezug einer Wohnbeihilfe generell ausg</w:t>
      </w:r>
      <w:r w:rsidR="00217382">
        <w:rPr>
          <w:rStyle w:val="SchwacherVerweis"/>
          <w:smallCaps w:val="0"/>
          <w:color w:val="auto"/>
          <w:u w:val="none"/>
        </w:rPr>
        <w:t>e</w:t>
      </w:r>
      <w:r w:rsidR="00217382">
        <w:rPr>
          <w:rStyle w:val="SchwacherVerweis"/>
          <w:smallCaps w:val="0"/>
          <w:color w:val="auto"/>
          <w:u w:val="none"/>
        </w:rPr>
        <w:t xml:space="preserve">schlossen sind. </w:t>
      </w:r>
      <w:r w:rsidR="00F9731C">
        <w:rPr>
          <w:rStyle w:val="SchwacherVerweis"/>
          <w:smallCaps w:val="0"/>
          <w:color w:val="auto"/>
          <w:u w:val="none"/>
        </w:rPr>
        <w:br/>
      </w:r>
    </w:p>
    <w:p w:rsidR="00461019" w:rsidRPr="004A46A5" w:rsidRDefault="00461019" w:rsidP="00461019">
      <w:pPr>
        <w:pBdr>
          <w:top w:val="single" w:sz="4" w:space="1" w:color="auto"/>
          <w:left w:val="single" w:sz="4" w:space="4" w:color="auto"/>
          <w:bottom w:val="single" w:sz="4" w:space="1" w:color="auto"/>
          <w:right w:val="single" w:sz="4" w:space="4" w:color="auto"/>
        </w:pBdr>
        <w:spacing w:before="40" w:after="40" w:line="240" w:lineRule="auto"/>
        <w:ind w:left="709" w:right="425"/>
        <w:rPr>
          <w:rFonts w:cs="Tahoma"/>
          <w:i/>
          <w:sz w:val="20"/>
        </w:rPr>
      </w:pPr>
      <w:r w:rsidRPr="004A46A5">
        <w:rPr>
          <w:rFonts w:cs="Tahoma"/>
          <w:i/>
          <w:sz w:val="20"/>
        </w:rPr>
        <w:t xml:space="preserve">Die TeilnehmerInnen </w:t>
      </w:r>
      <w:r>
        <w:rPr>
          <w:rFonts w:cs="Tahoma"/>
          <w:i/>
          <w:sz w:val="20"/>
        </w:rPr>
        <w:t>(</w:t>
      </w:r>
      <w:r w:rsidRPr="004A46A5">
        <w:rPr>
          <w:rFonts w:cs="Tahoma"/>
          <w:i/>
          <w:sz w:val="20"/>
        </w:rPr>
        <w:t>am ExpertInnengespräch</w:t>
      </w:r>
      <w:r>
        <w:rPr>
          <w:rFonts w:cs="Tahoma"/>
          <w:i/>
          <w:sz w:val="20"/>
        </w:rPr>
        <w:t>)</w:t>
      </w:r>
      <w:r w:rsidRPr="004A46A5">
        <w:rPr>
          <w:rFonts w:cs="Tahoma"/>
          <w:i/>
          <w:sz w:val="20"/>
        </w:rPr>
        <w:t xml:space="preserve"> verweisen auf die Tatsache, dass es so gut wie keine Beschwerden beim Mieterbund gibt, die mit der Wohnungsvergabe im öffen</w:t>
      </w:r>
      <w:r w:rsidRPr="004A46A5">
        <w:rPr>
          <w:rFonts w:cs="Tahoma"/>
          <w:i/>
          <w:sz w:val="20"/>
        </w:rPr>
        <w:t>t</w:t>
      </w:r>
      <w:r w:rsidRPr="004A46A5">
        <w:rPr>
          <w:rFonts w:cs="Tahoma"/>
          <w:i/>
          <w:sz w:val="20"/>
        </w:rPr>
        <w:t>lichen Bereich zu tun haben. In den vergangenen Jahren gab es z.B. beim Mieterbund in</w:t>
      </w:r>
      <w:r w:rsidRPr="004A46A5">
        <w:rPr>
          <w:rFonts w:cs="Tahoma"/>
          <w:i/>
          <w:sz w:val="20"/>
        </w:rPr>
        <w:t>s</w:t>
      </w:r>
      <w:r w:rsidRPr="004A46A5">
        <w:rPr>
          <w:rFonts w:cs="Tahoma"/>
          <w:i/>
          <w:sz w:val="20"/>
        </w:rPr>
        <w:t>gesamt ca. 15.000 Anfragen, nur in einem Fall handelt</w:t>
      </w:r>
      <w:r>
        <w:rPr>
          <w:rFonts w:cs="Tahoma"/>
          <w:i/>
          <w:sz w:val="20"/>
        </w:rPr>
        <w:t>e</w:t>
      </w:r>
      <w:r w:rsidRPr="004A46A5">
        <w:rPr>
          <w:rFonts w:cs="Tahoma"/>
          <w:i/>
          <w:sz w:val="20"/>
        </w:rPr>
        <w:t xml:space="preserve"> es sich dabei um das Diskrimini</w:t>
      </w:r>
      <w:r w:rsidRPr="004A46A5">
        <w:rPr>
          <w:rFonts w:cs="Tahoma"/>
          <w:i/>
          <w:sz w:val="20"/>
        </w:rPr>
        <w:t>e</w:t>
      </w:r>
      <w:r w:rsidRPr="004A46A5">
        <w:rPr>
          <w:rFonts w:cs="Tahoma"/>
          <w:i/>
          <w:sz w:val="20"/>
        </w:rPr>
        <w:t xml:space="preserve">rungsthema. </w:t>
      </w:r>
    </w:p>
    <w:p w:rsidR="00461019" w:rsidRDefault="00461019" w:rsidP="00461019">
      <w:pPr>
        <w:pBdr>
          <w:top w:val="single" w:sz="4" w:space="1" w:color="auto"/>
          <w:left w:val="single" w:sz="4" w:space="4" w:color="auto"/>
          <w:bottom w:val="single" w:sz="4" w:space="1" w:color="auto"/>
          <w:right w:val="single" w:sz="4" w:space="4" w:color="auto"/>
        </w:pBdr>
        <w:spacing w:before="40" w:after="40" w:line="240" w:lineRule="auto"/>
        <w:ind w:left="709" w:right="425"/>
        <w:rPr>
          <w:rFonts w:cs="Tahoma"/>
          <w:i/>
          <w:sz w:val="20"/>
        </w:rPr>
      </w:pPr>
      <w:r w:rsidRPr="004A46A5">
        <w:rPr>
          <w:rFonts w:cs="Tahoma"/>
          <w:i/>
          <w:sz w:val="20"/>
        </w:rPr>
        <w:t>Auch bei den Gleichbehandlungsstellen in NÖ betraf im Rahmen der bisherigen Beratung</w:t>
      </w:r>
      <w:r w:rsidRPr="004A46A5">
        <w:rPr>
          <w:rFonts w:cs="Tahoma"/>
          <w:i/>
          <w:sz w:val="20"/>
        </w:rPr>
        <w:t>s</w:t>
      </w:r>
      <w:r w:rsidRPr="004A46A5">
        <w:rPr>
          <w:rFonts w:cs="Tahoma"/>
          <w:i/>
          <w:sz w:val="20"/>
        </w:rPr>
        <w:t xml:space="preserve">tätigkeit nur eine Anfrage eine Diskriminierung bei der Vergabe einer Wohnung. </w:t>
      </w:r>
      <w:r>
        <w:rPr>
          <w:rFonts w:cs="Tahoma"/>
          <w:i/>
          <w:sz w:val="20"/>
        </w:rPr>
        <w:t>Dabei hä</w:t>
      </w:r>
      <w:r>
        <w:rPr>
          <w:rFonts w:cs="Tahoma"/>
          <w:i/>
          <w:sz w:val="20"/>
        </w:rPr>
        <w:t>t</w:t>
      </w:r>
      <w:r>
        <w:rPr>
          <w:rFonts w:cs="Tahoma"/>
          <w:i/>
          <w:sz w:val="20"/>
        </w:rPr>
        <w:t>te</w:t>
      </w:r>
      <w:r w:rsidRPr="004A46A5">
        <w:rPr>
          <w:rFonts w:cs="Tahoma"/>
          <w:i/>
          <w:sz w:val="20"/>
        </w:rPr>
        <w:t xml:space="preserve"> es sich hier um eine irrtümliche Auslegung der Gleichstellungsbestimmungen gehandelt. Dieser individuelle Fehler konnte rasch behoben werden. </w:t>
      </w:r>
    </w:p>
    <w:p w:rsidR="00461019" w:rsidRPr="004A46A5" w:rsidRDefault="005316C9" w:rsidP="00461019">
      <w:pPr>
        <w:pBdr>
          <w:top w:val="single" w:sz="4" w:space="1" w:color="auto"/>
          <w:left w:val="single" w:sz="4" w:space="4" w:color="auto"/>
          <w:bottom w:val="single" w:sz="4" w:space="1" w:color="auto"/>
          <w:right w:val="single" w:sz="4" w:space="4" w:color="auto"/>
        </w:pBdr>
        <w:spacing w:before="40" w:after="40" w:line="240" w:lineRule="auto"/>
        <w:ind w:left="709" w:right="425"/>
        <w:rPr>
          <w:rFonts w:cs="Tahoma"/>
          <w:i/>
          <w:sz w:val="20"/>
        </w:rPr>
      </w:pPr>
      <w:r>
        <w:rPr>
          <w:rFonts w:cs="Tahoma"/>
          <w:i/>
          <w:sz w:val="20"/>
        </w:rPr>
        <w:t>Laut VertreterInnen der Wohnbaugenossenschaften</w:t>
      </w:r>
      <w:r w:rsidR="00461019" w:rsidRPr="004A46A5">
        <w:rPr>
          <w:rFonts w:cs="Tahoma"/>
          <w:i/>
          <w:sz w:val="20"/>
        </w:rPr>
        <w:t xml:space="preserve"> gilt:</w:t>
      </w:r>
    </w:p>
    <w:p w:rsidR="00461019" w:rsidRDefault="00461019" w:rsidP="00461019">
      <w:pPr>
        <w:pBdr>
          <w:top w:val="single" w:sz="4" w:space="1" w:color="auto"/>
          <w:left w:val="single" w:sz="4" w:space="4" w:color="auto"/>
          <w:bottom w:val="single" w:sz="4" w:space="1" w:color="auto"/>
          <w:right w:val="single" w:sz="4" w:space="4" w:color="auto"/>
        </w:pBdr>
        <w:spacing w:before="40" w:after="40" w:line="240" w:lineRule="auto"/>
        <w:ind w:left="709" w:right="425"/>
        <w:rPr>
          <w:i/>
          <w:sz w:val="20"/>
        </w:rPr>
      </w:pPr>
      <w:r w:rsidRPr="004A46A5">
        <w:rPr>
          <w:i/>
          <w:sz w:val="20"/>
        </w:rPr>
        <w:t>Bei der Vergabe von geförderten Mietwohnungen gibt es bezüglich der Herkunft keine Di</w:t>
      </w:r>
      <w:r w:rsidRPr="004A46A5">
        <w:rPr>
          <w:i/>
          <w:sz w:val="20"/>
        </w:rPr>
        <w:t>s</w:t>
      </w:r>
      <w:r w:rsidRPr="004A46A5">
        <w:rPr>
          <w:i/>
          <w:sz w:val="20"/>
        </w:rPr>
        <w:t>kriminierung. Hier spielen Kriterien der Staatsbürgerschaft, der ethnischen Herkunft etc. keine Rolle.</w:t>
      </w:r>
    </w:p>
    <w:p w:rsidR="0077026B" w:rsidRPr="004A46A5" w:rsidRDefault="0077026B" w:rsidP="00461019">
      <w:pPr>
        <w:pBdr>
          <w:top w:val="single" w:sz="4" w:space="1" w:color="auto"/>
          <w:left w:val="single" w:sz="4" w:space="4" w:color="auto"/>
          <w:bottom w:val="single" w:sz="4" w:space="1" w:color="auto"/>
          <w:right w:val="single" w:sz="4" w:space="4" w:color="auto"/>
        </w:pBdr>
        <w:spacing w:before="40" w:after="40" w:line="240" w:lineRule="auto"/>
        <w:ind w:left="709" w:right="425"/>
        <w:rPr>
          <w:i/>
          <w:sz w:val="20"/>
        </w:rPr>
      </w:pPr>
      <w:r>
        <w:rPr>
          <w:i/>
          <w:sz w:val="20"/>
        </w:rPr>
        <w:t xml:space="preserve">Die VertreterInnen der Wohnbaugenossenschaften räumen aber auch ein, dass </w:t>
      </w:r>
      <w:r w:rsidR="00603FB9">
        <w:rPr>
          <w:i/>
          <w:sz w:val="20"/>
        </w:rPr>
        <w:t>Entsche</w:t>
      </w:r>
      <w:r w:rsidR="00603FB9">
        <w:rPr>
          <w:i/>
          <w:sz w:val="20"/>
        </w:rPr>
        <w:t>i</w:t>
      </w:r>
      <w:r w:rsidR="00603FB9">
        <w:rPr>
          <w:i/>
          <w:sz w:val="20"/>
        </w:rPr>
        <w:t>dungskriterien der Einzelvergabe nicht bekannt gegeben werden und keine Überprüfung möglich ist.</w:t>
      </w:r>
    </w:p>
    <w:p w:rsidR="00461019" w:rsidRPr="004A46A5" w:rsidRDefault="00461019" w:rsidP="00461019">
      <w:pPr>
        <w:pBdr>
          <w:top w:val="single" w:sz="4" w:space="1" w:color="auto"/>
          <w:left w:val="single" w:sz="4" w:space="4" w:color="auto"/>
          <w:bottom w:val="single" w:sz="4" w:space="1" w:color="auto"/>
          <w:right w:val="single" w:sz="4" w:space="4" w:color="auto"/>
        </w:pBdr>
        <w:spacing w:before="40" w:after="40" w:line="240" w:lineRule="auto"/>
        <w:ind w:left="709" w:right="425"/>
        <w:rPr>
          <w:rFonts w:cs="Tahoma"/>
          <w:i/>
          <w:sz w:val="20"/>
        </w:rPr>
      </w:pPr>
      <w:r w:rsidRPr="004A46A5">
        <w:rPr>
          <w:rFonts w:cs="Tahoma"/>
          <w:i/>
          <w:sz w:val="20"/>
        </w:rPr>
        <w:t xml:space="preserve">Für den Bereich der gesetzlichen Vorgaben der Wohnbauförderung </w:t>
      </w:r>
      <w:r>
        <w:rPr>
          <w:rFonts w:cs="Tahoma"/>
          <w:i/>
          <w:sz w:val="20"/>
        </w:rPr>
        <w:t>verweisen die Teilne</w:t>
      </w:r>
      <w:r>
        <w:rPr>
          <w:rFonts w:cs="Tahoma"/>
          <w:i/>
          <w:sz w:val="20"/>
        </w:rPr>
        <w:t>h</w:t>
      </w:r>
      <w:r>
        <w:rPr>
          <w:rFonts w:cs="Tahoma"/>
          <w:i/>
          <w:sz w:val="20"/>
        </w:rPr>
        <w:t>merInnen</w:t>
      </w:r>
      <w:r w:rsidRPr="004A46A5">
        <w:rPr>
          <w:rFonts w:cs="Tahoma"/>
          <w:i/>
          <w:sz w:val="20"/>
        </w:rPr>
        <w:t xml:space="preserve"> jedoch auf explizite Benachteiligungen: </w:t>
      </w:r>
      <w:r w:rsidRPr="004A46A5">
        <w:rPr>
          <w:rFonts w:cs="Tahoma"/>
          <w:i/>
          <w:sz w:val="20"/>
        </w:rPr>
        <w:br/>
      </w:r>
    </w:p>
    <w:p w:rsidR="00461019" w:rsidRPr="004A46A5" w:rsidRDefault="00461019" w:rsidP="00461019">
      <w:pPr>
        <w:pBdr>
          <w:top w:val="single" w:sz="4" w:space="1" w:color="auto"/>
          <w:left w:val="single" w:sz="4" w:space="4" w:color="auto"/>
          <w:bottom w:val="single" w:sz="4" w:space="1" w:color="auto"/>
          <w:right w:val="single" w:sz="4" w:space="4" w:color="auto"/>
        </w:pBdr>
        <w:spacing w:before="40" w:after="40" w:line="240" w:lineRule="auto"/>
        <w:ind w:left="709" w:right="425"/>
        <w:rPr>
          <w:i/>
          <w:sz w:val="20"/>
        </w:rPr>
      </w:pPr>
      <w:r>
        <w:rPr>
          <w:i/>
          <w:sz w:val="20"/>
        </w:rPr>
        <w:lastRenderedPageBreak/>
        <w:t xml:space="preserve">* </w:t>
      </w:r>
      <w:r w:rsidRPr="004A46A5">
        <w:rPr>
          <w:i/>
          <w:sz w:val="20"/>
        </w:rPr>
        <w:t>Drittstaatsangehörige sind vom Wohnzuschuss, d.h. einer Subjektförderung aus der Wohnbauförderung (in anderen Bundesländern: Wohnbeihilfe), ausgeschlossen.</w:t>
      </w:r>
    </w:p>
    <w:p w:rsidR="00461019" w:rsidRPr="004A46A5" w:rsidRDefault="00461019" w:rsidP="00461019">
      <w:pPr>
        <w:pBdr>
          <w:top w:val="single" w:sz="4" w:space="1" w:color="auto"/>
          <w:left w:val="single" w:sz="4" w:space="4" w:color="auto"/>
          <w:bottom w:val="single" w:sz="4" w:space="1" w:color="auto"/>
          <w:right w:val="single" w:sz="4" w:space="4" w:color="auto"/>
        </w:pBdr>
        <w:spacing w:before="40" w:after="40" w:line="240" w:lineRule="auto"/>
        <w:ind w:left="709" w:right="425"/>
        <w:rPr>
          <w:i/>
          <w:sz w:val="20"/>
        </w:rPr>
      </w:pPr>
      <w:r>
        <w:rPr>
          <w:i/>
          <w:sz w:val="20"/>
        </w:rPr>
        <w:t>* Drittstaatsangehörige sind bzgl. des Zugangs zu Wohne</w:t>
      </w:r>
      <w:r w:rsidRPr="004A46A5">
        <w:rPr>
          <w:i/>
          <w:sz w:val="20"/>
        </w:rPr>
        <w:t>igentum</w:t>
      </w:r>
      <w:r>
        <w:rPr>
          <w:i/>
          <w:sz w:val="20"/>
        </w:rPr>
        <w:t xml:space="preserve"> benachteiligt. Sie mü</w:t>
      </w:r>
      <w:r>
        <w:rPr>
          <w:i/>
          <w:sz w:val="20"/>
        </w:rPr>
        <w:t>s</w:t>
      </w:r>
      <w:r>
        <w:rPr>
          <w:i/>
          <w:sz w:val="20"/>
        </w:rPr>
        <w:t>sen, im Unterschied zu InländerInnen,</w:t>
      </w:r>
      <w:r w:rsidRPr="004A46A5">
        <w:rPr>
          <w:i/>
          <w:sz w:val="20"/>
        </w:rPr>
        <w:t xml:space="preserve"> </w:t>
      </w:r>
      <w:r>
        <w:rPr>
          <w:i/>
          <w:sz w:val="20"/>
        </w:rPr>
        <w:t xml:space="preserve">um </w:t>
      </w:r>
      <w:r w:rsidRPr="004A46A5">
        <w:rPr>
          <w:i/>
          <w:sz w:val="20"/>
        </w:rPr>
        <w:t>eine Genehmigung zum Grunderwerb</w:t>
      </w:r>
      <w:r>
        <w:rPr>
          <w:i/>
          <w:sz w:val="20"/>
        </w:rPr>
        <w:t xml:space="preserve"> ansuchen</w:t>
      </w:r>
      <w:r w:rsidRPr="004A46A5">
        <w:rPr>
          <w:i/>
          <w:sz w:val="20"/>
        </w:rPr>
        <w:t>.</w:t>
      </w:r>
    </w:p>
    <w:p w:rsidR="00461019" w:rsidRPr="004A46A5" w:rsidRDefault="00461019" w:rsidP="00461019">
      <w:pPr>
        <w:pBdr>
          <w:top w:val="single" w:sz="4" w:space="1" w:color="auto"/>
          <w:left w:val="single" w:sz="4" w:space="4" w:color="auto"/>
          <w:bottom w:val="single" w:sz="4" w:space="1" w:color="auto"/>
          <w:right w:val="single" w:sz="4" w:space="4" w:color="auto"/>
        </w:pBdr>
        <w:spacing w:before="40" w:after="40" w:line="240" w:lineRule="auto"/>
        <w:ind w:left="709" w:right="425"/>
        <w:jc w:val="right"/>
        <w:rPr>
          <w:i/>
          <w:sz w:val="20"/>
        </w:rPr>
      </w:pPr>
      <w:r w:rsidRPr="004A46A5">
        <w:rPr>
          <w:i/>
          <w:sz w:val="20"/>
        </w:rPr>
        <w:t>Gesprächsrunde in Niederösterreich</w:t>
      </w:r>
    </w:p>
    <w:p w:rsidR="00461019" w:rsidRPr="00F15E4F" w:rsidRDefault="00461019" w:rsidP="00461019">
      <w:pPr>
        <w:rPr>
          <w:rStyle w:val="SchwacherVerweis"/>
          <w:smallCaps w:val="0"/>
          <w:color w:val="auto"/>
          <w:u w:val="none"/>
        </w:rPr>
      </w:pPr>
    </w:p>
    <w:p w:rsidR="008F1F39" w:rsidRDefault="008F1F39" w:rsidP="008F1F39">
      <w:pPr>
        <w:pStyle w:val="Aufzhlungszeichen"/>
      </w:pPr>
      <w:r w:rsidRPr="001716C0">
        <w:rPr>
          <w:rStyle w:val="SchwacherVerweis"/>
        </w:rPr>
        <w:t>Tirol</w:t>
      </w:r>
      <w:r>
        <w:t>: Grundsätzlich wird großes Bemühen um Gleichbehandlung konstatiert. Dieses B</w:t>
      </w:r>
      <w:r>
        <w:t>e</w:t>
      </w:r>
      <w:r>
        <w:t xml:space="preserve">mühen kommt etwa auch in der Tatsache zum Ausdruck, dass kritische Tendenzen </w:t>
      </w:r>
      <w:r w:rsidR="00152CD1">
        <w:t>in ei</w:t>
      </w:r>
      <w:r w:rsidR="00152CD1">
        <w:t>n</w:t>
      </w:r>
      <w:r w:rsidR="00152CD1">
        <w:t xml:space="preserve">zelnen Gemeinden, </w:t>
      </w:r>
      <w:r>
        <w:t>wie etwa die Einführung des Kriteriums von Sprachkenntnissen als Z</w:t>
      </w:r>
      <w:r>
        <w:t>u</w:t>
      </w:r>
      <w:r>
        <w:t>gangsvoraussetzung zu Gemeindewohnungen</w:t>
      </w:r>
      <w:r w:rsidR="00152CD1">
        <w:t>,</w:t>
      </w:r>
      <w:r>
        <w:t xml:space="preserve"> von der zuständigen Landesbehörde unte</w:t>
      </w:r>
      <w:r>
        <w:t>r</w:t>
      </w:r>
      <w:r>
        <w:t xml:space="preserve">bunden wurden. Kritisch wird von den mitwirkenden ExpertInnen jedoch festgehalten, dass es </w:t>
      </w:r>
      <w:r w:rsidR="00152CD1">
        <w:t xml:space="preserve">z.B. </w:t>
      </w:r>
      <w:r>
        <w:t xml:space="preserve">in </w:t>
      </w:r>
      <w:r w:rsidR="00152CD1">
        <w:t>der Frage</w:t>
      </w:r>
      <w:r>
        <w:t xml:space="preserve"> </w:t>
      </w:r>
      <w:r w:rsidR="00152CD1">
        <w:t xml:space="preserve">des </w:t>
      </w:r>
      <w:r>
        <w:t>Mietzinszuschuss</w:t>
      </w:r>
      <w:r w:rsidR="00152CD1">
        <w:t>es</w:t>
      </w:r>
      <w:r>
        <w:t xml:space="preserve">, </w:t>
      </w:r>
      <w:r w:rsidR="00152CD1">
        <w:t>trotz einer vor wenigen Jahren zwischen der Oberbehörde Land und dem Gemeindeverband getroffenen Vereinbarung</w:t>
      </w:r>
      <w:r w:rsidR="00E04958">
        <w:t>,</w:t>
      </w:r>
      <w:r w:rsidR="00152CD1">
        <w:t xml:space="preserve"> </w:t>
      </w:r>
      <w:r>
        <w:t xml:space="preserve">zu </w:t>
      </w:r>
      <w:r w:rsidR="00E04958">
        <w:t>erheb</w:t>
      </w:r>
      <w:r>
        <w:t>l</w:t>
      </w:r>
      <w:r>
        <w:t>i</w:t>
      </w:r>
      <w:r>
        <w:t xml:space="preserve">chen </w:t>
      </w:r>
      <w:r w:rsidR="00E04958">
        <w:t>Unterschieden, Intransparenz</w:t>
      </w:r>
      <w:r>
        <w:t xml:space="preserve"> </w:t>
      </w:r>
      <w:r w:rsidR="00E04958">
        <w:t xml:space="preserve">und </w:t>
      </w:r>
      <w:r>
        <w:t>Diskriminierung von DrittstaatsausländerInnen kommt.</w:t>
      </w:r>
      <w:r w:rsidR="00582B37">
        <w:t xml:space="preserve"> Das betrifft vor allem die Tatsache, dass in </w:t>
      </w:r>
      <w:r w:rsidR="00E04958">
        <w:t>einzelnen Gemeinden</w:t>
      </w:r>
      <w:r w:rsidR="00582B37">
        <w:t xml:space="preserve"> unterschiedliche Regelungen bezüglich der Dauer des Aufenthalts vor Ort gelten.</w:t>
      </w:r>
      <w:r w:rsidR="00582B37">
        <w:rPr>
          <w:rStyle w:val="Funotenzeichen"/>
        </w:rPr>
        <w:footnoteReference w:id="15"/>
      </w:r>
      <w:r w:rsidR="00F9731C">
        <w:br/>
      </w:r>
    </w:p>
    <w:tbl>
      <w:tblPr>
        <w:tblStyle w:val="Tabellengitternetz"/>
        <w:tblW w:w="9288" w:type="dxa"/>
        <w:tblInd w:w="360" w:type="dxa"/>
        <w:tblLook w:val="04A0"/>
      </w:tblPr>
      <w:tblGrid>
        <w:gridCol w:w="9288"/>
      </w:tblGrid>
      <w:tr w:rsidR="00E7523A" w:rsidRPr="00EF2A0C" w:rsidTr="00E7523A">
        <w:tc>
          <w:tcPr>
            <w:tcW w:w="9288" w:type="dxa"/>
          </w:tcPr>
          <w:p w:rsidR="00E7523A" w:rsidRPr="00E7523A" w:rsidRDefault="00E7523A" w:rsidP="00E30D98">
            <w:pPr>
              <w:spacing w:before="40" w:after="40" w:line="240" w:lineRule="auto"/>
              <w:jc w:val="left"/>
              <w:rPr>
                <w:rStyle w:val="SchwacherVerweis"/>
                <w:i/>
                <w:sz w:val="20"/>
              </w:rPr>
            </w:pPr>
            <w:r w:rsidRPr="00E7523A">
              <w:rPr>
                <w:rStyle w:val="SchwacherVerweis"/>
                <w:i/>
                <w:sz w:val="20"/>
              </w:rPr>
              <w:t>Wohnpolitik unter dem Vorzeichen hoher Gemeindeautonomie</w:t>
            </w:r>
          </w:p>
          <w:p w:rsidR="00E7523A" w:rsidRPr="00E7523A" w:rsidRDefault="00E7523A" w:rsidP="00E30D98">
            <w:pPr>
              <w:pStyle w:val="Aufzhlungszeichen"/>
              <w:tabs>
                <w:tab w:val="clear" w:pos="360"/>
                <w:tab w:val="num" w:pos="720"/>
              </w:tabs>
              <w:spacing w:before="40" w:after="40" w:line="240" w:lineRule="auto"/>
              <w:ind w:left="720"/>
              <w:jc w:val="left"/>
              <w:rPr>
                <w:i/>
                <w:sz w:val="20"/>
                <w:lang w:val="de-AT" w:eastAsia="de-AT"/>
              </w:rPr>
            </w:pPr>
            <w:r w:rsidRPr="00E7523A">
              <w:rPr>
                <w:i/>
                <w:sz w:val="20"/>
                <w:lang w:val="de-AT" w:eastAsia="de-AT"/>
              </w:rPr>
              <w:t>Die Mietzinsbeihilfe wird von den Gemeinden vergeben, aber nur zu 30% aus dem Gemeind</w:t>
            </w:r>
            <w:r w:rsidRPr="00E7523A">
              <w:rPr>
                <w:i/>
                <w:sz w:val="20"/>
                <w:lang w:val="de-AT" w:eastAsia="de-AT"/>
              </w:rPr>
              <w:t>e</w:t>
            </w:r>
            <w:r w:rsidRPr="00E7523A">
              <w:rPr>
                <w:i/>
                <w:sz w:val="20"/>
                <w:lang w:val="de-AT" w:eastAsia="de-AT"/>
              </w:rPr>
              <w:t>budget finanziert; vom Land wird auf der Grundlage der Gemeindeentscheidung ein Beitrag von 70% geleistet</w:t>
            </w:r>
          </w:p>
          <w:p w:rsidR="00E7523A" w:rsidRPr="00E7523A" w:rsidRDefault="00E7523A" w:rsidP="00E30D98">
            <w:pPr>
              <w:pStyle w:val="Aufzhlungszeichen"/>
              <w:tabs>
                <w:tab w:val="clear" w:pos="360"/>
                <w:tab w:val="num" w:pos="720"/>
              </w:tabs>
              <w:spacing w:before="40" w:after="40" w:line="240" w:lineRule="auto"/>
              <w:ind w:left="720"/>
              <w:jc w:val="left"/>
              <w:rPr>
                <w:i/>
                <w:sz w:val="20"/>
                <w:lang w:val="de-AT" w:eastAsia="de-AT"/>
              </w:rPr>
            </w:pPr>
            <w:r w:rsidRPr="00E7523A">
              <w:rPr>
                <w:i/>
                <w:sz w:val="20"/>
                <w:lang w:val="de-AT" w:eastAsia="de-AT"/>
              </w:rPr>
              <w:t>Im Jahr 2005 wurde von den Wohnbetreuungseinrichtungen in Tirol (SPAK) eine Erhebung über Rahmenbedingungen, Zugang zu den Leistungen, Höhe der Leistungen etc. durchg</w:t>
            </w:r>
            <w:r w:rsidRPr="00E7523A">
              <w:rPr>
                <w:i/>
                <w:sz w:val="20"/>
                <w:lang w:val="de-AT" w:eastAsia="de-AT"/>
              </w:rPr>
              <w:t>e</w:t>
            </w:r>
            <w:r w:rsidRPr="00E7523A">
              <w:rPr>
                <w:i/>
                <w:sz w:val="20"/>
                <w:lang w:val="de-AT" w:eastAsia="de-AT"/>
              </w:rPr>
              <w:t>führt. Dabei wurde</w:t>
            </w:r>
            <w:r w:rsidR="00E04958">
              <w:rPr>
                <w:i/>
                <w:sz w:val="20"/>
                <w:lang w:val="de-AT" w:eastAsia="de-AT"/>
              </w:rPr>
              <w:t>n</w:t>
            </w:r>
            <w:r w:rsidRPr="00E7523A">
              <w:rPr>
                <w:i/>
                <w:sz w:val="20"/>
                <w:lang w:val="de-AT" w:eastAsia="de-AT"/>
              </w:rPr>
              <w:t xml:space="preserve"> große Unterschiede zwischen den Gemeinden festgestellt</w:t>
            </w:r>
          </w:p>
          <w:p w:rsidR="00E7523A" w:rsidRPr="00E7523A" w:rsidRDefault="00E7523A" w:rsidP="00E30D98">
            <w:pPr>
              <w:pStyle w:val="Aufzhlungszeichen"/>
              <w:tabs>
                <w:tab w:val="clear" w:pos="360"/>
                <w:tab w:val="num" w:pos="720"/>
              </w:tabs>
              <w:spacing w:before="40" w:after="40" w:line="240" w:lineRule="auto"/>
              <w:ind w:left="720"/>
              <w:jc w:val="left"/>
              <w:rPr>
                <w:i/>
                <w:sz w:val="20"/>
                <w:lang w:val="de-AT" w:eastAsia="de-AT"/>
              </w:rPr>
            </w:pPr>
            <w:r w:rsidRPr="00E7523A">
              <w:rPr>
                <w:i/>
                <w:sz w:val="20"/>
                <w:lang w:val="de-AT" w:eastAsia="de-AT"/>
              </w:rPr>
              <w:t>Daraufhin wurden vom Land, in enger Abstimmung mit den Gemeinden, Richtlinien erlassen, die für alle Gemeinden gelten</w:t>
            </w:r>
          </w:p>
          <w:p w:rsidR="00E7523A" w:rsidRPr="00E7523A" w:rsidRDefault="00E7523A" w:rsidP="00E30D98">
            <w:pPr>
              <w:pStyle w:val="Aufzhlungszeichen"/>
              <w:tabs>
                <w:tab w:val="clear" w:pos="360"/>
                <w:tab w:val="num" w:pos="720"/>
              </w:tabs>
              <w:spacing w:before="40" w:after="40" w:line="240" w:lineRule="auto"/>
              <w:ind w:left="720"/>
              <w:jc w:val="left"/>
              <w:rPr>
                <w:i/>
                <w:sz w:val="20"/>
                <w:lang w:val="de-AT" w:eastAsia="de-AT"/>
              </w:rPr>
            </w:pPr>
            <w:r w:rsidRPr="00E7523A">
              <w:rPr>
                <w:i/>
                <w:sz w:val="20"/>
                <w:lang w:val="de-AT" w:eastAsia="de-AT"/>
              </w:rPr>
              <w:t xml:space="preserve">Im Rahmen einer Erhebung durch ZEMIT </w:t>
            </w:r>
            <w:r w:rsidR="00E04958">
              <w:rPr>
                <w:i/>
                <w:sz w:val="20"/>
                <w:lang w:val="de-AT" w:eastAsia="de-AT"/>
              </w:rPr>
              <w:t>(</w:t>
            </w:r>
            <w:r w:rsidRPr="00E7523A">
              <w:rPr>
                <w:i/>
                <w:sz w:val="20"/>
                <w:lang w:val="de-AT" w:eastAsia="de-AT"/>
              </w:rPr>
              <w:t>201</w:t>
            </w:r>
            <w:r w:rsidR="00E04958">
              <w:rPr>
                <w:i/>
                <w:sz w:val="20"/>
                <w:lang w:val="de-AT" w:eastAsia="de-AT"/>
              </w:rPr>
              <w:t>0) über die wohnrelevanten Regelungen auf Gemeindeebene</w:t>
            </w:r>
            <w:r w:rsidRPr="00E7523A">
              <w:rPr>
                <w:i/>
                <w:sz w:val="20"/>
                <w:lang w:val="de-AT" w:eastAsia="de-AT"/>
              </w:rPr>
              <w:t xml:space="preserve"> musste jedoch festgestellt werden, dass weiterhin große Unklarheit, Intransparenz und Ungleichbehandlung die Situation in den Gemeinden bestimmt</w:t>
            </w:r>
          </w:p>
          <w:p w:rsidR="00E7523A" w:rsidRPr="00E7523A" w:rsidRDefault="00C63F08" w:rsidP="00E30D98">
            <w:pPr>
              <w:pStyle w:val="Aufzhlungszeichen"/>
              <w:tabs>
                <w:tab w:val="clear" w:pos="360"/>
                <w:tab w:val="num" w:pos="720"/>
              </w:tabs>
              <w:spacing w:before="40" w:after="40" w:line="240" w:lineRule="auto"/>
              <w:ind w:left="720"/>
              <w:jc w:val="left"/>
              <w:rPr>
                <w:i/>
                <w:sz w:val="20"/>
                <w:lang w:val="de-AT" w:eastAsia="de-AT"/>
              </w:rPr>
            </w:pPr>
            <w:r>
              <w:rPr>
                <w:i/>
                <w:sz w:val="20"/>
                <w:lang w:val="de-AT" w:eastAsia="de-AT"/>
              </w:rPr>
              <w:t>Insbesondere</w:t>
            </w:r>
            <w:r w:rsidR="00E7523A" w:rsidRPr="00E7523A">
              <w:rPr>
                <w:i/>
                <w:sz w:val="20"/>
                <w:lang w:val="de-AT" w:eastAsia="de-AT"/>
              </w:rPr>
              <w:t xml:space="preserve"> wird konstatiert, dass viele Bürgermeister nicht im Detail wissen, wie es um die zentralen Kriterien der Zugangsbestimmungen bestellt ist bzw. welche Personengruppen als den InländerInnen gleichgestellt zu behandeln sind; als problematisch wird in diesem Zusa</w:t>
            </w:r>
            <w:r w:rsidR="00E7523A" w:rsidRPr="00E7523A">
              <w:rPr>
                <w:i/>
                <w:sz w:val="20"/>
                <w:lang w:val="de-AT" w:eastAsia="de-AT"/>
              </w:rPr>
              <w:t>m</w:t>
            </w:r>
            <w:r w:rsidR="00E7523A" w:rsidRPr="00E7523A">
              <w:rPr>
                <w:i/>
                <w:sz w:val="20"/>
                <w:lang w:val="de-AT" w:eastAsia="de-AT"/>
              </w:rPr>
              <w:t>menhang erläutert, dass zwar in den Richtlinien der Gemeinden dezidiert auf die Regelungen des Wohnbauförderungsgesetzes verwiesen</w:t>
            </w:r>
            <w:r w:rsidR="00E04958">
              <w:rPr>
                <w:i/>
                <w:sz w:val="20"/>
                <w:lang w:val="de-AT" w:eastAsia="de-AT"/>
              </w:rPr>
              <w:t xml:space="preserve"> wird</w:t>
            </w:r>
            <w:r w:rsidR="00E7523A" w:rsidRPr="00E7523A">
              <w:rPr>
                <w:i/>
                <w:sz w:val="20"/>
                <w:lang w:val="de-AT" w:eastAsia="de-AT"/>
              </w:rPr>
              <w:t>, ohne dass die Gleichstellungsregel dort im Detail klargestellt wird; im Zweifelsfall müssten die Gemeindeverantwortlichen sich dann durch die rechtlichen Regelungen blättern und eigenständig Klarheit suchen</w:t>
            </w:r>
          </w:p>
          <w:p w:rsidR="00E7523A" w:rsidRPr="00E7523A" w:rsidRDefault="00E7523A" w:rsidP="00E30D98">
            <w:pPr>
              <w:pStyle w:val="Aufzhlungszeichen"/>
              <w:tabs>
                <w:tab w:val="clear" w:pos="360"/>
                <w:tab w:val="num" w:pos="720"/>
              </w:tabs>
              <w:spacing w:before="40" w:after="40" w:line="240" w:lineRule="auto"/>
              <w:ind w:left="720"/>
              <w:jc w:val="left"/>
              <w:rPr>
                <w:i/>
                <w:sz w:val="20"/>
                <w:lang w:val="de-AT" w:eastAsia="de-AT"/>
              </w:rPr>
            </w:pPr>
            <w:r w:rsidRPr="00E7523A">
              <w:rPr>
                <w:i/>
                <w:sz w:val="20"/>
                <w:lang w:val="de-AT" w:eastAsia="de-AT"/>
              </w:rPr>
              <w:t xml:space="preserve">Bei der </w:t>
            </w:r>
            <w:r w:rsidR="00D3787D">
              <w:rPr>
                <w:i/>
                <w:sz w:val="20"/>
                <w:lang w:val="de-AT" w:eastAsia="de-AT"/>
              </w:rPr>
              <w:t>ZeMiT-</w:t>
            </w:r>
            <w:r w:rsidRPr="00E7523A">
              <w:rPr>
                <w:i/>
                <w:sz w:val="20"/>
                <w:lang w:val="de-AT" w:eastAsia="de-AT"/>
              </w:rPr>
              <w:t>Erhebung zur gemeindespezifischen Vergabepraxis hat sich zudem herausg</w:t>
            </w:r>
            <w:r w:rsidRPr="00E7523A">
              <w:rPr>
                <w:i/>
                <w:sz w:val="20"/>
                <w:lang w:val="de-AT" w:eastAsia="de-AT"/>
              </w:rPr>
              <w:t>e</w:t>
            </w:r>
            <w:r w:rsidRPr="00E7523A">
              <w:rPr>
                <w:i/>
                <w:sz w:val="20"/>
                <w:lang w:val="de-AT" w:eastAsia="de-AT"/>
              </w:rPr>
              <w:t>stellt, dass einzelne Gemeinde informelle Quoten eingeführt haben, wonach der Anteil von MigrantInnen mit türkischen Hintergrund in Wohnsiedlungen gedeckelt wird</w:t>
            </w:r>
          </w:p>
          <w:p w:rsidR="00E7523A" w:rsidRPr="00C95534" w:rsidRDefault="00E7523A" w:rsidP="00D3787D">
            <w:pPr>
              <w:pStyle w:val="Aufzhlungszeichen"/>
              <w:tabs>
                <w:tab w:val="clear" w:pos="360"/>
                <w:tab w:val="num" w:pos="720"/>
              </w:tabs>
              <w:spacing w:before="40" w:after="40" w:line="240" w:lineRule="auto"/>
              <w:ind w:left="720"/>
              <w:jc w:val="left"/>
              <w:rPr>
                <w:lang w:val="de-AT" w:eastAsia="de-AT"/>
              </w:rPr>
            </w:pPr>
            <w:r w:rsidRPr="00E7523A">
              <w:rPr>
                <w:i/>
                <w:sz w:val="20"/>
                <w:lang w:val="de-AT" w:eastAsia="de-AT"/>
              </w:rPr>
              <w:t xml:space="preserve">Detail am Rande: Im Vergleich der verschiedenen MigrantInnengruppen nach Herkunftsland ist zu beobachten, dass es </w:t>
            </w:r>
            <w:r w:rsidR="00C63F08">
              <w:rPr>
                <w:i/>
                <w:sz w:val="20"/>
                <w:lang w:val="de-AT" w:eastAsia="de-AT"/>
              </w:rPr>
              <w:t>insbesondere</w:t>
            </w:r>
            <w:r w:rsidRPr="00E7523A">
              <w:rPr>
                <w:i/>
                <w:sz w:val="20"/>
                <w:lang w:val="de-AT" w:eastAsia="de-AT"/>
              </w:rPr>
              <w:t xml:space="preserve"> serbischstämmige Personen sind, die in Bezug auf Wohnqualität und –versorgung deutlich schlechter abschneiden als türkischstämmige Familien (die Studie kann unter </w:t>
            </w:r>
            <w:hyperlink r:id="rId26" w:history="1">
              <w:r w:rsidRPr="00E7523A">
                <w:rPr>
                  <w:rStyle w:val="Hyperlink"/>
                  <w:i/>
                  <w:sz w:val="20"/>
                  <w:lang w:val="de-AT" w:eastAsia="de-AT"/>
                </w:rPr>
                <w:t>www.imz.at</w:t>
              </w:r>
            </w:hyperlink>
            <w:r w:rsidRPr="00E7523A">
              <w:rPr>
                <w:i/>
                <w:sz w:val="20"/>
                <w:lang w:val="de-AT" w:eastAsia="de-AT"/>
              </w:rPr>
              <w:t xml:space="preserve"> eingesehen werden)</w:t>
            </w:r>
          </w:p>
        </w:tc>
      </w:tr>
    </w:tbl>
    <w:p w:rsidR="00D3787D" w:rsidRDefault="00D3787D" w:rsidP="008F1F39"/>
    <w:p w:rsidR="00D3787D" w:rsidRDefault="00D3787D">
      <w:pPr>
        <w:spacing w:before="180" w:after="240" w:line="336" w:lineRule="auto"/>
        <w:jc w:val="center"/>
      </w:pPr>
      <w:r>
        <w:br w:type="page"/>
      </w:r>
    </w:p>
    <w:p w:rsidR="00D3787D" w:rsidRDefault="00D3787D" w:rsidP="00D3787D">
      <w:pPr>
        <w:pStyle w:val="Aufzhlungszeichen"/>
        <w:pBdr>
          <w:top w:val="single" w:sz="4" w:space="1" w:color="auto"/>
          <w:left w:val="single" w:sz="4" w:space="4" w:color="auto"/>
          <w:bottom w:val="single" w:sz="4" w:space="1" w:color="auto"/>
          <w:right w:val="single" w:sz="4" w:space="4" w:color="auto"/>
        </w:pBdr>
        <w:tabs>
          <w:tab w:val="clear" w:pos="360"/>
          <w:tab w:val="num" w:pos="720"/>
          <w:tab w:val="right" w:pos="9072"/>
        </w:tabs>
        <w:spacing w:before="40" w:after="40" w:line="240" w:lineRule="auto"/>
        <w:ind w:left="720"/>
        <w:rPr>
          <w:i/>
          <w:sz w:val="20"/>
          <w:lang w:val="de-AT" w:eastAsia="de-AT"/>
        </w:rPr>
      </w:pPr>
      <w:r w:rsidRPr="00D3787D">
        <w:rPr>
          <w:i/>
          <w:sz w:val="20"/>
          <w:lang w:val="de-AT" w:eastAsia="de-AT"/>
        </w:rPr>
        <w:lastRenderedPageBreak/>
        <w:t>Insgesamt wird moniert, dass viele Gemeinden die konkrete Vergabe von geförderten Wohnu</w:t>
      </w:r>
      <w:r w:rsidRPr="00D3787D">
        <w:rPr>
          <w:i/>
          <w:sz w:val="20"/>
          <w:lang w:val="de-AT" w:eastAsia="de-AT"/>
        </w:rPr>
        <w:t>n</w:t>
      </w:r>
      <w:r w:rsidRPr="00D3787D">
        <w:rPr>
          <w:i/>
          <w:sz w:val="20"/>
          <w:lang w:val="de-AT" w:eastAsia="de-AT"/>
        </w:rPr>
        <w:t>gen an die Bauträger delegieren, zugleich jedoch den fachlichen Austausch über Bedarf und / oder Leitlinien für die Entwicklung von Siedlungen vernachlässigen</w:t>
      </w:r>
    </w:p>
    <w:p w:rsidR="00D3787D" w:rsidRDefault="00D3787D" w:rsidP="00D3787D">
      <w:pPr>
        <w:pStyle w:val="Aufzhlungszeichen"/>
        <w:pBdr>
          <w:top w:val="single" w:sz="4" w:space="1" w:color="auto"/>
          <w:left w:val="single" w:sz="4" w:space="4" w:color="auto"/>
          <w:bottom w:val="single" w:sz="4" w:space="1" w:color="auto"/>
          <w:right w:val="single" w:sz="4" w:space="4" w:color="auto"/>
        </w:pBdr>
        <w:tabs>
          <w:tab w:val="clear" w:pos="360"/>
          <w:tab w:val="num" w:pos="720"/>
          <w:tab w:val="right" w:pos="9072"/>
        </w:tabs>
        <w:spacing w:before="40" w:after="40" w:line="240" w:lineRule="auto"/>
        <w:ind w:left="720"/>
        <w:rPr>
          <w:i/>
          <w:sz w:val="20"/>
          <w:lang w:val="de-AT" w:eastAsia="de-AT"/>
        </w:rPr>
      </w:pPr>
      <w:r>
        <w:rPr>
          <w:i/>
          <w:sz w:val="20"/>
          <w:lang w:val="de-AT" w:eastAsia="de-AT"/>
        </w:rPr>
        <w:t>Als problematische Rahmenbedingungen heben die TeilnehmerInnen die Tatsache hervor, dass in der Stadt Innsbruck nur ein ausgesprochen kleines Segment an geförderten Mietwohnungen sowie Stadtwohnungen zur Verfügung stehen, so dass die Möglichkeiten des Wohnungsamtes / der kommunalen Wohnpolitik zur armuts- und integrationspolitisch relevanten Intervention auf dem Wohnungsmarkt eher bescheiden sind.</w:t>
      </w:r>
    </w:p>
    <w:p w:rsidR="008F1F39" w:rsidRPr="00D3787D" w:rsidRDefault="00D3787D" w:rsidP="00D3787D">
      <w:pPr>
        <w:pStyle w:val="Aufzhlungszeichen"/>
        <w:pBdr>
          <w:top w:val="single" w:sz="4" w:space="1" w:color="auto"/>
          <w:left w:val="single" w:sz="4" w:space="4" w:color="auto"/>
          <w:bottom w:val="single" w:sz="4" w:space="1" w:color="auto"/>
          <w:right w:val="single" w:sz="4" w:space="4" w:color="auto"/>
        </w:pBdr>
        <w:tabs>
          <w:tab w:val="clear" w:pos="360"/>
          <w:tab w:val="num" w:pos="720"/>
          <w:tab w:val="right" w:pos="9072"/>
        </w:tabs>
        <w:spacing w:before="40" w:after="40" w:line="240" w:lineRule="auto"/>
        <w:ind w:left="720"/>
        <w:rPr>
          <w:i/>
          <w:sz w:val="20"/>
          <w:lang w:val="de-AT" w:eastAsia="de-AT"/>
        </w:rPr>
      </w:pPr>
      <w:r>
        <w:rPr>
          <w:i/>
          <w:sz w:val="20"/>
          <w:lang w:val="de-AT" w:eastAsia="de-AT"/>
        </w:rPr>
        <w:t>Zur Illustration der in Innsbruck konstatierten ‚Mangelverwaltung‘ in Hinblick auf öffentlichen Wohnraum verweisen die ExpertInnen darauf, dass die KlientInnen des Betreuten Wohnen zu 95% in überteuerten Wohnungen des Privatwohnungsmarktes leben und eine Ablöse in leistb</w:t>
      </w:r>
      <w:r>
        <w:rPr>
          <w:i/>
          <w:sz w:val="20"/>
          <w:lang w:val="de-AT" w:eastAsia="de-AT"/>
        </w:rPr>
        <w:t>a</w:t>
      </w:r>
      <w:r>
        <w:rPr>
          <w:i/>
          <w:sz w:val="20"/>
          <w:lang w:val="de-AT" w:eastAsia="de-AT"/>
        </w:rPr>
        <w:t>re Stadtwohnungen oder geförderte Sozialwohnungen nur in Einzelfällen bzw. mit großen Ve</w:t>
      </w:r>
      <w:r>
        <w:rPr>
          <w:i/>
          <w:sz w:val="20"/>
          <w:lang w:val="de-AT" w:eastAsia="de-AT"/>
        </w:rPr>
        <w:t>r</w:t>
      </w:r>
      <w:r>
        <w:rPr>
          <w:i/>
          <w:sz w:val="20"/>
          <w:lang w:val="de-AT" w:eastAsia="de-AT"/>
        </w:rPr>
        <w:t>zögerungen und Wartezeiten möglich ist.</w:t>
      </w:r>
      <w:r>
        <w:rPr>
          <w:i/>
          <w:sz w:val="24"/>
          <w:lang w:val="de-AT" w:eastAsia="de-AT"/>
        </w:rPr>
        <w:br/>
      </w:r>
      <w:r>
        <w:rPr>
          <w:i/>
          <w:sz w:val="24"/>
          <w:lang w:val="de-AT" w:eastAsia="de-AT"/>
        </w:rPr>
        <w:tab/>
      </w:r>
      <w:r w:rsidRPr="00D3787D">
        <w:rPr>
          <w:i/>
          <w:sz w:val="20"/>
          <w:lang w:val="de-AT" w:eastAsia="de-AT"/>
        </w:rPr>
        <w:t>Protokoll der Gesprächsrunde mit ExpertInnen</w:t>
      </w:r>
    </w:p>
    <w:p w:rsidR="00D3787D" w:rsidRDefault="00D3787D" w:rsidP="00D3787D"/>
    <w:p w:rsidR="002A17FF" w:rsidRDefault="00E7523A" w:rsidP="00E7523A">
      <w:pPr>
        <w:pStyle w:val="Aufzhlungszeichen"/>
      </w:pPr>
      <w:r w:rsidRPr="001716C0">
        <w:rPr>
          <w:rStyle w:val="SchwacherVerweis"/>
        </w:rPr>
        <w:t>Wien</w:t>
      </w:r>
      <w:r>
        <w:t>: Die ExpertInnen bescheinigen der Stadt Wien vielfältige Bemühungen um Gleichb</w:t>
      </w:r>
      <w:r>
        <w:t>e</w:t>
      </w:r>
      <w:r>
        <w:t xml:space="preserve">handlung und </w:t>
      </w:r>
      <w:r w:rsidR="00D3787D">
        <w:t xml:space="preserve">zur </w:t>
      </w:r>
      <w:r>
        <w:t xml:space="preserve">Bekämpfung von Benachteiligungen auf dem Wohnungsmarkt. </w:t>
      </w:r>
      <w:r w:rsidR="00C63F08">
        <w:t>Insb</w:t>
      </w:r>
      <w:r w:rsidR="00C63F08">
        <w:t>e</w:t>
      </w:r>
      <w:r w:rsidR="00C63F08">
        <w:t>sondere</w:t>
      </w:r>
      <w:r>
        <w:t xml:space="preserve"> wird in den Interviews ein vielfältig gegliedertes und aufbauend gestaltetes Sy</w:t>
      </w:r>
      <w:r>
        <w:t>s</w:t>
      </w:r>
      <w:r>
        <w:t>tem der zielgruppenspezifischen Förderung und Gewährleistung von individuellen Zugä</w:t>
      </w:r>
      <w:r>
        <w:t>n</w:t>
      </w:r>
      <w:r>
        <w:t>gen zu leistbaren und adäquaten Wohnungen deutlich.</w:t>
      </w:r>
      <w:r w:rsidR="002A17FF">
        <w:br/>
      </w:r>
    </w:p>
    <w:p w:rsidR="00587957" w:rsidRDefault="002A17FF" w:rsidP="00044AF0">
      <w:pPr>
        <w:pBdr>
          <w:top w:val="single" w:sz="4" w:space="1" w:color="auto"/>
          <w:left w:val="single" w:sz="4" w:space="4" w:color="auto"/>
          <w:bottom w:val="single" w:sz="4" w:space="1" w:color="auto"/>
          <w:right w:val="single" w:sz="4" w:space="4" w:color="auto"/>
        </w:pBdr>
        <w:spacing w:beforeLines="40" w:afterLines="40" w:line="240" w:lineRule="auto"/>
        <w:ind w:left="360"/>
        <w:rPr>
          <w:i/>
          <w:sz w:val="20"/>
          <w:lang w:val="de-AT"/>
        </w:rPr>
      </w:pPr>
      <w:r w:rsidRPr="002A17FF">
        <w:rPr>
          <w:i/>
          <w:sz w:val="20"/>
          <w:lang w:val="de-AT"/>
        </w:rPr>
        <w:t>In Wien funktioniert Gleichbehandlung sehr gut, die Frage ist eher, dass es budgetbedingt zu wen</w:t>
      </w:r>
      <w:r w:rsidRPr="002A17FF">
        <w:rPr>
          <w:i/>
          <w:sz w:val="20"/>
          <w:lang w:val="de-AT"/>
        </w:rPr>
        <w:t>i</w:t>
      </w:r>
      <w:r w:rsidRPr="002A17FF">
        <w:rPr>
          <w:i/>
          <w:sz w:val="20"/>
          <w:lang w:val="de-AT"/>
        </w:rPr>
        <w:t>ge Wohnungen gibt</w:t>
      </w:r>
      <w:r>
        <w:rPr>
          <w:i/>
          <w:sz w:val="20"/>
          <w:lang w:val="de-AT"/>
        </w:rPr>
        <w:t>. D</w:t>
      </w:r>
      <w:r w:rsidRPr="002A17FF">
        <w:rPr>
          <w:i/>
          <w:sz w:val="20"/>
          <w:lang w:val="de-AT"/>
        </w:rPr>
        <w:t xml:space="preserve">ie Frage ist </w:t>
      </w:r>
      <w:r>
        <w:rPr>
          <w:i/>
          <w:sz w:val="20"/>
          <w:lang w:val="de-AT"/>
        </w:rPr>
        <w:t>dann</w:t>
      </w:r>
      <w:r w:rsidRPr="002A17FF">
        <w:rPr>
          <w:i/>
          <w:sz w:val="20"/>
          <w:lang w:val="de-AT"/>
        </w:rPr>
        <w:t>, wie die Bevölkerung darauf reagiert, dass Gleichbehan</w:t>
      </w:r>
      <w:r w:rsidRPr="002A17FF">
        <w:rPr>
          <w:i/>
          <w:sz w:val="20"/>
          <w:lang w:val="de-AT"/>
        </w:rPr>
        <w:t>d</w:t>
      </w:r>
      <w:r w:rsidRPr="002A17FF">
        <w:rPr>
          <w:i/>
          <w:sz w:val="20"/>
          <w:lang w:val="de-AT"/>
        </w:rPr>
        <w:t>lung oberstes Gebot ist bzw. wenn größere Wohnungen verstärkt an kinderreiche Familien verg</w:t>
      </w:r>
      <w:r w:rsidRPr="002A17FF">
        <w:rPr>
          <w:i/>
          <w:sz w:val="20"/>
          <w:lang w:val="de-AT"/>
        </w:rPr>
        <w:t>e</w:t>
      </w:r>
      <w:r w:rsidRPr="002A17FF">
        <w:rPr>
          <w:i/>
          <w:sz w:val="20"/>
          <w:lang w:val="de-AT"/>
        </w:rPr>
        <w:t>ben werden</w:t>
      </w:r>
      <w:r w:rsidR="007A3264">
        <w:rPr>
          <w:i/>
          <w:sz w:val="20"/>
          <w:lang w:val="de-AT"/>
        </w:rPr>
        <w:t>.</w:t>
      </w:r>
    </w:p>
    <w:p w:rsidR="00587957" w:rsidRDefault="002A17FF" w:rsidP="00044AF0">
      <w:pPr>
        <w:pBdr>
          <w:top w:val="single" w:sz="4" w:space="1" w:color="auto"/>
          <w:left w:val="single" w:sz="4" w:space="4" w:color="auto"/>
          <w:bottom w:val="single" w:sz="4" w:space="1" w:color="auto"/>
          <w:right w:val="single" w:sz="4" w:space="4" w:color="auto"/>
        </w:pBdr>
        <w:spacing w:beforeLines="40" w:afterLines="40" w:line="240" w:lineRule="auto"/>
        <w:ind w:left="360"/>
        <w:jc w:val="right"/>
        <w:rPr>
          <w:i/>
          <w:sz w:val="20"/>
          <w:lang w:val="de-AT"/>
        </w:rPr>
      </w:pPr>
      <w:r>
        <w:rPr>
          <w:i/>
          <w:sz w:val="20"/>
          <w:lang w:val="de-AT"/>
        </w:rPr>
        <w:t>Interview Wohnungsvermittlung</w:t>
      </w:r>
    </w:p>
    <w:p w:rsidR="003C7221" w:rsidRDefault="003C7221">
      <w:pPr>
        <w:spacing w:before="180" w:after="240" w:line="336" w:lineRule="auto"/>
        <w:jc w:val="center"/>
        <w:rPr>
          <w:rFonts w:eastAsiaTheme="majorEastAsia" w:cstheme="majorBidi"/>
          <w:b/>
          <w:bCs/>
          <w:color w:val="4F81BD" w:themeColor="accent1"/>
          <w:lang w:val="de-AT" w:eastAsia="en-US"/>
        </w:rPr>
      </w:pPr>
    </w:p>
    <w:p w:rsidR="00C225AD" w:rsidRPr="00DC0E56" w:rsidRDefault="00CB5173" w:rsidP="00E23216">
      <w:pPr>
        <w:pStyle w:val="berschrift3"/>
        <w:rPr>
          <w:lang w:eastAsia="en-US"/>
        </w:rPr>
      </w:pPr>
      <w:r>
        <w:rPr>
          <w:lang w:eastAsia="en-US"/>
        </w:rPr>
        <w:t>2.3</w:t>
      </w:r>
      <w:r>
        <w:rPr>
          <w:lang w:eastAsia="en-US"/>
        </w:rPr>
        <w:tab/>
      </w:r>
      <w:r w:rsidR="00A029E5" w:rsidRPr="00DC0E56">
        <w:rPr>
          <w:lang w:eastAsia="en-US"/>
        </w:rPr>
        <w:t>Vergabe öffentlichen Wohnraums</w:t>
      </w:r>
    </w:p>
    <w:p w:rsidR="00A029E5" w:rsidRDefault="00A029E5" w:rsidP="00681AF9">
      <w:pPr>
        <w:rPr>
          <w:lang w:val="de-AT"/>
        </w:rPr>
      </w:pPr>
      <w:r>
        <w:rPr>
          <w:lang w:val="de-AT"/>
        </w:rPr>
        <w:br/>
        <w:t>Die Vergabe von öffentlich geförderten Wohnungen wird in der Regel unter Berücksichtigung von unterschiedlichen strukturellen und individuellen Faktoren vorgenommen. Die Teilnehm</w:t>
      </w:r>
      <w:r>
        <w:rPr>
          <w:lang w:val="de-AT"/>
        </w:rPr>
        <w:t>e</w:t>
      </w:r>
      <w:r>
        <w:rPr>
          <w:lang w:val="de-AT"/>
        </w:rPr>
        <w:t xml:space="preserve">rInnen an der Fragebogenerhebung kommen </w:t>
      </w:r>
      <w:r w:rsidR="00121898">
        <w:rPr>
          <w:lang w:val="de-AT"/>
        </w:rPr>
        <w:t>diesbezüglich</w:t>
      </w:r>
      <w:r>
        <w:rPr>
          <w:lang w:val="de-AT"/>
        </w:rPr>
        <w:t xml:space="preserve"> zu einem klaren Ranking, wonach an erster Stelle die Dringlichkeit der Wohnversorgung steht. In vielen Vergabesystemen findet danach die Dauer des regulären Aufenthalts vor Ort Berücksichtigung. </w:t>
      </w:r>
    </w:p>
    <w:p w:rsidR="00681AF9" w:rsidRDefault="00A029E5" w:rsidP="00681AF9">
      <w:pPr>
        <w:rPr>
          <w:lang w:val="de-AT"/>
        </w:rPr>
      </w:pPr>
      <w:r>
        <w:rPr>
          <w:lang w:val="de-AT"/>
        </w:rPr>
        <w:t xml:space="preserve">In weiterer Folge werden nach diesen eher strukturellen Faktoren auch individuelle Aspekte </w:t>
      </w:r>
      <w:r w:rsidR="00DB5C3F">
        <w:rPr>
          <w:lang w:val="de-AT"/>
        </w:rPr>
        <w:t>der</w:t>
      </w:r>
      <w:r>
        <w:rPr>
          <w:lang w:val="de-AT"/>
        </w:rPr>
        <w:t xml:space="preserve"> Zusammensetzung des Haushalts (AlleinerzieherInnenhaushalt, Anzahl minderjähriger Kinder, Behinderung oder Pflegebedarf von Haushaltsmitgliedern) </w:t>
      </w:r>
      <w:r w:rsidR="001716C0">
        <w:rPr>
          <w:lang w:val="de-AT"/>
        </w:rPr>
        <w:t>zur Begründung</w:t>
      </w:r>
      <w:r>
        <w:rPr>
          <w:lang w:val="de-AT"/>
        </w:rPr>
        <w:t xml:space="preserve"> eine</w:t>
      </w:r>
      <w:r w:rsidR="001716C0">
        <w:rPr>
          <w:lang w:val="de-AT"/>
        </w:rPr>
        <w:t>r</w:t>
      </w:r>
      <w:r>
        <w:rPr>
          <w:lang w:val="de-AT"/>
        </w:rPr>
        <w:t xml:space="preserve"> Wo</w:t>
      </w:r>
      <w:r>
        <w:rPr>
          <w:lang w:val="de-AT"/>
        </w:rPr>
        <w:t>h</w:t>
      </w:r>
      <w:r>
        <w:rPr>
          <w:lang w:val="de-AT"/>
        </w:rPr>
        <w:t xml:space="preserve">nungsvergabe herangezogen. Demgegenüber werden weitere spezifische Aspekte, </w:t>
      </w:r>
      <w:r w:rsidR="005B5768">
        <w:rPr>
          <w:lang w:val="de-AT"/>
        </w:rPr>
        <w:t xml:space="preserve">wie </w:t>
      </w:r>
      <w:r>
        <w:rPr>
          <w:lang w:val="de-AT"/>
        </w:rPr>
        <w:t xml:space="preserve">z.B. die Art des Beschäftigungsverhältnisses, eher nachrangig </w:t>
      </w:r>
      <w:r w:rsidR="00DB5C3F">
        <w:rPr>
          <w:lang w:val="de-AT"/>
        </w:rPr>
        <w:t>in der</w:t>
      </w:r>
      <w:r>
        <w:rPr>
          <w:lang w:val="de-AT"/>
        </w:rPr>
        <w:t xml:space="preserve"> Entscheidung</w:t>
      </w:r>
      <w:r w:rsidR="00DB5C3F">
        <w:rPr>
          <w:lang w:val="de-AT"/>
        </w:rPr>
        <w:t>sfindung berücksic</w:t>
      </w:r>
      <w:r w:rsidR="00DB5C3F">
        <w:rPr>
          <w:lang w:val="de-AT"/>
        </w:rPr>
        <w:t>h</w:t>
      </w:r>
      <w:r w:rsidR="00DB5C3F">
        <w:rPr>
          <w:lang w:val="de-AT"/>
        </w:rPr>
        <w:t>tigt</w:t>
      </w:r>
      <w:r>
        <w:rPr>
          <w:lang w:val="de-AT"/>
        </w:rPr>
        <w:t>.</w:t>
      </w:r>
      <w:r w:rsidR="00DB5C3F">
        <w:rPr>
          <w:lang w:val="de-AT"/>
        </w:rPr>
        <w:t xml:space="preserve"> </w:t>
      </w:r>
    </w:p>
    <w:p w:rsidR="00121898" w:rsidRDefault="00121898" w:rsidP="00681AF9">
      <w:pPr>
        <w:rPr>
          <w:lang w:val="de-AT"/>
        </w:rPr>
      </w:pPr>
    </w:p>
    <w:p w:rsidR="001E7992" w:rsidRPr="001E7992" w:rsidRDefault="001E7992" w:rsidP="00681AF9">
      <w:pPr>
        <w:rPr>
          <w:rStyle w:val="SchwacherVerweis"/>
        </w:rPr>
      </w:pPr>
      <w:r>
        <w:rPr>
          <w:rStyle w:val="SchwacherVerweis"/>
        </w:rPr>
        <w:t>Grafik</w:t>
      </w:r>
      <w:r w:rsidR="007866AA">
        <w:rPr>
          <w:rStyle w:val="SchwacherVerweis"/>
        </w:rPr>
        <w:t xml:space="preserve"> 10</w:t>
      </w:r>
      <w:r>
        <w:rPr>
          <w:rStyle w:val="SchwacherVerweis"/>
        </w:rPr>
        <w:t>: Vergabekriterien</w:t>
      </w:r>
    </w:p>
    <w:p w:rsidR="00A029E5" w:rsidRPr="00681AF9" w:rsidRDefault="008B079B" w:rsidP="00681AF9">
      <w:pPr>
        <w:rPr>
          <w:lang w:val="de-AT"/>
        </w:rPr>
      </w:pPr>
      <w:r w:rsidRPr="008B079B">
        <w:rPr>
          <w:noProof/>
          <w:lang w:val="de-AT" w:eastAsia="de-AT"/>
        </w:rPr>
        <w:drawing>
          <wp:inline distT="0" distB="0" distL="0" distR="0">
            <wp:extent cx="5760720" cy="2852304"/>
            <wp:effectExtent l="19050" t="0" r="11430" b="5196"/>
            <wp:docPr id="1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F3AF7" w:rsidRDefault="004F3AF7"/>
    <w:p w:rsidR="004F3AF7" w:rsidRPr="00CB5173" w:rsidRDefault="00163117" w:rsidP="00CB5173">
      <w:pPr>
        <w:pStyle w:val="Listenabsatz"/>
        <w:numPr>
          <w:ilvl w:val="2"/>
          <w:numId w:val="32"/>
        </w:numPr>
        <w:rPr>
          <w:u w:val="single"/>
        </w:rPr>
      </w:pPr>
      <w:r w:rsidRPr="00CB5173">
        <w:rPr>
          <w:u w:val="single"/>
        </w:rPr>
        <w:t>Zugang zu öffentlichem Wohnraum</w:t>
      </w:r>
      <w:r w:rsidR="004F3AF7" w:rsidRPr="00CB5173">
        <w:rPr>
          <w:u w:val="single"/>
        </w:rPr>
        <w:t xml:space="preserve"> nach Art der Einrichtung</w:t>
      </w:r>
      <w:r w:rsidR="008B079B" w:rsidRPr="00CB5173">
        <w:rPr>
          <w:u w:val="single"/>
        </w:rPr>
        <w:br/>
      </w:r>
    </w:p>
    <w:p w:rsidR="008B079B" w:rsidRDefault="008B079B">
      <w:r>
        <w:t>Die Gewichtung der</w:t>
      </w:r>
      <w:r w:rsidR="00282634">
        <w:t xml:space="preserve"> Entscheidung</w:t>
      </w:r>
      <w:r w:rsidR="001716C0">
        <w:t>skriterien bezüglich</w:t>
      </w:r>
      <w:r w:rsidR="00282634">
        <w:t xml:space="preserve"> eine</w:t>
      </w:r>
      <w:r w:rsidR="001716C0">
        <w:t>r</w:t>
      </w:r>
      <w:r w:rsidR="00282634">
        <w:t xml:space="preserve"> Wohnungsvergabe </w:t>
      </w:r>
      <w:r>
        <w:t xml:space="preserve">unterscheidet sich bei den verschiedenen Einrichtungsarten ganz erheblich. </w:t>
      </w:r>
      <w:r w:rsidR="00DC1D1A">
        <w:t xml:space="preserve">Das betrifft </w:t>
      </w:r>
      <w:r w:rsidR="00C63F08">
        <w:t>insbesondere</w:t>
      </w:r>
      <w:r w:rsidR="00DC1D1A">
        <w:t xml:space="preserve"> die individuellen und haushaltsbezogenen Merkmale, die sowohl bei den kommunalen Wohnung</w:t>
      </w:r>
      <w:r w:rsidR="00DC1D1A">
        <w:t>s</w:t>
      </w:r>
      <w:r w:rsidR="00DC1D1A">
        <w:t>ämtern als auch bei den gemeinnützigen Wohnbauträgern verstärkt Berücksichtigung finden.</w:t>
      </w:r>
      <w:r w:rsidR="00DB5C3F">
        <w:t xml:space="preserve"> </w:t>
      </w:r>
      <w:r w:rsidR="00EB089D">
        <w:t xml:space="preserve">Demgegenüber liegen die </w:t>
      </w:r>
      <w:r w:rsidR="00CB5173">
        <w:t xml:space="preserve">entsprechenden </w:t>
      </w:r>
      <w:r w:rsidR="00EB089D">
        <w:t xml:space="preserve">Wertungen bei den privaten Wohnbauträgern als auch bei den Beratungseinrichtungen </w:t>
      </w:r>
      <w:r w:rsidR="001716C0">
        <w:t>deutlich darunter</w:t>
      </w:r>
      <w:r w:rsidR="00EB089D">
        <w:t xml:space="preserve">. </w:t>
      </w:r>
      <w:r w:rsidR="00DC1D1A">
        <w:br/>
      </w:r>
    </w:p>
    <w:p w:rsidR="00121898" w:rsidRDefault="00121898">
      <w:pPr>
        <w:spacing w:before="180" w:after="240" w:line="336" w:lineRule="auto"/>
        <w:jc w:val="center"/>
        <w:rPr>
          <w:rStyle w:val="SchwacherVerweis"/>
        </w:rPr>
      </w:pPr>
      <w:r>
        <w:rPr>
          <w:rStyle w:val="SchwacherVerweis"/>
        </w:rPr>
        <w:br w:type="page"/>
      </w:r>
    </w:p>
    <w:p w:rsidR="008D2223" w:rsidRPr="008D2223" w:rsidRDefault="008D2223">
      <w:pPr>
        <w:rPr>
          <w:rStyle w:val="SchwacherVerweis"/>
        </w:rPr>
      </w:pPr>
      <w:r w:rsidRPr="008D2223">
        <w:rPr>
          <w:rStyle w:val="SchwacherVerweis"/>
        </w:rPr>
        <w:lastRenderedPageBreak/>
        <w:t xml:space="preserve">Grafik </w:t>
      </w:r>
      <w:r w:rsidR="007866AA">
        <w:rPr>
          <w:rStyle w:val="SchwacherVerweis"/>
        </w:rPr>
        <w:t>11</w:t>
      </w:r>
      <w:r w:rsidRPr="008D2223">
        <w:rPr>
          <w:rStyle w:val="SchwacherVerweis"/>
        </w:rPr>
        <w:t>: Zugangskriterien nach Art der Einrichtung</w:t>
      </w:r>
    </w:p>
    <w:p w:rsidR="00DC1D1A" w:rsidRDefault="00EB089D">
      <w:r w:rsidRPr="00EB089D">
        <w:rPr>
          <w:noProof/>
          <w:lang w:val="de-AT" w:eastAsia="de-AT"/>
        </w:rPr>
        <w:drawing>
          <wp:inline distT="0" distB="0" distL="0" distR="0">
            <wp:extent cx="5619750" cy="3429000"/>
            <wp:effectExtent l="19050" t="0" r="19050" b="0"/>
            <wp:docPr id="20"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163117">
        <w:br/>
      </w:r>
    </w:p>
    <w:p w:rsidR="00C225AD" w:rsidRDefault="00E13AB8">
      <w:r>
        <w:t xml:space="preserve">Insgesamt </w:t>
      </w:r>
      <w:r w:rsidR="00EB089D">
        <w:t>siebzehn</w:t>
      </w:r>
      <w:r w:rsidR="00C225AD">
        <w:t xml:space="preserve"> RespondentInnen führen weiter</w:t>
      </w:r>
      <w:r w:rsidR="00370418">
        <w:t>e</w:t>
      </w:r>
      <w:r w:rsidR="00C225AD">
        <w:t xml:space="preserve"> Faktoren an, die bei der Wohnungsve</w:t>
      </w:r>
      <w:r w:rsidR="00C225AD">
        <w:t>r</w:t>
      </w:r>
      <w:r w:rsidR="00C225AD">
        <w:t>gabe berücksichtigt werden. Dabei handelt es sich um folgende Anmerkungen:</w:t>
      </w:r>
    </w:p>
    <w:p w:rsidR="00C225AD" w:rsidRPr="00A66E7F" w:rsidRDefault="00C225AD" w:rsidP="00B31556">
      <w:pPr>
        <w:pStyle w:val="notranslate"/>
        <w:numPr>
          <w:ilvl w:val="0"/>
          <w:numId w:val="3"/>
        </w:numPr>
        <w:spacing w:after="60" w:afterAutospacing="0"/>
        <w:ind w:left="714" w:hanging="357"/>
        <w:rPr>
          <w:rFonts w:ascii="Tahoma" w:hAnsi="Tahoma" w:cs="Tahoma"/>
          <w:sz w:val="22"/>
        </w:rPr>
      </w:pPr>
      <w:r w:rsidRPr="00A66E7F">
        <w:rPr>
          <w:rFonts w:ascii="Tahoma" w:hAnsi="Tahoma" w:cs="Tahoma"/>
          <w:sz w:val="22"/>
        </w:rPr>
        <w:t xml:space="preserve">junge </w:t>
      </w:r>
      <w:r w:rsidR="00181916" w:rsidRPr="00A66E7F">
        <w:rPr>
          <w:rFonts w:ascii="Tahoma" w:hAnsi="Tahoma" w:cs="Tahoma"/>
          <w:sz w:val="22"/>
        </w:rPr>
        <w:t>Erwachsene</w:t>
      </w:r>
      <w:r w:rsidRPr="00A66E7F">
        <w:rPr>
          <w:rFonts w:ascii="Tahoma" w:hAnsi="Tahoma" w:cs="Tahoma"/>
          <w:sz w:val="22"/>
        </w:rPr>
        <w:t xml:space="preserve">: "unverschuldete" </w:t>
      </w:r>
      <w:r w:rsidR="00181916" w:rsidRPr="00A66E7F">
        <w:rPr>
          <w:rFonts w:ascii="Tahoma" w:hAnsi="Tahoma" w:cs="Tahoma"/>
          <w:sz w:val="22"/>
        </w:rPr>
        <w:t xml:space="preserve">Obdachlosigkeit </w:t>
      </w:r>
      <w:r w:rsidRPr="00A66E7F">
        <w:rPr>
          <w:rFonts w:ascii="Tahoma" w:hAnsi="Tahoma" w:cs="Tahoma"/>
          <w:sz w:val="22"/>
        </w:rPr>
        <w:t>oder nicht (!)</w:t>
      </w:r>
      <w:r w:rsidR="00A66E7F" w:rsidRPr="00A66E7F">
        <w:rPr>
          <w:rFonts w:ascii="Tahoma" w:hAnsi="Tahoma" w:cs="Tahoma"/>
          <w:sz w:val="22"/>
        </w:rPr>
        <w:t xml:space="preserve"> / </w:t>
      </w:r>
      <w:r w:rsidR="00EB089D">
        <w:rPr>
          <w:rFonts w:ascii="Tahoma" w:hAnsi="Tahoma" w:cs="Tahoma"/>
          <w:sz w:val="22"/>
        </w:rPr>
        <w:br/>
      </w:r>
      <w:r w:rsidR="00121898">
        <w:rPr>
          <w:rFonts w:ascii="Tahoma" w:hAnsi="Tahoma" w:cs="Tahoma"/>
          <w:sz w:val="22"/>
        </w:rPr>
        <w:t>„</w:t>
      </w:r>
      <w:r w:rsidR="00A66E7F" w:rsidRPr="00A66E7F">
        <w:rPr>
          <w:rFonts w:ascii="Tahoma" w:hAnsi="Tahoma" w:cs="Tahoma"/>
          <w:sz w:val="22"/>
        </w:rPr>
        <w:t>junge Erwachsene, die das erste Mal von zu Hause ausziehen</w:t>
      </w:r>
      <w:r w:rsidR="00121898">
        <w:rPr>
          <w:rFonts w:ascii="Tahoma" w:hAnsi="Tahoma" w:cs="Tahoma"/>
          <w:sz w:val="22"/>
        </w:rPr>
        <w:t>“</w:t>
      </w:r>
    </w:p>
    <w:p w:rsidR="00A66E7F" w:rsidRPr="00A66E7F" w:rsidRDefault="00C225AD" w:rsidP="00B31556">
      <w:pPr>
        <w:pStyle w:val="notranslate"/>
        <w:numPr>
          <w:ilvl w:val="0"/>
          <w:numId w:val="3"/>
        </w:numPr>
        <w:spacing w:after="60" w:afterAutospacing="0"/>
        <w:ind w:left="714" w:hanging="357"/>
        <w:rPr>
          <w:rFonts w:ascii="Tahoma" w:hAnsi="Tahoma" w:cs="Tahoma"/>
          <w:sz w:val="22"/>
        </w:rPr>
      </w:pPr>
      <w:r w:rsidRPr="00A66E7F">
        <w:rPr>
          <w:rFonts w:ascii="Tahoma" w:hAnsi="Tahoma" w:cs="Tahoma"/>
          <w:sz w:val="22"/>
        </w:rPr>
        <w:t>Art des Einkommens, Art der Berufstätigkeit</w:t>
      </w:r>
      <w:r w:rsidR="00EB089D">
        <w:rPr>
          <w:rFonts w:ascii="Tahoma" w:hAnsi="Tahoma" w:cs="Tahoma"/>
          <w:sz w:val="22"/>
        </w:rPr>
        <w:t xml:space="preserve"> /</w:t>
      </w:r>
      <w:r w:rsidR="00A66E7F" w:rsidRPr="00A66E7F">
        <w:rPr>
          <w:rFonts w:ascii="Tahoma" w:hAnsi="Tahoma" w:cs="Tahoma"/>
          <w:sz w:val="22"/>
          <w:lang w:val="de-DE"/>
        </w:rPr>
        <w:t xml:space="preserve"> Einkommenssituation, E</w:t>
      </w:r>
      <w:r w:rsidR="00181916" w:rsidRPr="00A66E7F">
        <w:rPr>
          <w:rFonts w:ascii="Tahoma" w:hAnsi="Tahoma" w:cs="Tahoma"/>
          <w:sz w:val="22"/>
        </w:rPr>
        <w:t>inkommens</w:t>
      </w:r>
      <w:r w:rsidR="003F7C1F">
        <w:rPr>
          <w:rFonts w:ascii="Tahoma" w:hAnsi="Tahoma" w:cs="Tahoma"/>
          <w:sz w:val="22"/>
        </w:rPr>
        <w:softHyphen/>
      </w:r>
      <w:r w:rsidR="00181916" w:rsidRPr="00A66E7F">
        <w:rPr>
          <w:rFonts w:ascii="Tahoma" w:hAnsi="Tahoma" w:cs="Tahoma"/>
          <w:sz w:val="22"/>
        </w:rPr>
        <w:t xml:space="preserve">sicherheit </w:t>
      </w:r>
      <w:r w:rsidRPr="00A66E7F">
        <w:rPr>
          <w:rFonts w:ascii="Tahoma" w:hAnsi="Tahoma" w:cs="Tahoma"/>
          <w:sz w:val="22"/>
        </w:rPr>
        <w:t>(-wahrscheinlichkeit)</w:t>
      </w:r>
      <w:r w:rsidR="00A66E7F" w:rsidRPr="00A66E7F">
        <w:rPr>
          <w:rFonts w:ascii="Tahoma" w:hAnsi="Tahoma" w:cs="Tahoma"/>
          <w:sz w:val="22"/>
        </w:rPr>
        <w:t xml:space="preserve"> / generell geringes Einkommen / Verhältnis Einkommen zu Miete / Maximaleinkommen </w:t>
      </w:r>
    </w:p>
    <w:p w:rsidR="00181916" w:rsidRPr="00A66E7F" w:rsidRDefault="00C225AD" w:rsidP="00B31556">
      <w:pPr>
        <w:pStyle w:val="notranslate"/>
        <w:numPr>
          <w:ilvl w:val="0"/>
          <w:numId w:val="3"/>
        </w:numPr>
        <w:spacing w:after="60" w:afterAutospacing="0"/>
        <w:ind w:left="714" w:hanging="357"/>
        <w:rPr>
          <w:rFonts w:ascii="Tahoma" w:hAnsi="Tahoma" w:cs="Tahoma"/>
          <w:sz w:val="22"/>
        </w:rPr>
      </w:pPr>
      <w:r w:rsidRPr="00A66E7F">
        <w:rPr>
          <w:rFonts w:ascii="Tahoma" w:hAnsi="Tahoma" w:cs="Tahoma"/>
          <w:sz w:val="22"/>
        </w:rPr>
        <w:t xml:space="preserve">dzt. Wohnungsgröße im Verhältnis zur Bewohneranzahl </w:t>
      </w:r>
    </w:p>
    <w:p w:rsidR="00181916" w:rsidRPr="00A66E7F" w:rsidRDefault="00C225AD" w:rsidP="00B31556">
      <w:pPr>
        <w:pStyle w:val="notranslate"/>
        <w:numPr>
          <w:ilvl w:val="0"/>
          <w:numId w:val="3"/>
        </w:numPr>
        <w:spacing w:after="60" w:afterAutospacing="0"/>
        <w:ind w:left="714" w:hanging="357"/>
        <w:rPr>
          <w:rFonts w:ascii="Tahoma" w:hAnsi="Tahoma" w:cs="Tahoma"/>
          <w:sz w:val="22"/>
        </w:rPr>
      </w:pPr>
      <w:r w:rsidRPr="00A66E7F">
        <w:rPr>
          <w:rFonts w:ascii="Tahoma" w:hAnsi="Tahoma" w:cs="Tahoma"/>
          <w:sz w:val="22"/>
        </w:rPr>
        <w:t xml:space="preserve">Vorhandensein eines Räumungstermines </w:t>
      </w:r>
      <w:r w:rsidR="00CE1ABD" w:rsidRPr="00A66E7F">
        <w:rPr>
          <w:rFonts w:ascii="Tahoma" w:hAnsi="Tahoma" w:cs="Tahoma"/>
          <w:sz w:val="22"/>
        </w:rPr>
        <w:t>oder</w:t>
      </w:r>
      <w:r w:rsidRPr="00A66E7F">
        <w:rPr>
          <w:rFonts w:ascii="Tahoma" w:hAnsi="Tahoma" w:cs="Tahoma"/>
          <w:sz w:val="22"/>
        </w:rPr>
        <w:t xml:space="preserve"> </w:t>
      </w:r>
      <w:r w:rsidR="00A66E7F">
        <w:rPr>
          <w:rFonts w:ascii="Tahoma" w:hAnsi="Tahoma" w:cs="Tahoma"/>
          <w:sz w:val="22"/>
        </w:rPr>
        <w:t>-</w:t>
      </w:r>
      <w:r w:rsidRPr="00A66E7F">
        <w:rPr>
          <w:rFonts w:ascii="Tahoma" w:hAnsi="Tahoma" w:cs="Tahoma"/>
          <w:sz w:val="22"/>
        </w:rPr>
        <w:t xml:space="preserve">vergleiches </w:t>
      </w:r>
    </w:p>
    <w:p w:rsidR="00C225AD" w:rsidRPr="00A66E7F" w:rsidRDefault="00CE1ABD" w:rsidP="00B31556">
      <w:pPr>
        <w:pStyle w:val="notranslate"/>
        <w:numPr>
          <w:ilvl w:val="0"/>
          <w:numId w:val="3"/>
        </w:numPr>
        <w:spacing w:after="60" w:afterAutospacing="0"/>
        <w:ind w:left="714" w:hanging="357"/>
        <w:rPr>
          <w:rFonts w:ascii="Tahoma" w:hAnsi="Tahoma" w:cs="Tahoma"/>
          <w:sz w:val="22"/>
        </w:rPr>
      </w:pPr>
      <w:r w:rsidRPr="00A66E7F">
        <w:rPr>
          <w:rFonts w:ascii="Tahoma" w:hAnsi="Tahoma" w:cs="Tahoma"/>
          <w:sz w:val="22"/>
        </w:rPr>
        <w:t xml:space="preserve">Standard der aktuellen Wohnversorgung; bspw. niedriger Standard, </w:t>
      </w:r>
      <w:r w:rsidR="00C225AD" w:rsidRPr="00A66E7F">
        <w:rPr>
          <w:rFonts w:ascii="Tahoma" w:hAnsi="Tahoma" w:cs="Tahoma"/>
          <w:sz w:val="22"/>
        </w:rPr>
        <w:t>mangelhafte Au</w:t>
      </w:r>
      <w:r w:rsidR="00C225AD" w:rsidRPr="00A66E7F">
        <w:rPr>
          <w:rFonts w:ascii="Tahoma" w:hAnsi="Tahoma" w:cs="Tahoma"/>
          <w:sz w:val="22"/>
        </w:rPr>
        <w:t>s</w:t>
      </w:r>
      <w:r w:rsidR="00C225AD" w:rsidRPr="00A66E7F">
        <w:rPr>
          <w:rFonts w:ascii="Tahoma" w:hAnsi="Tahoma" w:cs="Tahoma"/>
          <w:sz w:val="22"/>
        </w:rPr>
        <w:t>stattungsmerkmale der Wohnung (z.B. kein Bad, kein WC, Schimmel, ....)</w:t>
      </w:r>
    </w:p>
    <w:p w:rsidR="00C225AD" w:rsidRPr="00A66E7F" w:rsidRDefault="00121898" w:rsidP="00B31556">
      <w:pPr>
        <w:pStyle w:val="notranslate"/>
        <w:numPr>
          <w:ilvl w:val="0"/>
          <w:numId w:val="3"/>
        </w:numPr>
        <w:spacing w:after="60" w:afterAutospacing="0"/>
        <w:ind w:left="714" w:hanging="357"/>
        <w:rPr>
          <w:rFonts w:ascii="Tahoma" w:hAnsi="Tahoma" w:cs="Tahoma"/>
          <w:sz w:val="22"/>
        </w:rPr>
      </w:pPr>
      <w:r>
        <w:rPr>
          <w:rFonts w:ascii="Tahoma" w:hAnsi="Tahoma" w:cs="Tahoma"/>
          <w:sz w:val="22"/>
        </w:rPr>
        <w:t>„</w:t>
      </w:r>
      <w:r w:rsidR="00C225AD" w:rsidRPr="00A66E7F">
        <w:rPr>
          <w:rFonts w:ascii="Tahoma" w:hAnsi="Tahoma" w:cs="Tahoma"/>
          <w:sz w:val="22"/>
        </w:rPr>
        <w:t>die Wohnungen sind nur über ein Treppenhaus zu erreichen</w:t>
      </w:r>
      <w:r w:rsidR="00A66E7F" w:rsidRPr="00A66E7F">
        <w:rPr>
          <w:rFonts w:ascii="Tahoma" w:hAnsi="Tahoma" w:cs="Tahoma"/>
          <w:sz w:val="22"/>
        </w:rPr>
        <w:t>,</w:t>
      </w:r>
      <w:r w:rsidR="00C225AD" w:rsidRPr="00A66E7F">
        <w:rPr>
          <w:rFonts w:ascii="Tahoma" w:hAnsi="Tahoma" w:cs="Tahoma"/>
          <w:sz w:val="22"/>
        </w:rPr>
        <w:t xml:space="preserve"> d</w:t>
      </w:r>
      <w:r w:rsidR="00282634">
        <w:rPr>
          <w:rFonts w:ascii="Tahoma" w:hAnsi="Tahoma" w:cs="Tahoma"/>
          <w:sz w:val="22"/>
        </w:rPr>
        <w:t>.</w:t>
      </w:r>
      <w:r w:rsidR="00C225AD" w:rsidRPr="00A66E7F">
        <w:rPr>
          <w:rFonts w:ascii="Tahoma" w:hAnsi="Tahoma" w:cs="Tahoma"/>
          <w:sz w:val="22"/>
        </w:rPr>
        <w:t>h. für Behinderte und Pflegebedürftige eher nicht geeignet!</w:t>
      </w:r>
      <w:r>
        <w:rPr>
          <w:rFonts w:ascii="Tahoma" w:hAnsi="Tahoma" w:cs="Tahoma"/>
          <w:sz w:val="22"/>
        </w:rPr>
        <w:t>“</w:t>
      </w:r>
    </w:p>
    <w:p w:rsidR="00C225AD" w:rsidRPr="00A66E7F" w:rsidRDefault="00C225AD" w:rsidP="00B31556">
      <w:pPr>
        <w:pStyle w:val="notranslate"/>
        <w:numPr>
          <w:ilvl w:val="0"/>
          <w:numId w:val="3"/>
        </w:numPr>
        <w:spacing w:after="60" w:afterAutospacing="0"/>
        <w:ind w:left="714" w:hanging="357"/>
        <w:rPr>
          <w:rFonts w:ascii="Tahoma" w:hAnsi="Tahoma" w:cs="Tahoma"/>
          <w:sz w:val="22"/>
        </w:rPr>
      </w:pPr>
      <w:r w:rsidRPr="00A66E7F">
        <w:rPr>
          <w:rFonts w:ascii="Tahoma" w:hAnsi="Tahoma" w:cs="Tahoma"/>
          <w:sz w:val="22"/>
        </w:rPr>
        <w:t>langjähriger Aufenthalt im Ort</w:t>
      </w:r>
    </w:p>
    <w:p w:rsidR="00C225AD" w:rsidRPr="00A66E7F" w:rsidRDefault="00121898" w:rsidP="00B31556">
      <w:pPr>
        <w:pStyle w:val="notranslate"/>
        <w:numPr>
          <w:ilvl w:val="0"/>
          <w:numId w:val="3"/>
        </w:numPr>
        <w:spacing w:after="60" w:afterAutospacing="0"/>
        <w:ind w:left="714" w:hanging="357"/>
        <w:rPr>
          <w:rFonts w:ascii="Tahoma" w:hAnsi="Tahoma" w:cs="Tahoma"/>
          <w:sz w:val="22"/>
        </w:rPr>
      </w:pPr>
      <w:r>
        <w:rPr>
          <w:rFonts w:ascii="Tahoma" w:hAnsi="Tahoma" w:cs="Tahoma"/>
          <w:sz w:val="22"/>
        </w:rPr>
        <w:t>„</w:t>
      </w:r>
      <w:r w:rsidR="00C225AD" w:rsidRPr="00A66E7F">
        <w:rPr>
          <w:rFonts w:ascii="Tahoma" w:hAnsi="Tahoma" w:cs="Tahoma"/>
          <w:sz w:val="22"/>
        </w:rPr>
        <w:t>Unter Dringlichkeit der Wohnversorgung werden sämtliche Umstände berücksichtigt.</w:t>
      </w:r>
      <w:r>
        <w:rPr>
          <w:rFonts w:ascii="Tahoma" w:hAnsi="Tahoma" w:cs="Tahoma"/>
          <w:sz w:val="22"/>
        </w:rPr>
        <w:t>“</w:t>
      </w:r>
    </w:p>
    <w:p w:rsidR="00C225AD" w:rsidRPr="00A66E7F" w:rsidRDefault="00121898" w:rsidP="00B31556">
      <w:pPr>
        <w:pStyle w:val="notranslate"/>
        <w:numPr>
          <w:ilvl w:val="0"/>
          <w:numId w:val="3"/>
        </w:numPr>
        <w:spacing w:after="60" w:afterAutospacing="0"/>
        <w:ind w:left="714" w:hanging="357"/>
        <w:rPr>
          <w:rFonts w:ascii="Tahoma" w:hAnsi="Tahoma" w:cs="Tahoma"/>
          <w:sz w:val="22"/>
        </w:rPr>
      </w:pPr>
      <w:r>
        <w:rPr>
          <w:rFonts w:ascii="Tahoma" w:hAnsi="Tahoma" w:cs="Tahoma"/>
          <w:sz w:val="22"/>
        </w:rPr>
        <w:t>„</w:t>
      </w:r>
      <w:r w:rsidR="00CE1ABD" w:rsidRPr="00A66E7F">
        <w:rPr>
          <w:rFonts w:ascii="Tahoma" w:hAnsi="Tahoma" w:cs="Tahoma"/>
          <w:sz w:val="22"/>
        </w:rPr>
        <w:t xml:space="preserve">NutzerInnen von Nächtigungsangeboten in Notschlafstellen sowie </w:t>
      </w:r>
      <w:r w:rsidR="00C225AD" w:rsidRPr="00A66E7F">
        <w:rPr>
          <w:rFonts w:ascii="Tahoma" w:hAnsi="Tahoma" w:cs="Tahoma"/>
          <w:sz w:val="22"/>
        </w:rPr>
        <w:t xml:space="preserve">akut wohnungslose </w:t>
      </w:r>
      <w:r w:rsidR="00181916" w:rsidRPr="00A66E7F">
        <w:rPr>
          <w:rFonts w:ascii="Tahoma" w:hAnsi="Tahoma" w:cs="Tahoma"/>
          <w:sz w:val="22"/>
        </w:rPr>
        <w:t xml:space="preserve">Personen </w:t>
      </w:r>
      <w:r w:rsidR="00C225AD" w:rsidRPr="00A66E7F">
        <w:rPr>
          <w:rFonts w:ascii="Tahoma" w:hAnsi="Tahoma" w:cs="Tahoma"/>
          <w:sz w:val="22"/>
        </w:rPr>
        <w:t>werden z.</w:t>
      </w:r>
      <w:r w:rsidR="00CE1ABD" w:rsidRPr="00A66E7F">
        <w:rPr>
          <w:rFonts w:ascii="Tahoma" w:hAnsi="Tahoma" w:cs="Tahoma"/>
          <w:sz w:val="22"/>
        </w:rPr>
        <w:t>T</w:t>
      </w:r>
      <w:r w:rsidR="00C225AD" w:rsidRPr="00A66E7F">
        <w:rPr>
          <w:rFonts w:ascii="Tahoma" w:hAnsi="Tahoma" w:cs="Tahoma"/>
          <w:sz w:val="22"/>
        </w:rPr>
        <w:t xml:space="preserve">. bevorzugt ("soziale </w:t>
      </w:r>
      <w:r w:rsidR="00181916" w:rsidRPr="00A66E7F">
        <w:rPr>
          <w:rFonts w:ascii="Tahoma" w:hAnsi="Tahoma" w:cs="Tahoma"/>
          <w:sz w:val="22"/>
        </w:rPr>
        <w:t>Schiene</w:t>
      </w:r>
      <w:r w:rsidR="00C225AD" w:rsidRPr="00A66E7F">
        <w:rPr>
          <w:rFonts w:ascii="Tahoma" w:hAnsi="Tahoma" w:cs="Tahoma"/>
          <w:sz w:val="22"/>
        </w:rPr>
        <w:t xml:space="preserve">" bei </w:t>
      </w:r>
      <w:r w:rsidR="00181916" w:rsidRPr="00A66E7F">
        <w:rPr>
          <w:rFonts w:ascii="Tahoma" w:hAnsi="Tahoma" w:cs="Tahoma"/>
          <w:sz w:val="22"/>
        </w:rPr>
        <w:t>Gemeindewohnungen</w:t>
      </w:r>
      <w:r w:rsidR="00C225AD" w:rsidRPr="00A66E7F">
        <w:rPr>
          <w:rFonts w:ascii="Tahoma" w:hAnsi="Tahoma" w:cs="Tahoma"/>
          <w:sz w:val="22"/>
        </w:rPr>
        <w:t>)</w:t>
      </w:r>
      <w:r>
        <w:rPr>
          <w:rFonts w:ascii="Tahoma" w:hAnsi="Tahoma" w:cs="Tahoma"/>
          <w:sz w:val="22"/>
        </w:rPr>
        <w:t>“</w:t>
      </w:r>
      <w:r w:rsidR="008B079B">
        <w:rPr>
          <w:rFonts w:ascii="Tahoma" w:hAnsi="Tahoma" w:cs="Tahoma"/>
          <w:sz w:val="22"/>
        </w:rPr>
        <w:br/>
      </w:r>
    </w:p>
    <w:p w:rsidR="001716C0" w:rsidRDefault="001716C0">
      <w:pPr>
        <w:rPr>
          <w:lang w:val="de-AT"/>
        </w:rPr>
      </w:pPr>
      <w:r>
        <w:rPr>
          <w:lang w:val="de-AT"/>
        </w:rPr>
        <w:t>Die RespondentInnen verweisen in ihren ergänzenden Anmerkungen etwa auf die Standards der derzeitigen Wohnversorgung in Bezug auf Wohnungsgröße gemessen an der Anzahl der Haushaltsmitglieder, auf die Wohnkosten in Bezug zum Haushaltseinkommen, auf die Woh</w:t>
      </w:r>
      <w:r>
        <w:rPr>
          <w:lang w:val="de-AT"/>
        </w:rPr>
        <w:t>n</w:t>
      </w:r>
      <w:r>
        <w:rPr>
          <w:lang w:val="de-AT"/>
        </w:rPr>
        <w:t>qualität in Bezug auf besondere Bedürfnisse von behinderten oder pflegebedürftigen Hau</w:t>
      </w:r>
      <w:r>
        <w:rPr>
          <w:lang w:val="de-AT"/>
        </w:rPr>
        <w:t>s</w:t>
      </w:r>
      <w:r>
        <w:rPr>
          <w:lang w:val="de-AT"/>
        </w:rPr>
        <w:lastRenderedPageBreak/>
        <w:t>haltsmitgliedern bzw. auf drohende oder akute Wohnungslosigkeit (NutzerInnen von Nächt</w:t>
      </w:r>
      <w:r>
        <w:rPr>
          <w:lang w:val="de-AT"/>
        </w:rPr>
        <w:t>i</w:t>
      </w:r>
      <w:r>
        <w:rPr>
          <w:lang w:val="de-AT"/>
        </w:rPr>
        <w:t>gungsangeboten in Notschlafstellen, bevorstehende Delogierung</w:t>
      </w:r>
      <w:r w:rsidR="00640402">
        <w:rPr>
          <w:lang w:val="de-AT"/>
        </w:rPr>
        <w:t xml:space="preserve"> etc.) und heben damit </w:t>
      </w:r>
      <w:r w:rsidR="00C63F08">
        <w:rPr>
          <w:lang w:val="de-AT"/>
        </w:rPr>
        <w:t>insb</w:t>
      </w:r>
      <w:r w:rsidR="00C63F08">
        <w:rPr>
          <w:lang w:val="de-AT"/>
        </w:rPr>
        <w:t>e</w:t>
      </w:r>
      <w:r w:rsidR="00C63F08">
        <w:rPr>
          <w:lang w:val="de-AT"/>
        </w:rPr>
        <w:t>sondere</w:t>
      </w:r>
      <w:r w:rsidR="00640402">
        <w:rPr>
          <w:lang w:val="de-AT"/>
        </w:rPr>
        <w:t xml:space="preserve"> soziale Kriterien der Dringlichkeit einer Wohnversorgung hervor. </w:t>
      </w:r>
      <w:r w:rsidR="00640402">
        <w:rPr>
          <w:lang w:val="de-AT"/>
        </w:rPr>
        <w:br/>
      </w:r>
    </w:p>
    <w:p w:rsidR="004607EA" w:rsidRPr="00CB5173" w:rsidRDefault="004607EA" w:rsidP="00CB5173">
      <w:pPr>
        <w:pStyle w:val="Listenabsatz"/>
        <w:numPr>
          <w:ilvl w:val="2"/>
          <w:numId w:val="32"/>
        </w:numPr>
        <w:rPr>
          <w:u w:val="single"/>
          <w:lang w:eastAsia="en-US"/>
        </w:rPr>
      </w:pPr>
      <w:r w:rsidRPr="00CB5173">
        <w:rPr>
          <w:u w:val="single"/>
          <w:lang w:eastAsia="en-US"/>
        </w:rPr>
        <w:t>Zugang zu öffentlichem Wohnraum – regionale / kommunale Fallbeispiele</w:t>
      </w:r>
      <w:r w:rsidR="000D5266" w:rsidRPr="00CB5173">
        <w:rPr>
          <w:u w:val="single"/>
          <w:lang w:eastAsia="en-US"/>
        </w:rPr>
        <w:br/>
      </w:r>
    </w:p>
    <w:p w:rsidR="00AA7F04" w:rsidRDefault="00A43AD7" w:rsidP="00AA7F04">
      <w:pPr>
        <w:rPr>
          <w:lang w:val="de-AT" w:eastAsia="en-US"/>
        </w:rPr>
      </w:pPr>
      <w:r>
        <w:rPr>
          <w:lang w:val="de-AT" w:eastAsia="en-US"/>
        </w:rPr>
        <w:t xml:space="preserve">Der differenzierte Blick auf die Regeln und Vorsorgen für die </w:t>
      </w:r>
      <w:r w:rsidR="00E96D88">
        <w:rPr>
          <w:lang w:val="de-AT" w:eastAsia="en-US"/>
        </w:rPr>
        <w:t>Zugänglichkeit von leistbaren Wohnungen in den ausgewählten kommunalen und regionalen Modellregionen unterstreicht die oben vorgestellten Ergebnisse der Online-Befragung sowie die ergänzenden Einschätzu</w:t>
      </w:r>
      <w:r w:rsidR="00E96D88">
        <w:rPr>
          <w:lang w:val="de-AT" w:eastAsia="en-US"/>
        </w:rPr>
        <w:t>n</w:t>
      </w:r>
      <w:r w:rsidR="00E96D88">
        <w:rPr>
          <w:lang w:val="de-AT" w:eastAsia="en-US"/>
        </w:rPr>
        <w:t xml:space="preserve">gen einzelner RespondentInnen und </w:t>
      </w:r>
      <w:r w:rsidR="00CB5173">
        <w:rPr>
          <w:lang w:val="de-AT" w:eastAsia="en-US"/>
        </w:rPr>
        <w:t>wirft</w:t>
      </w:r>
      <w:r w:rsidR="00E96D88">
        <w:rPr>
          <w:lang w:val="de-AT" w:eastAsia="en-US"/>
        </w:rPr>
        <w:t xml:space="preserve"> ein bezeichnendes Licht auf die Umsetzung der Gleichbehandlungsnormen hinsichtlich des öffentlichen Wohnraums in Österreich.</w:t>
      </w:r>
    </w:p>
    <w:p w:rsidR="000F5F55" w:rsidRDefault="000F5F55" w:rsidP="00AA7F04">
      <w:pPr>
        <w:rPr>
          <w:lang w:val="de-AT" w:eastAsia="en-US"/>
        </w:rPr>
      </w:pPr>
      <w:r>
        <w:rPr>
          <w:lang w:val="de-AT" w:eastAsia="en-US"/>
        </w:rPr>
        <w:t xml:space="preserve">Gemeinsam ist den Regionen Niederösterreich und Tirol sowie den Städten Bregenz, Linz und Wien einerseits das große Bemühen um Gleichbehandlung und Integration. Anderseits finden sich in allen Bereichen z.T. einschneidende Ursachen für Benachteiligung. </w:t>
      </w:r>
    </w:p>
    <w:p w:rsidR="000F5F55" w:rsidRDefault="000F5F55" w:rsidP="00AA7F04">
      <w:pPr>
        <w:rPr>
          <w:lang w:val="de-AT" w:eastAsia="en-US"/>
        </w:rPr>
      </w:pPr>
      <w:r>
        <w:rPr>
          <w:lang w:val="de-AT" w:eastAsia="en-US"/>
        </w:rPr>
        <w:t xml:space="preserve">Das betrifft in allen Regionen den (weitgehenden) Ausschluss von Drittstaatsangehörigen aus dem Segment des geförderten </w:t>
      </w:r>
      <w:r w:rsidR="00CB5173">
        <w:rPr>
          <w:lang w:val="de-AT" w:eastAsia="en-US"/>
        </w:rPr>
        <w:t>Wohneigentums</w:t>
      </w:r>
      <w:r>
        <w:rPr>
          <w:lang w:val="de-AT" w:eastAsia="en-US"/>
        </w:rPr>
        <w:t>, insbesondere in den ländlichen Regionen Ö</w:t>
      </w:r>
      <w:r>
        <w:rPr>
          <w:lang w:val="de-AT" w:eastAsia="en-US"/>
        </w:rPr>
        <w:t>s</w:t>
      </w:r>
      <w:r>
        <w:rPr>
          <w:lang w:val="de-AT" w:eastAsia="en-US"/>
        </w:rPr>
        <w:t xml:space="preserve">terreichs </w:t>
      </w:r>
      <w:r w:rsidR="00CB5173">
        <w:rPr>
          <w:lang w:val="de-AT" w:eastAsia="en-US"/>
        </w:rPr>
        <w:t>kommt diesem</w:t>
      </w:r>
      <w:r>
        <w:rPr>
          <w:lang w:val="de-AT" w:eastAsia="en-US"/>
        </w:rPr>
        <w:t xml:space="preserve"> Bereich der Wohnbauförderung </w:t>
      </w:r>
      <w:r w:rsidR="00CB5173">
        <w:rPr>
          <w:lang w:val="de-AT" w:eastAsia="en-US"/>
        </w:rPr>
        <w:t>höchste</w:t>
      </w:r>
      <w:r>
        <w:rPr>
          <w:lang w:val="de-AT" w:eastAsia="en-US"/>
        </w:rPr>
        <w:t xml:space="preserve"> </w:t>
      </w:r>
      <w:r w:rsidR="00CB5173">
        <w:rPr>
          <w:lang w:val="de-AT" w:eastAsia="en-US"/>
        </w:rPr>
        <w:t>Priorität zu</w:t>
      </w:r>
      <w:r>
        <w:rPr>
          <w:lang w:val="de-AT" w:eastAsia="en-US"/>
        </w:rPr>
        <w:t>. Nachdem vor wenigen Jahren</w:t>
      </w:r>
      <w:r w:rsidR="00864CD6">
        <w:rPr>
          <w:lang w:val="de-AT" w:eastAsia="en-US"/>
        </w:rPr>
        <w:t>,</w:t>
      </w:r>
      <w:r>
        <w:rPr>
          <w:lang w:val="de-AT" w:eastAsia="en-US"/>
        </w:rPr>
        <w:t xml:space="preserve"> entsprechend der </w:t>
      </w:r>
      <w:r w:rsidR="00512A37">
        <w:rPr>
          <w:lang w:val="de-AT" w:eastAsia="en-US"/>
        </w:rPr>
        <w:t>gleichbehandlungsrelev</w:t>
      </w:r>
      <w:r w:rsidR="00CB5173">
        <w:rPr>
          <w:lang w:val="de-AT" w:eastAsia="en-US"/>
        </w:rPr>
        <w:t>a</w:t>
      </w:r>
      <w:r w:rsidR="00121898">
        <w:rPr>
          <w:lang w:val="de-AT" w:eastAsia="en-US"/>
        </w:rPr>
        <w:t>nten Richtlinie</w:t>
      </w:r>
      <w:r w:rsidR="00864CD6">
        <w:rPr>
          <w:lang w:val="de-AT" w:eastAsia="en-US"/>
        </w:rPr>
        <w:t>n</w:t>
      </w:r>
      <w:r w:rsidR="00512A37">
        <w:rPr>
          <w:lang w:val="de-AT" w:eastAsia="en-US"/>
        </w:rPr>
        <w:t xml:space="preserve"> </w:t>
      </w:r>
      <w:r>
        <w:rPr>
          <w:lang w:val="de-AT" w:eastAsia="en-US"/>
        </w:rPr>
        <w:t>der EU</w:t>
      </w:r>
      <w:r w:rsidR="00864CD6">
        <w:rPr>
          <w:lang w:val="de-AT" w:eastAsia="en-US"/>
        </w:rPr>
        <w:t>,</w:t>
      </w:r>
      <w:r w:rsidR="00CB5173">
        <w:rPr>
          <w:lang w:val="de-AT" w:eastAsia="en-US"/>
        </w:rPr>
        <w:t xml:space="preserve"> </w:t>
      </w:r>
      <w:r>
        <w:rPr>
          <w:lang w:val="de-AT" w:eastAsia="en-US"/>
        </w:rPr>
        <w:t xml:space="preserve">die </w:t>
      </w:r>
      <w:r w:rsidR="00864CD6">
        <w:rPr>
          <w:lang w:val="de-AT" w:eastAsia="en-US"/>
        </w:rPr>
        <w:t>Mark</w:t>
      </w:r>
      <w:r w:rsidR="00864CD6">
        <w:rPr>
          <w:lang w:val="de-AT" w:eastAsia="en-US"/>
        </w:rPr>
        <w:t>t</w:t>
      </w:r>
      <w:r w:rsidR="00864CD6">
        <w:rPr>
          <w:lang w:val="de-AT" w:eastAsia="en-US"/>
        </w:rPr>
        <w:t>s</w:t>
      </w:r>
      <w:r>
        <w:rPr>
          <w:lang w:val="de-AT" w:eastAsia="en-US"/>
        </w:rPr>
        <w:t>egmente der Gemeinde- und der geförderten Mietwohnungen zugänglich gemacht wurden, konzentriert sich der Zugang von Haushalten mit Migrationshintergrund</w:t>
      </w:r>
      <w:r w:rsidR="00864CD6">
        <w:rPr>
          <w:lang w:val="de-AT" w:eastAsia="en-US"/>
        </w:rPr>
        <w:t xml:space="preserve"> auf diese</w:t>
      </w:r>
      <w:r w:rsidR="00512A37">
        <w:rPr>
          <w:lang w:val="de-AT" w:eastAsia="en-US"/>
        </w:rPr>
        <w:t xml:space="preserve"> Teilbereich</w:t>
      </w:r>
      <w:r w:rsidR="00864CD6">
        <w:rPr>
          <w:lang w:val="de-AT" w:eastAsia="en-US"/>
        </w:rPr>
        <w:t>e</w:t>
      </w:r>
      <w:r w:rsidR="00512A37">
        <w:rPr>
          <w:lang w:val="de-AT" w:eastAsia="en-US"/>
        </w:rPr>
        <w:t xml:space="preserve"> des Wohnungsmarktes</w:t>
      </w:r>
      <w:r>
        <w:rPr>
          <w:lang w:val="de-AT" w:eastAsia="en-US"/>
        </w:rPr>
        <w:t xml:space="preserve">. </w:t>
      </w:r>
    </w:p>
    <w:p w:rsidR="000F5F55" w:rsidRDefault="000F5F55" w:rsidP="00AA7F04">
      <w:pPr>
        <w:rPr>
          <w:lang w:val="de-AT" w:eastAsia="en-US"/>
        </w:rPr>
      </w:pPr>
      <w:r>
        <w:rPr>
          <w:lang w:val="de-AT" w:eastAsia="en-US"/>
        </w:rPr>
        <w:t>Von großer Bedeutung sind weiters die Regelungen zur finanziellen Förderung von Wohn</w:t>
      </w:r>
      <w:r w:rsidR="00121898">
        <w:rPr>
          <w:lang w:val="de-AT" w:eastAsia="en-US"/>
        </w:rPr>
        <w:softHyphen/>
      </w:r>
      <w:r>
        <w:rPr>
          <w:lang w:val="de-AT" w:eastAsia="en-US"/>
        </w:rPr>
        <w:t xml:space="preserve">kosten – mit weitreichenden Unterschieden in den entsprechenden Länderregelungen bzw. </w:t>
      </w:r>
      <w:r w:rsidR="00121898">
        <w:rPr>
          <w:lang w:val="de-AT" w:eastAsia="en-US"/>
        </w:rPr>
        <w:br/>
      </w:r>
      <w:r>
        <w:rPr>
          <w:lang w:val="de-AT" w:eastAsia="en-US"/>
        </w:rPr>
        <w:t>der Ausführung auf der Ebene der Gemeinden.</w:t>
      </w:r>
    </w:p>
    <w:p w:rsidR="00E96D88" w:rsidRPr="00AA7F04" w:rsidRDefault="000F5F55" w:rsidP="00AA7F04">
      <w:pPr>
        <w:rPr>
          <w:lang w:val="de-AT" w:eastAsia="en-US"/>
        </w:rPr>
      </w:pPr>
      <w:r>
        <w:rPr>
          <w:lang w:val="de-AT" w:eastAsia="en-US"/>
        </w:rPr>
        <w:t>Die nachstehenden Fallbeispiele geben in Stichworten einen Überblick über die jeweilige regio</w:t>
      </w:r>
      <w:r w:rsidR="00121898">
        <w:rPr>
          <w:lang w:val="de-AT" w:eastAsia="en-US"/>
        </w:rPr>
        <w:softHyphen/>
      </w:r>
      <w:r>
        <w:rPr>
          <w:lang w:val="de-AT" w:eastAsia="en-US"/>
        </w:rPr>
        <w:t>nale Besonderhei</w:t>
      </w:r>
      <w:r w:rsidR="00056557">
        <w:rPr>
          <w:lang w:val="de-AT" w:eastAsia="en-US"/>
        </w:rPr>
        <w:t xml:space="preserve">t bezüglich </w:t>
      </w:r>
      <w:r w:rsidR="00CB5173">
        <w:rPr>
          <w:lang w:val="de-AT" w:eastAsia="en-US"/>
        </w:rPr>
        <w:t xml:space="preserve">des </w:t>
      </w:r>
      <w:r w:rsidR="00056557">
        <w:rPr>
          <w:lang w:val="de-AT" w:eastAsia="en-US"/>
        </w:rPr>
        <w:t>Zugang</w:t>
      </w:r>
      <w:r w:rsidR="00CB5173">
        <w:rPr>
          <w:lang w:val="de-AT" w:eastAsia="en-US"/>
        </w:rPr>
        <w:t>s</w:t>
      </w:r>
      <w:r w:rsidR="00056557">
        <w:rPr>
          <w:lang w:val="de-AT" w:eastAsia="en-US"/>
        </w:rPr>
        <w:t xml:space="preserve"> zu leistbaren öffentlich geförderten</w:t>
      </w:r>
      <w:r>
        <w:rPr>
          <w:lang w:val="de-AT" w:eastAsia="en-US"/>
        </w:rPr>
        <w:t xml:space="preserve"> Wohn</w:t>
      </w:r>
      <w:r w:rsidR="00056557">
        <w:rPr>
          <w:lang w:val="de-AT" w:eastAsia="en-US"/>
        </w:rPr>
        <w:t>ungen</w:t>
      </w:r>
      <w:r>
        <w:rPr>
          <w:lang w:val="de-AT" w:eastAsia="en-US"/>
        </w:rPr>
        <w:t>.</w:t>
      </w:r>
      <w:r w:rsidR="003D3E84">
        <w:rPr>
          <w:lang w:val="de-AT" w:eastAsia="en-US"/>
        </w:rPr>
        <w:br/>
      </w:r>
    </w:p>
    <w:p w:rsidR="00CB5173" w:rsidRDefault="00CB5173">
      <w:pPr>
        <w:spacing w:before="180" w:after="240" w:line="336" w:lineRule="auto"/>
        <w:jc w:val="center"/>
        <w:rPr>
          <w:u w:val="single"/>
          <w:lang w:eastAsia="en-US"/>
        </w:rPr>
      </w:pPr>
      <w:r>
        <w:rPr>
          <w:u w:val="single"/>
          <w:lang w:eastAsia="en-US"/>
        </w:rPr>
        <w:br w:type="page"/>
      </w:r>
    </w:p>
    <w:p w:rsidR="006649E4" w:rsidRPr="000F5F55" w:rsidRDefault="006649E4" w:rsidP="006649E4">
      <w:pPr>
        <w:rPr>
          <w:u w:val="single"/>
          <w:lang w:eastAsia="en-US"/>
        </w:rPr>
      </w:pPr>
      <w:r w:rsidRPr="000F5F55">
        <w:rPr>
          <w:u w:val="single"/>
          <w:lang w:eastAsia="en-US"/>
        </w:rPr>
        <w:lastRenderedPageBreak/>
        <w:t>Fallbeispiel Bregenz</w:t>
      </w:r>
    </w:p>
    <w:tbl>
      <w:tblPr>
        <w:tblStyle w:val="Tabellengitternetz"/>
        <w:tblW w:w="0" w:type="auto"/>
        <w:tblLook w:val="04A0"/>
      </w:tblPr>
      <w:tblGrid>
        <w:gridCol w:w="1668"/>
        <w:gridCol w:w="7620"/>
      </w:tblGrid>
      <w:tr w:rsidR="006649E4" w:rsidRPr="00DA5171" w:rsidTr="004F6230">
        <w:tc>
          <w:tcPr>
            <w:tcW w:w="1668" w:type="dxa"/>
          </w:tcPr>
          <w:p w:rsidR="00587957" w:rsidRDefault="006649E4" w:rsidP="00044AF0">
            <w:pPr>
              <w:spacing w:beforeLines="40" w:afterLines="40" w:line="240" w:lineRule="auto"/>
              <w:rPr>
                <w:sz w:val="20"/>
              </w:rPr>
            </w:pPr>
            <w:r w:rsidRPr="00B92AB2">
              <w:rPr>
                <w:sz w:val="20"/>
              </w:rPr>
              <w:t>Zugang zu g</w:t>
            </w:r>
            <w:r w:rsidRPr="00B92AB2">
              <w:rPr>
                <w:sz w:val="20"/>
              </w:rPr>
              <w:t>e</w:t>
            </w:r>
            <w:r w:rsidRPr="00B92AB2">
              <w:rPr>
                <w:sz w:val="20"/>
              </w:rPr>
              <w:t>förderten Mie</w:t>
            </w:r>
            <w:r w:rsidRPr="00B92AB2">
              <w:rPr>
                <w:sz w:val="20"/>
              </w:rPr>
              <w:t>t</w:t>
            </w:r>
            <w:r w:rsidRPr="00B92AB2">
              <w:rPr>
                <w:sz w:val="20"/>
              </w:rPr>
              <w:t>wohnungen</w:t>
            </w:r>
          </w:p>
        </w:tc>
        <w:tc>
          <w:tcPr>
            <w:tcW w:w="7620" w:type="dxa"/>
          </w:tcPr>
          <w:p w:rsidR="00587957" w:rsidRDefault="005A23D7" w:rsidP="00044AF0">
            <w:pPr>
              <w:spacing w:beforeLines="40" w:afterLines="40" w:line="240" w:lineRule="auto"/>
              <w:jc w:val="left"/>
              <w:rPr>
                <w:i/>
                <w:sz w:val="20"/>
                <w:szCs w:val="20"/>
              </w:rPr>
            </w:pPr>
            <w:r>
              <w:rPr>
                <w:i/>
                <w:sz w:val="20"/>
                <w:szCs w:val="20"/>
                <w:u w:val="single"/>
              </w:rPr>
              <w:t>Sozialverwaltung</w:t>
            </w:r>
            <w:r>
              <w:rPr>
                <w:i/>
                <w:sz w:val="20"/>
                <w:szCs w:val="20"/>
              </w:rPr>
              <w:t xml:space="preserve">: </w:t>
            </w:r>
            <w:r w:rsidR="006649E4" w:rsidRPr="000F5F55">
              <w:rPr>
                <w:i/>
                <w:sz w:val="20"/>
                <w:szCs w:val="20"/>
              </w:rPr>
              <w:t>Oberste Norm der Vergaberegeln in Bregenz (seit 2008 in Kraft) ist die Förderwürdigkeit der WohnungswerberInnen. Die Förderwürdigkeit wird gemäß der Definition im Wohnbauförderungsgesetz des Landes bestimmt und en</w:t>
            </w:r>
            <w:r w:rsidR="006649E4" w:rsidRPr="000F5F55">
              <w:rPr>
                <w:i/>
                <w:sz w:val="20"/>
                <w:szCs w:val="20"/>
              </w:rPr>
              <w:t>t</w:t>
            </w:r>
            <w:r w:rsidR="006649E4" w:rsidRPr="000F5F55">
              <w:rPr>
                <w:i/>
                <w:sz w:val="20"/>
                <w:szCs w:val="20"/>
              </w:rPr>
              <w:t xml:space="preserve">scheidet darüber, ob ein Antrag berücksichtigt werden kann oder nicht. </w:t>
            </w:r>
          </w:p>
          <w:p w:rsidR="001E30B4" w:rsidRDefault="006649E4" w:rsidP="00044AF0">
            <w:pPr>
              <w:spacing w:beforeLines="40" w:afterLines="40" w:line="240" w:lineRule="auto"/>
              <w:jc w:val="left"/>
              <w:rPr>
                <w:i/>
                <w:sz w:val="20"/>
                <w:szCs w:val="20"/>
              </w:rPr>
            </w:pPr>
            <w:r w:rsidRPr="000F5F55">
              <w:rPr>
                <w:i/>
                <w:sz w:val="20"/>
                <w:szCs w:val="20"/>
              </w:rPr>
              <w:t>Förderwürdig sind ÖsterreicherInnen und Gleichgestellte sowie Personen mit leg</w:t>
            </w:r>
            <w:r w:rsidRPr="000F5F55">
              <w:rPr>
                <w:i/>
                <w:sz w:val="20"/>
                <w:szCs w:val="20"/>
              </w:rPr>
              <w:t>a</w:t>
            </w:r>
            <w:r w:rsidRPr="000F5F55">
              <w:rPr>
                <w:i/>
                <w:sz w:val="20"/>
                <w:szCs w:val="20"/>
              </w:rPr>
              <w:t>lem Aufenthaltstitel.</w:t>
            </w:r>
            <w:r w:rsidR="008C040E" w:rsidRPr="000F5F55">
              <w:rPr>
                <w:i/>
                <w:sz w:val="20"/>
                <w:szCs w:val="20"/>
              </w:rPr>
              <w:t xml:space="preserve"> </w:t>
            </w:r>
          </w:p>
          <w:p w:rsidR="001E30B4" w:rsidRDefault="004F6230" w:rsidP="00044AF0">
            <w:pPr>
              <w:spacing w:beforeLines="40" w:afterLines="40" w:line="240" w:lineRule="auto"/>
              <w:jc w:val="left"/>
              <w:rPr>
                <w:i/>
                <w:sz w:val="20"/>
                <w:szCs w:val="20"/>
              </w:rPr>
            </w:pPr>
            <w:r>
              <w:rPr>
                <w:i/>
                <w:sz w:val="20"/>
                <w:szCs w:val="20"/>
              </w:rPr>
              <w:t>Seit Juni 2011 sind gemäß Novellierung des Wohnbauförderungsgesetzes durch die Vorarlberger Landesregierung ausreichende Sprachkenntnisse als Zugangsvorau</w:t>
            </w:r>
            <w:r>
              <w:rPr>
                <w:i/>
                <w:sz w:val="20"/>
                <w:szCs w:val="20"/>
              </w:rPr>
              <w:t>s</w:t>
            </w:r>
            <w:r>
              <w:rPr>
                <w:i/>
                <w:sz w:val="20"/>
                <w:szCs w:val="20"/>
              </w:rPr>
              <w:t>setzung erforderlich.</w:t>
            </w:r>
            <w:r w:rsidR="009811B6">
              <w:rPr>
                <w:i/>
                <w:sz w:val="20"/>
                <w:szCs w:val="20"/>
              </w:rPr>
              <w:t xml:space="preserve"> Art der Überprüfung sowie Auswirkungen auf die Vergabepr</w:t>
            </w:r>
            <w:r w:rsidR="009811B6">
              <w:rPr>
                <w:i/>
                <w:sz w:val="20"/>
                <w:szCs w:val="20"/>
              </w:rPr>
              <w:t>a</w:t>
            </w:r>
            <w:r w:rsidR="009811B6">
              <w:rPr>
                <w:i/>
                <w:sz w:val="20"/>
                <w:szCs w:val="20"/>
              </w:rPr>
              <w:t>xis können derzeit noch nicht beurteilt werden.</w:t>
            </w:r>
          </w:p>
          <w:p w:rsidR="001E30B4" w:rsidRDefault="006649E4" w:rsidP="00044AF0">
            <w:pPr>
              <w:spacing w:beforeLines="40" w:afterLines="40" w:line="240" w:lineRule="auto"/>
              <w:jc w:val="left"/>
              <w:rPr>
                <w:i/>
                <w:sz w:val="20"/>
                <w:szCs w:val="20"/>
              </w:rPr>
            </w:pPr>
            <w:r w:rsidRPr="004F6230">
              <w:rPr>
                <w:i/>
                <w:sz w:val="20"/>
                <w:szCs w:val="20"/>
              </w:rPr>
              <w:t>Weitere Aspekte im Zusammenhang mit dem Migrationshintergrund (wie Staat</w:t>
            </w:r>
            <w:r w:rsidRPr="004F6230">
              <w:rPr>
                <w:i/>
                <w:sz w:val="20"/>
                <w:szCs w:val="20"/>
              </w:rPr>
              <w:t>s</w:t>
            </w:r>
            <w:r w:rsidRPr="004F6230">
              <w:rPr>
                <w:i/>
                <w:sz w:val="20"/>
                <w:szCs w:val="20"/>
              </w:rPr>
              <w:t>bürgerschaft, Religion etc.) spielen bei der Wohnungsvergabe keine Rolle</w:t>
            </w:r>
          </w:p>
        </w:tc>
      </w:tr>
      <w:tr w:rsidR="006649E4" w:rsidRPr="00DA5171" w:rsidTr="004F6230">
        <w:tc>
          <w:tcPr>
            <w:tcW w:w="1668" w:type="dxa"/>
          </w:tcPr>
          <w:p w:rsidR="00587957" w:rsidRDefault="006649E4" w:rsidP="00044AF0">
            <w:pPr>
              <w:spacing w:beforeLines="40" w:afterLines="40" w:line="240" w:lineRule="auto"/>
              <w:rPr>
                <w:sz w:val="20"/>
              </w:rPr>
            </w:pPr>
            <w:r w:rsidRPr="00B92AB2">
              <w:rPr>
                <w:sz w:val="20"/>
              </w:rPr>
              <w:t>Vergabe</w:t>
            </w:r>
          </w:p>
        </w:tc>
        <w:tc>
          <w:tcPr>
            <w:tcW w:w="7620" w:type="dxa"/>
          </w:tcPr>
          <w:p w:rsidR="00587957" w:rsidRDefault="005A23D7" w:rsidP="00044AF0">
            <w:pPr>
              <w:spacing w:beforeLines="40" w:afterLines="40" w:line="240" w:lineRule="auto"/>
              <w:jc w:val="left"/>
              <w:rPr>
                <w:i/>
                <w:sz w:val="20"/>
                <w:szCs w:val="20"/>
              </w:rPr>
            </w:pPr>
            <w:r w:rsidRPr="005A23D7">
              <w:rPr>
                <w:i/>
                <w:sz w:val="20"/>
                <w:szCs w:val="20"/>
                <w:u w:val="single"/>
              </w:rPr>
              <w:t>Wohnungsvergabe</w:t>
            </w:r>
            <w:r>
              <w:rPr>
                <w:i/>
                <w:sz w:val="20"/>
                <w:szCs w:val="20"/>
              </w:rPr>
              <w:t xml:space="preserve">: </w:t>
            </w:r>
            <w:r w:rsidR="006649E4" w:rsidRPr="000F5F55">
              <w:rPr>
                <w:i/>
                <w:sz w:val="20"/>
                <w:szCs w:val="20"/>
              </w:rPr>
              <w:t>Bei gegebener Förderwürdigkeit werden die spezifischen L</w:t>
            </w:r>
            <w:r w:rsidR="006649E4" w:rsidRPr="000F5F55">
              <w:rPr>
                <w:i/>
                <w:sz w:val="20"/>
                <w:szCs w:val="20"/>
              </w:rPr>
              <w:t>e</w:t>
            </w:r>
            <w:r w:rsidR="006649E4" w:rsidRPr="000F5F55">
              <w:rPr>
                <w:i/>
                <w:sz w:val="20"/>
                <w:szCs w:val="20"/>
              </w:rPr>
              <w:t>bensverhältnisse der WohnungswerberInnen wie Erwerbstätigkeit, Einkommen, Zusammensetzung des Haushaltes, Dringlichkeit der Wohnversorgung und Dauer der laufenden Beantragung analysiert und die Ergebnisse in einem Punktesystem bewertet.</w:t>
            </w:r>
          </w:p>
          <w:p w:rsidR="001E30B4" w:rsidRDefault="006649E4" w:rsidP="00044AF0">
            <w:pPr>
              <w:spacing w:beforeLines="40" w:afterLines="40" w:line="240" w:lineRule="auto"/>
              <w:jc w:val="left"/>
              <w:rPr>
                <w:i/>
                <w:sz w:val="20"/>
                <w:szCs w:val="20"/>
              </w:rPr>
            </w:pPr>
            <w:r w:rsidRPr="000F5F55">
              <w:rPr>
                <w:i/>
                <w:sz w:val="20"/>
                <w:szCs w:val="20"/>
                <w:lang w:val="de-AT"/>
              </w:rPr>
              <w:t xml:space="preserve">Seit 2008 gibt es für die Bewerbung um eine Wohnung in Bregenz </w:t>
            </w:r>
            <w:r w:rsidRPr="004F6230">
              <w:rPr>
                <w:i/>
                <w:sz w:val="20"/>
                <w:szCs w:val="20"/>
                <w:lang w:val="de-AT"/>
              </w:rPr>
              <w:t>keine Auflage hinsichtlich der Dauer des Aufenthalts im Gemeindegebiet</w:t>
            </w:r>
            <w:r w:rsidRPr="000F5F55">
              <w:rPr>
                <w:i/>
                <w:sz w:val="20"/>
                <w:szCs w:val="20"/>
                <w:lang w:val="de-AT"/>
              </w:rPr>
              <w:t>.</w:t>
            </w:r>
          </w:p>
        </w:tc>
      </w:tr>
      <w:tr w:rsidR="00163117" w:rsidRPr="00DA5171" w:rsidTr="004F6230">
        <w:tc>
          <w:tcPr>
            <w:tcW w:w="1668" w:type="dxa"/>
          </w:tcPr>
          <w:p w:rsidR="00587957" w:rsidRDefault="00163117" w:rsidP="00044AF0">
            <w:pPr>
              <w:spacing w:beforeLines="40" w:afterLines="40" w:line="240" w:lineRule="auto"/>
              <w:rPr>
                <w:sz w:val="20"/>
              </w:rPr>
            </w:pPr>
            <w:r w:rsidRPr="00B92AB2">
              <w:rPr>
                <w:sz w:val="20"/>
              </w:rPr>
              <w:t>Gefördertes Wohneigentum</w:t>
            </w:r>
          </w:p>
        </w:tc>
        <w:tc>
          <w:tcPr>
            <w:tcW w:w="7620" w:type="dxa"/>
          </w:tcPr>
          <w:p w:rsidR="00163117" w:rsidRPr="000F5F55" w:rsidRDefault="005A23D7" w:rsidP="00163117">
            <w:pPr>
              <w:spacing w:before="40" w:after="40" w:line="240" w:lineRule="auto"/>
              <w:jc w:val="left"/>
              <w:rPr>
                <w:i/>
                <w:sz w:val="20"/>
                <w:szCs w:val="20"/>
                <w:lang w:val="de-AT"/>
              </w:rPr>
            </w:pPr>
            <w:r w:rsidRPr="005A23D7">
              <w:rPr>
                <w:i/>
                <w:sz w:val="20"/>
                <w:szCs w:val="20"/>
                <w:u w:val="single"/>
                <w:lang w:val="de-AT"/>
              </w:rPr>
              <w:t>Integrationsbeauftragte</w:t>
            </w:r>
            <w:r>
              <w:rPr>
                <w:i/>
                <w:sz w:val="20"/>
                <w:szCs w:val="20"/>
                <w:lang w:val="de-AT"/>
              </w:rPr>
              <w:t xml:space="preserve"> </w:t>
            </w:r>
            <w:r w:rsidR="009811B6">
              <w:rPr>
                <w:i/>
                <w:sz w:val="20"/>
                <w:szCs w:val="20"/>
                <w:lang w:val="de-AT"/>
              </w:rPr>
              <w:t xml:space="preserve">stellt </w:t>
            </w:r>
            <w:r w:rsidR="00163117" w:rsidRPr="000F5F55">
              <w:rPr>
                <w:i/>
                <w:sz w:val="20"/>
                <w:szCs w:val="20"/>
                <w:lang w:val="de-AT"/>
              </w:rPr>
              <w:t>Beobachtungen z</w:t>
            </w:r>
            <w:r w:rsidR="009811B6">
              <w:rPr>
                <w:i/>
                <w:sz w:val="20"/>
                <w:szCs w:val="20"/>
                <w:lang w:val="de-AT"/>
              </w:rPr>
              <w:t>ur türkisch-stämmigen Community zur Diskussion:</w:t>
            </w:r>
            <w:r w:rsidR="00163117" w:rsidRPr="000F5F55">
              <w:rPr>
                <w:i/>
                <w:sz w:val="20"/>
                <w:szCs w:val="20"/>
                <w:lang w:val="de-AT"/>
              </w:rPr>
              <w:t xml:space="preserve"> </w:t>
            </w:r>
          </w:p>
          <w:p w:rsidR="00163117" w:rsidRPr="000F5F55" w:rsidRDefault="00163117" w:rsidP="00163117">
            <w:pPr>
              <w:spacing w:before="40" w:after="40" w:line="240" w:lineRule="auto"/>
              <w:jc w:val="left"/>
              <w:rPr>
                <w:i/>
                <w:sz w:val="20"/>
                <w:szCs w:val="20"/>
                <w:lang w:val="de-AT"/>
              </w:rPr>
            </w:pPr>
            <w:r w:rsidRPr="000F5F55">
              <w:rPr>
                <w:i/>
                <w:sz w:val="20"/>
                <w:szCs w:val="20"/>
                <w:lang w:val="de-AT"/>
              </w:rPr>
              <w:t xml:space="preserve">Das traditionelle Mehrgenerationen-Wohnen als bevorzugte Wohnform kommt deutlich ins Wackeln. Mehr und mehr versuchen </w:t>
            </w:r>
            <w:r w:rsidR="00C63F08">
              <w:rPr>
                <w:i/>
                <w:sz w:val="20"/>
                <w:szCs w:val="20"/>
                <w:lang w:val="de-AT"/>
              </w:rPr>
              <w:t>insbesondere</w:t>
            </w:r>
            <w:r w:rsidRPr="000F5F55">
              <w:rPr>
                <w:i/>
                <w:sz w:val="20"/>
                <w:szCs w:val="20"/>
                <w:lang w:val="de-AT"/>
              </w:rPr>
              <w:t xml:space="preserve"> jüngere Familien, sich aus der räumlichen Nähe zur Familie zu verselbstständigen.</w:t>
            </w:r>
          </w:p>
          <w:p w:rsidR="00587957" w:rsidRDefault="00163117" w:rsidP="00044AF0">
            <w:pPr>
              <w:spacing w:beforeLines="40" w:afterLines="40" w:line="240" w:lineRule="auto"/>
              <w:jc w:val="left"/>
              <w:rPr>
                <w:i/>
                <w:sz w:val="20"/>
                <w:szCs w:val="20"/>
                <w:lang w:val="de-AT"/>
              </w:rPr>
            </w:pPr>
            <w:r w:rsidRPr="000F5F55">
              <w:rPr>
                <w:i/>
                <w:sz w:val="20"/>
                <w:szCs w:val="20"/>
                <w:lang w:val="de-AT"/>
              </w:rPr>
              <w:t>Dementsprechend kommt es zu Veränderungen der Familien- und Haushaltsstru</w:t>
            </w:r>
            <w:r w:rsidRPr="000F5F55">
              <w:rPr>
                <w:i/>
                <w:sz w:val="20"/>
                <w:szCs w:val="20"/>
                <w:lang w:val="de-AT"/>
              </w:rPr>
              <w:t>k</w:t>
            </w:r>
            <w:r w:rsidRPr="000F5F55">
              <w:rPr>
                <w:i/>
                <w:sz w:val="20"/>
                <w:szCs w:val="20"/>
                <w:lang w:val="de-AT"/>
              </w:rPr>
              <w:t>tur, u.a. darauf zurückzuführen, dass sich Scheidungsrate, Kinderanzahl pro Familie etc. den Durchschnittswerten der Aufnahmegesellschaft tendenziell angleichen.</w:t>
            </w:r>
          </w:p>
          <w:p w:rsidR="00587957" w:rsidRDefault="00163117" w:rsidP="00044AF0">
            <w:pPr>
              <w:spacing w:beforeLines="40" w:afterLines="40" w:line="240" w:lineRule="auto"/>
              <w:jc w:val="left"/>
              <w:rPr>
                <w:i/>
                <w:sz w:val="20"/>
                <w:szCs w:val="20"/>
              </w:rPr>
            </w:pPr>
            <w:r w:rsidRPr="000F5F55">
              <w:rPr>
                <w:i/>
                <w:sz w:val="20"/>
                <w:szCs w:val="20"/>
                <w:lang w:val="de-AT"/>
              </w:rPr>
              <w:t>Viele türkische Haushalte sind inzwischen eingebürgert und haben die österreich</w:t>
            </w:r>
            <w:r w:rsidRPr="000F5F55">
              <w:rPr>
                <w:i/>
                <w:sz w:val="20"/>
                <w:szCs w:val="20"/>
                <w:lang w:val="de-AT"/>
              </w:rPr>
              <w:t>i</w:t>
            </w:r>
            <w:r w:rsidRPr="000F5F55">
              <w:rPr>
                <w:i/>
                <w:sz w:val="20"/>
                <w:szCs w:val="20"/>
                <w:lang w:val="de-AT"/>
              </w:rPr>
              <w:t>sche Staatsbürgerschaft erhalten. Damit haben sie Zugang zu geförderten Wo</w:t>
            </w:r>
            <w:r w:rsidRPr="000F5F55">
              <w:rPr>
                <w:i/>
                <w:sz w:val="20"/>
                <w:szCs w:val="20"/>
                <w:lang w:val="de-AT"/>
              </w:rPr>
              <w:t>h</w:t>
            </w:r>
            <w:r w:rsidRPr="000F5F55">
              <w:rPr>
                <w:i/>
                <w:sz w:val="20"/>
                <w:szCs w:val="20"/>
                <w:lang w:val="de-AT"/>
              </w:rPr>
              <w:t>nungen und orientieren sich neuerdings vermehrt an (gefördertem) Wohneige</w:t>
            </w:r>
            <w:r w:rsidRPr="000F5F55">
              <w:rPr>
                <w:i/>
                <w:sz w:val="20"/>
                <w:szCs w:val="20"/>
                <w:lang w:val="de-AT"/>
              </w:rPr>
              <w:t>n</w:t>
            </w:r>
            <w:r w:rsidRPr="000F5F55">
              <w:rPr>
                <w:i/>
                <w:sz w:val="20"/>
                <w:szCs w:val="20"/>
                <w:lang w:val="de-AT"/>
              </w:rPr>
              <w:t>tum.</w:t>
            </w:r>
          </w:p>
        </w:tc>
      </w:tr>
    </w:tbl>
    <w:p w:rsidR="000D5266" w:rsidRDefault="000D5266" w:rsidP="000D5266">
      <w:pPr>
        <w:rPr>
          <w:lang w:eastAsia="en-US"/>
        </w:rPr>
      </w:pPr>
    </w:p>
    <w:p w:rsidR="006649E4" w:rsidRPr="00163117" w:rsidRDefault="006649E4" w:rsidP="006649E4">
      <w:pPr>
        <w:rPr>
          <w:u w:val="single"/>
          <w:lang w:eastAsia="en-US"/>
        </w:rPr>
      </w:pPr>
      <w:r w:rsidRPr="00163117">
        <w:rPr>
          <w:u w:val="single"/>
          <w:lang w:eastAsia="en-US"/>
        </w:rPr>
        <w:t>Fallbeispiel Linz</w:t>
      </w:r>
      <w:r w:rsidR="00512A37">
        <w:rPr>
          <w:u w:val="single"/>
          <w:lang w:eastAsia="en-US"/>
        </w:rPr>
        <w:t xml:space="preserve"> / Oberösterreich</w:t>
      </w:r>
    </w:p>
    <w:tbl>
      <w:tblPr>
        <w:tblStyle w:val="Tabellengitternetz"/>
        <w:tblW w:w="0" w:type="auto"/>
        <w:tblLook w:val="04A0"/>
      </w:tblPr>
      <w:tblGrid>
        <w:gridCol w:w="1668"/>
        <w:gridCol w:w="7620"/>
      </w:tblGrid>
      <w:tr w:rsidR="006649E4" w:rsidRPr="00DA5171" w:rsidTr="004F6230">
        <w:tc>
          <w:tcPr>
            <w:tcW w:w="1668" w:type="dxa"/>
          </w:tcPr>
          <w:p w:rsidR="00587957" w:rsidRDefault="006649E4" w:rsidP="00044AF0">
            <w:pPr>
              <w:spacing w:beforeLines="40" w:afterLines="40" w:line="240" w:lineRule="auto"/>
              <w:rPr>
                <w:sz w:val="20"/>
              </w:rPr>
            </w:pPr>
            <w:r w:rsidRPr="00B92AB2">
              <w:rPr>
                <w:sz w:val="20"/>
              </w:rPr>
              <w:t>Zugang zu g</w:t>
            </w:r>
            <w:r w:rsidRPr="00B92AB2">
              <w:rPr>
                <w:sz w:val="20"/>
              </w:rPr>
              <w:t>e</w:t>
            </w:r>
            <w:r w:rsidRPr="00B92AB2">
              <w:rPr>
                <w:sz w:val="20"/>
              </w:rPr>
              <w:t>förderten Mie</w:t>
            </w:r>
            <w:r w:rsidRPr="00B92AB2">
              <w:rPr>
                <w:sz w:val="20"/>
              </w:rPr>
              <w:t>t</w:t>
            </w:r>
            <w:r w:rsidRPr="00B92AB2">
              <w:rPr>
                <w:sz w:val="20"/>
              </w:rPr>
              <w:t>wohnungen</w:t>
            </w:r>
          </w:p>
        </w:tc>
        <w:tc>
          <w:tcPr>
            <w:tcW w:w="7620" w:type="dxa"/>
          </w:tcPr>
          <w:p w:rsidR="001E30B4" w:rsidRDefault="00954B3B" w:rsidP="00044AF0">
            <w:pPr>
              <w:spacing w:beforeLines="40" w:afterLines="40" w:line="240" w:lineRule="auto"/>
              <w:jc w:val="left"/>
              <w:rPr>
                <w:i/>
                <w:sz w:val="20"/>
                <w:szCs w:val="20"/>
              </w:rPr>
            </w:pPr>
            <w:r w:rsidRPr="00954B3B">
              <w:rPr>
                <w:i/>
                <w:sz w:val="20"/>
                <w:szCs w:val="20"/>
                <w:u w:val="single"/>
              </w:rPr>
              <w:t>Gemeinnütziger Wohnbauträger</w:t>
            </w:r>
            <w:r>
              <w:rPr>
                <w:i/>
                <w:sz w:val="20"/>
                <w:szCs w:val="20"/>
              </w:rPr>
              <w:t xml:space="preserve">: </w:t>
            </w:r>
            <w:r w:rsidR="006649E4" w:rsidRPr="000F5F55">
              <w:rPr>
                <w:i/>
                <w:sz w:val="20"/>
                <w:szCs w:val="20"/>
              </w:rPr>
              <w:t>Die Wohnungsvergabe geschieht grundsätzlich durch Gemeinden, Städte und das Land, die ein Zuweisungsrecht haben. Die mei</w:t>
            </w:r>
            <w:r w:rsidR="006649E4" w:rsidRPr="000F5F55">
              <w:rPr>
                <w:i/>
                <w:sz w:val="20"/>
                <w:szCs w:val="20"/>
              </w:rPr>
              <w:t>s</w:t>
            </w:r>
            <w:r w:rsidR="006649E4" w:rsidRPr="000F5F55">
              <w:rPr>
                <w:i/>
                <w:sz w:val="20"/>
                <w:szCs w:val="20"/>
              </w:rPr>
              <w:t>ten Wohnungen werden so vergeben.</w:t>
            </w:r>
            <w:r w:rsidR="009811B6">
              <w:rPr>
                <w:i/>
                <w:sz w:val="20"/>
                <w:szCs w:val="20"/>
              </w:rPr>
              <w:t xml:space="preserve"> </w:t>
            </w:r>
            <w:r w:rsidR="006649E4" w:rsidRPr="000F5F55">
              <w:rPr>
                <w:i/>
                <w:sz w:val="20"/>
                <w:szCs w:val="20"/>
              </w:rPr>
              <w:t>Wenn von den Gemeinden kein/e Nachmi</w:t>
            </w:r>
            <w:r w:rsidR="006649E4" w:rsidRPr="000F5F55">
              <w:rPr>
                <w:i/>
                <w:sz w:val="20"/>
                <w:szCs w:val="20"/>
              </w:rPr>
              <w:t>e</w:t>
            </w:r>
            <w:r w:rsidR="006649E4" w:rsidRPr="000F5F55">
              <w:rPr>
                <w:i/>
                <w:sz w:val="20"/>
                <w:szCs w:val="20"/>
              </w:rPr>
              <w:t>terIn für eine freigewordene Wohnung genannt wird, erfolgt die Vergabe durch den gemeinnützigen Wohnbauträger.</w:t>
            </w:r>
          </w:p>
          <w:p w:rsidR="001E30B4" w:rsidRDefault="006649E4" w:rsidP="00044AF0">
            <w:pPr>
              <w:spacing w:beforeLines="40" w:afterLines="40" w:line="240" w:lineRule="auto"/>
              <w:jc w:val="left"/>
              <w:rPr>
                <w:i/>
                <w:sz w:val="20"/>
                <w:szCs w:val="20"/>
                <w:lang w:val="de-AT"/>
              </w:rPr>
            </w:pPr>
            <w:r w:rsidRPr="000F5F55">
              <w:rPr>
                <w:i/>
                <w:sz w:val="20"/>
                <w:szCs w:val="20"/>
                <w:lang w:val="de-AT"/>
              </w:rPr>
              <w:t>Die Berechtigung für eine Wohnungsvergabe ist grundsätzlich in den OÖ. Vergab</w:t>
            </w:r>
            <w:r w:rsidRPr="000F5F55">
              <w:rPr>
                <w:i/>
                <w:sz w:val="20"/>
                <w:szCs w:val="20"/>
                <w:lang w:val="de-AT"/>
              </w:rPr>
              <w:t>e</w:t>
            </w:r>
            <w:r w:rsidRPr="000F5F55">
              <w:rPr>
                <w:i/>
                <w:sz w:val="20"/>
                <w:szCs w:val="20"/>
                <w:lang w:val="de-AT"/>
              </w:rPr>
              <w:t xml:space="preserve">richtlinien geregelt, demnach können Wohnungen nur an </w:t>
            </w:r>
            <w:r w:rsidR="00E448CC">
              <w:rPr>
                <w:i/>
                <w:sz w:val="20"/>
                <w:szCs w:val="20"/>
                <w:lang w:val="de-AT"/>
              </w:rPr>
              <w:t xml:space="preserve">InländerInnen und </w:t>
            </w:r>
            <w:r w:rsidRPr="000F5F55">
              <w:rPr>
                <w:i/>
                <w:sz w:val="20"/>
                <w:szCs w:val="20"/>
                <w:lang w:val="de-AT"/>
              </w:rPr>
              <w:t>EWR</w:t>
            </w:r>
            <w:r w:rsidR="00E448CC">
              <w:rPr>
                <w:i/>
                <w:sz w:val="20"/>
                <w:szCs w:val="20"/>
                <w:lang w:val="de-AT"/>
              </w:rPr>
              <w:t>-</w:t>
            </w:r>
            <w:r w:rsidRPr="000F5F55">
              <w:rPr>
                <w:i/>
                <w:sz w:val="20"/>
                <w:szCs w:val="20"/>
                <w:lang w:val="de-AT"/>
              </w:rPr>
              <w:t xml:space="preserve">BürgerInnen, Konventionsflüchtlinge sowie Drittstaatsangehörige </w:t>
            </w:r>
            <w:r w:rsidR="00954B3B">
              <w:rPr>
                <w:i/>
                <w:sz w:val="20"/>
                <w:szCs w:val="20"/>
                <w:lang w:val="de-AT"/>
              </w:rPr>
              <w:t>mit Aufenthalt</w:t>
            </w:r>
            <w:r w:rsidR="00954B3B">
              <w:rPr>
                <w:i/>
                <w:sz w:val="20"/>
                <w:szCs w:val="20"/>
                <w:lang w:val="de-AT"/>
              </w:rPr>
              <w:t>s</w:t>
            </w:r>
            <w:r w:rsidR="00954B3B">
              <w:rPr>
                <w:i/>
                <w:sz w:val="20"/>
                <w:szCs w:val="20"/>
                <w:lang w:val="de-AT"/>
              </w:rPr>
              <w:t xml:space="preserve">verfestigung </w:t>
            </w:r>
            <w:r w:rsidRPr="000F5F55">
              <w:rPr>
                <w:i/>
                <w:sz w:val="20"/>
                <w:szCs w:val="20"/>
                <w:lang w:val="de-AT"/>
              </w:rPr>
              <w:t>vergeben werden.</w:t>
            </w:r>
            <w:r w:rsidR="009811B6">
              <w:rPr>
                <w:i/>
                <w:sz w:val="20"/>
                <w:szCs w:val="20"/>
                <w:lang w:val="de-AT"/>
              </w:rPr>
              <w:t xml:space="preserve"> Konventionsflüchtlinge sind bei der Definition von förderwürdigen Personen im Wohnbauförderungs</w:t>
            </w:r>
            <w:r w:rsidR="00864CD6">
              <w:rPr>
                <w:i/>
                <w:sz w:val="20"/>
                <w:szCs w:val="20"/>
                <w:lang w:val="de-AT"/>
              </w:rPr>
              <w:t>gesetz nicht explizit angeführt, haben jedoch bei einzelnen genossenschaftlichen Bauträgern uneingeschränkten Zugang zu geförderten Mietwohnungen.</w:t>
            </w:r>
          </w:p>
          <w:p w:rsidR="00864CD6" w:rsidRDefault="00864CD6" w:rsidP="00044AF0">
            <w:pPr>
              <w:spacing w:beforeLines="40" w:afterLines="40" w:line="240" w:lineRule="auto"/>
              <w:jc w:val="left"/>
              <w:rPr>
                <w:i/>
                <w:sz w:val="20"/>
                <w:szCs w:val="20"/>
                <w:lang w:val="de-AT"/>
              </w:rPr>
            </w:pPr>
            <w:r>
              <w:rPr>
                <w:i/>
                <w:sz w:val="20"/>
                <w:szCs w:val="20"/>
                <w:lang w:val="de-AT"/>
              </w:rPr>
              <w:t xml:space="preserve">Subsidiär Schutzberechtigte sind in nicht dezidiert </w:t>
            </w:r>
            <w:r w:rsidR="00543105">
              <w:rPr>
                <w:i/>
                <w:sz w:val="20"/>
                <w:szCs w:val="20"/>
                <w:lang w:val="de-AT"/>
              </w:rPr>
              <w:t xml:space="preserve">ausgeschlossen </w:t>
            </w:r>
            <w:r>
              <w:rPr>
                <w:i/>
                <w:sz w:val="20"/>
                <w:szCs w:val="20"/>
                <w:lang w:val="de-AT"/>
              </w:rPr>
              <w:t>und können bei einzelnen genossenschaftlichen Bauträgern einen Antrag auf Wohnversorgung ei</w:t>
            </w:r>
            <w:r>
              <w:rPr>
                <w:i/>
                <w:sz w:val="20"/>
                <w:szCs w:val="20"/>
                <w:lang w:val="de-AT"/>
              </w:rPr>
              <w:t>n</w:t>
            </w:r>
            <w:r>
              <w:rPr>
                <w:i/>
                <w:sz w:val="20"/>
                <w:szCs w:val="20"/>
                <w:lang w:val="de-AT"/>
              </w:rPr>
              <w:t>bringen.</w:t>
            </w:r>
          </w:p>
          <w:p w:rsidR="001E30B4" w:rsidRDefault="00954B3B" w:rsidP="00044AF0">
            <w:pPr>
              <w:spacing w:beforeLines="40" w:afterLines="40" w:line="240" w:lineRule="auto"/>
              <w:jc w:val="left"/>
              <w:rPr>
                <w:i/>
                <w:sz w:val="20"/>
                <w:szCs w:val="20"/>
              </w:rPr>
            </w:pPr>
            <w:r w:rsidRPr="00954B3B">
              <w:rPr>
                <w:i/>
                <w:sz w:val="20"/>
                <w:szCs w:val="20"/>
                <w:u w:val="single"/>
                <w:lang w:val="de-AT"/>
              </w:rPr>
              <w:lastRenderedPageBreak/>
              <w:t>Beratungseinrichtung</w:t>
            </w:r>
            <w:r>
              <w:rPr>
                <w:i/>
                <w:sz w:val="20"/>
                <w:szCs w:val="20"/>
                <w:lang w:val="de-AT"/>
              </w:rPr>
              <w:t xml:space="preserve">: </w:t>
            </w:r>
            <w:r w:rsidR="003263BE">
              <w:rPr>
                <w:i/>
                <w:sz w:val="20"/>
                <w:szCs w:val="20"/>
                <w:lang w:val="de-AT"/>
              </w:rPr>
              <w:t xml:space="preserve">Gemäß Informationen von InterviewpartnerInnen wird auch bei Anträgen von Konventionsflüchtlingen ein </w:t>
            </w:r>
            <w:r>
              <w:rPr>
                <w:i/>
                <w:sz w:val="20"/>
                <w:szCs w:val="20"/>
                <w:lang w:val="de-AT"/>
              </w:rPr>
              <w:t xml:space="preserve">langfristiger </w:t>
            </w:r>
            <w:r w:rsidR="003263BE">
              <w:rPr>
                <w:i/>
                <w:sz w:val="20"/>
                <w:szCs w:val="20"/>
                <w:lang w:val="de-AT"/>
              </w:rPr>
              <w:t>Wohnsitz vorausgesetzt.</w:t>
            </w:r>
            <w:r w:rsidR="00543105">
              <w:rPr>
                <w:i/>
                <w:sz w:val="20"/>
                <w:szCs w:val="20"/>
                <w:lang w:val="de-AT"/>
              </w:rPr>
              <w:t xml:space="preserve"> In diesen Fällen ist eine entsprechende Intervention durch die Beratungsstelle e</w:t>
            </w:r>
            <w:r w:rsidR="00543105">
              <w:rPr>
                <w:i/>
                <w:sz w:val="20"/>
                <w:szCs w:val="20"/>
                <w:lang w:val="de-AT"/>
              </w:rPr>
              <w:t>r</w:t>
            </w:r>
            <w:r w:rsidR="00543105">
              <w:rPr>
                <w:i/>
                <w:sz w:val="20"/>
                <w:szCs w:val="20"/>
                <w:lang w:val="de-AT"/>
              </w:rPr>
              <w:t>forderlich, damit der Antrag angenommen und bearbeitet wird.</w:t>
            </w:r>
          </w:p>
        </w:tc>
      </w:tr>
      <w:tr w:rsidR="006649E4" w:rsidRPr="00DA5171" w:rsidTr="004F6230">
        <w:tc>
          <w:tcPr>
            <w:tcW w:w="1668" w:type="dxa"/>
          </w:tcPr>
          <w:p w:rsidR="00587957" w:rsidRDefault="006649E4" w:rsidP="00044AF0">
            <w:pPr>
              <w:spacing w:beforeLines="40" w:afterLines="40" w:line="240" w:lineRule="auto"/>
              <w:rPr>
                <w:sz w:val="20"/>
                <w:szCs w:val="24"/>
              </w:rPr>
            </w:pPr>
            <w:r w:rsidRPr="00B92AB2">
              <w:rPr>
                <w:sz w:val="20"/>
              </w:rPr>
              <w:lastRenderedPageBreak/>
              <w:t>Vergabe</w:t>
            </w:r>
          </w:p>
        </w:tc>
        <w:tc>
          <w:tcPr>
            <w:tcW w:w="7620" w:type="dxa"/>
          </w:tcPr>
          <w:p w:rsidR="00587957" w:rsidRDefault="00954B3B" w:rsidP="00044AF0">
            <w:pPr>
              <w:spacing w:beforeLines="40" w:afterLines="40" w:line="240" w:lineRule="auto"/>
              <w:jc w:val="left"/>
              <w:rPr>
                <w:i/>
                <w:sz w:val="20"/>
                <w:szCs w:val="20"/>
              </w:rPr>
            </w:pPr>
            <w:r w:rsidRPr="00954B3B">
              <w:rPr>
                <w:i/>
                <w:sz w:val="20"/>
                <w:szCs w:val="20"/>
                <w:u w:val="single"/>
              </w:rPr>
              <w:t>Gemeinnütziger Wohnbauträger</w:t>
            </w:r>
            <w:r>
              <w:rPr>
                <w:i/>
                <w:sz w:val="20"/>
                <w:szCs w:val="20"/>
              </w:rPr>
              <w:t xml:space="preserve">: </w:t>
            </w:r>
            <w:r w:rsidR="006649E4" w:rsidRPr="000F5F55">
              <w:rPr>
                <w:i/>
                <w:sz w:val="20"/>
                <w:szCs w:val="20"/>
              </w:rPr>
              <w:t>Die WohnungswerberInnen können sich über die Homepage des gemeinnützigen Träger direkt anmelden. Zuerst wird mit der Stadt aber abgeklärt, ob diese nicht eine direkte Vergabe durchführen will. Bei der Au</w:t>
            </w:r>
            <w:r w:rsidR="006649E4" w:rsidRPr="000F5F55">
              <w:rPr>
                <w:i/>
                <w:sz w:val="20"/>
                <w:szCs w:val="20"/>
              </w:rPr>
              <w:t>s</w:t>
            </w:r>
            <w:r w:rsidR="006649E4" w:rsidRPr="000F5F55">
              <w:rPr>
                <w:i/>
                <w:sz w:val="20"/>
                <w:szCs w:val="20"/>
              </w:rPr>
              <w:t>wahl der WohnungswerberInnen geht es dann um das Einkommen in Relation zu Wohnungs- und Familiengröße. Es entscheidet ein Team, es gibt keine schriftlichen Richtlinien. Migrationshintergrund ist kein Thema, auch nicht in Bezug auf Durc</w:t>
            </w:r>
            <w:r w:rsidR="006649E4" w:rsidRPr="000F5F55">
              <w:rPr>
                <w:i/>
                <w:sz w:val="20"/>
                <w:szCs w:val="20"/>
              </w:rPr>
              <w:t>h</w:t>
            </w:r>
            <w:r w:rsidR="006649E4" w:rsidRPr="000F5F55">
              <w:rPr>
                <w:i/>
                <w:sz w:val="20"/>
                <w:szCs w:val="20"/>
              </w:rPr>
              <w:t>mischung.</w:t>
            </w:r>
          </w:p>
          <w:p w:rsidR="001E30B4" w:rsidRDefault="009811B6" w:rsidP="00044AF0">
            <w:pPr>
              <w:spacing w:beforeLines="40" w:afterLines="40" w:line="240" w:lineRule="auto"/>
              <w:jc w:val="left"/>
              <w:rPr>
                <w:i/>
                <w:sz w:val="20"/>
                <w:szCs w:val="20"/>
              </w:rPr>
            </w:pPr>
            <w:r w:rsidRPr="009811B6">
              <w:rPr>
                <w:i/>
                <w:sz w:val="20"/>
                <w:szCs w:val="20"/>
                <w:u w:val="single"/>
              </w:rPr>
              <w:t>Wohnberatung / WLH</w:t>
            </w:r>
            <w:r>
              <w:rPr>
                <w:i/>
                <w:sz w:val="20"/>
                <w:szCs w:val="20"/>
              </w:rPr>
              <w:t xml:space="preserve">: </w:t>
            </w:r>
            <w:r w:rsidR="003263BE">
              <w:rPr>
                <w:i/>
                <w:sz w:val="20"/>
                <w:szCs w:val="20"/>
              </w:rPr>
              <w:t>In der Vergabe von geförderten Mietwohnungen sowie von ausgelagerten Gemeindewohnungen kommt den Linzer Beratungs- und B</w:t>
            </w:r>
            <w:r w:rsidR="003263BE">
              <w:rPr>
                <w:i/>
                <w:sz w:val="20"/>
                <w:szCs w:val="20"/>
              </w:rPr>
              <w:t>e</w:t>
            </w:r>
            <w:r w:rsidR="003263BE">
              <w:rPr>
                <w:i/>
                <w:sz w:val="20"/>
                <w:szCs w:val="20"/>
              </w:rPr>
              <w:t>treuungseinrichtungen im Rahmen einer engen Kooperation zur Bekämpfung von Armut und Ausgrenzung (Wohnplattform) eine wichtige Rolle zu.</w:t>
            </w:r>
          </w:p>
        </w:tc>
      </w:tr>
      <w:tr w:rsidR="00163117" w:rsidRPr="00DA5171" w:rsidTr="004F6230">
        <w:tc>
          <w:tcPr>
            <w:tcW w:w="1668" w:type="dxa"/>
          </w:tcPr>
          <w:p w:rsidR="00587957" w:rsidRDefault="00163117" w:rsidP="00044AF0">
            <w:pPr>
              <w:spacing w:beforeLines="40" w:afterLines="40" w:line="240" w:lineRule="auto"/>
              <w:rPr>
                <w:sz w:val="20"/>
                <w:szCs w:val="24"/>
              </w:rPr>
            </w:pPr>
            <w:r w:rsidRPr="00B92AB2">
              <w:rPr>
                <w:sz w:val="20"/>
              </w:rPr>
              <w:t>Gefördertes Wohneigentum</w:t>
            </w:r>
          </w:p>
        </w:tc>
        <w:tc>
          <w:tcPr>
            <w:tcW w:w="7620" w:type="dxa"/>
          </w:tcPr>
          <w:p w:rsidR="00587957" w:rsidRDefault="00163117" w:rsidP="00044AF0">
            <w:pPr>
              <w:spacing w:beforeLines="40" w:afterLines="40" w:line="240" w:lineRule="auto"/>
              <w:jc w:val="left"/>
              <w:rPr>
                <w:i/>
                <w:sz w:val="20"/>
                <w:szCs w:val="20"/>
              </w:rPr>
            </w:pPr>
            <w:r w:rsidRPr="000F5F55">
              <w:rPr>
                <w:i/>
                <w:sz w:val="20"/>
                <w:szCs w:val="20"/>
              </w:rPr>
              <w:t xml:space="preserve">Anspruch auf Zugang zu gefördertem Wohneigentum haben ÖsterreicherInnen und diesen Gleichgestellte. Drittstaatsangehörige </w:t>
            </w:r>
            <w:r w:rsidR="009811B6">
              <w:rPr>
                <w:i/>
                <w:sz w:val="20"/>
                <w:szCs w:val="20"/>
              </w:rPr>
              <w:t>mit Daueraufenthalt müssen</w:t>
            </w:r>
            <w:r w:rsidRPr="000F5F55">
              <w:rPr>
                <w:i/>
                <w:sz w:val="20"/>
                <w:szCs w:val="20"/>
              </w:rPr>
              <w:t xml:space="preserve"> </w:t>
            </w:r>
            <w:r w:rsidR="009811B6">
              <w:rPr>
                <w:i/>
                <w:sz w:val="20"/>
                <w:szCs w:val="20"/>
              </w:rPr>
              <w:t>eine Genehmigung zum Grunderwerb</w:t>
            </w:r>
            <w:r w:rsidRPr="000F5F55">
              <w:rPr>
                <w:i/>
                <w:sz w:val="20"/>
                <w:szCs w:val="20"/>
              </w:rPr>
              <w:t xml:space="preserve"> beantragen, um einen Zugang zur Förderung von Wohneigentum zu realisieren.</w:t>
            </w:r>
          </w:p>
          <w:p w:rsidR="009811B6" w:rsidRDefault="009811B6" w:rsidP="00044AF0">
            <w:pPr>
              <w:spacing w:beforeLines="40" w:afterLines="40" w:line="240" w:lineRule="auto"/>
              <w:jc w:val="left"/>
              <w:rPr>
                <w:i/>
                <w:sz w:val="20"/>
                <w:szCs w:val="20"/>
              </w:rPr>
            </w:pPr>
            <w:r>
              <w:rPr>
                <w:i/>
                <w:sz w:val="20"/>
                <w:szCs w:val="20"/>
              </w:rPr>
              <w:t>Konventionsflüchtlinge sind in der entsprechenden Passage des Wohnbauförd</w:t>
            </w:r>
            <w:r>
              <w:rPr>
                <w:i/>
                <w:sz w:val="20"/>
                <w:szCs w:val="20"/>
              </w:rPr>
              <w:t>e</w:t>
            </w:r>
            <w:r>
              <w:rPr>
                <w:i/>
                <w:sz w:val="20"/>
                <w:szCs w:val="20"/>
              </w:rPr>
              <w:t>rungsgesetzes nicht explizit als Gleichgestellte angeführt.</w:t>
            </w:r>
          </w:p>
        </w:tc>
      </w:tr>
    </w:tbl>
    <w:p w:rsidR="004607EA" w:rsidRPr="006649E4" w:rsidRDefault="004607EA"/>
    <w:p w:rsidR="004607EA" w:rsidRPr="00163117" w:rsidRDefault="006649E4">
      <w:pPr>
        <w:rPr>
          <w:u w:val="single"/>
          <w:lang w:val="de-AT"/>
        </w:rPr>
      </w:pPr>
      <w:r w:rsidRPr="00163117">
        <w:rPr>
          <w:u w:val="single"/>
          <w:lang w:val="de-AT"/>
        </w:rPr>
        <w:t>Fallbeispiel Niederösterreich</w:t>
      </w:r>
    </w:p>
    <w:tbl>
      <w:tblPr>
        <w:tblStyle w:val="Tabellengitternetz"/>
        <w:tblW w:w="0" w:type="auto"/>
        <w:tblLook w:val="04A0"/>
      </w:tblPr>
      <w:tblGrid>
        <w:gridCol w:w="1668"/>
        <w:gridCol w:w="7620"/>
      </w:tblGrid>
      <w:tr w:rsidR="006649E4" w:rsidRPr="00DA5171" w:rsidTr="004F6230">
        <w:tc>
          <w:tcPr>
            <w:tcW w:w="1668" w:type="dxa"/>
          </w:tcPr>
          <w:p w:rsidR="00587957" w:rsidRDefault="006649E4" w:rsidP="00044AF0">
            <w:pPr>
              <w:spacing w:beforeLines="40" w:afterLines="40" w:line="240" w:lineRule="auto"/>
              <w:rPr>
                <w:sz w:val="20"/>
                <w:szCs w:val="24"/>
              </w:rPr>
            </w:pPr>
            <w:r w:rsidRPr="000F5F55">
              <w:rPr>
                <w:sz w:val="20"/>
              </w:rPr>
              <w:t>Zugang zu g</w:t>
            </w:r>
            <w:r w:rsidRPr="000F5F55">
              <w:rPr>
                <w:sz w:val="20"/>
              </w:rPr>
              <w:t>e</w:t>
            </w:r>
            <w:r w:rsidRPr="000F5F55">
              <w:rPr>
                <w:sz w:val="20"/>
              </w:rPr>
              <w:t>förderten Mie</w:t>
            </w:r>
            <w:r w:rsidRPr="000F5F55">
              <w:rPr>
                <w:sz w:val="20"/>
              </w:rPr>
              <w:t>t</w:t>
            </w:r>
            <w:r w:rsidRPr="000F5F55">
              <w:rPr>
                <w:sz w:val="20"/>
              </w:rPr>
              <w:t>wohnungen</w:t>
            </w:r>
          </w:p>
        </w:tc>
        <w:tc>
          <w:tcPr>
            <w:tcW w:w="7620" w:type="dxa"/>
          </w:tcPr>
          <w:p w:rsidR="00587957" w:rsidRDefault="00954B3B" w:rsidP="00044AF0">
            <w:pPr>
              <w:spacing w:beforeLines="40" w:afterLines="40" w:line="240" w:lineRule="auto"/>
              <w:jc w:val="left"/>
              <w:rPr>
                <w:rFonts w:cs="Tahoma"/>
                <w:i/>
                <w:sz w:val="20"/>
                <w:szCs w:val="20"/>
              </w:rPr>
            </w:pPr>
            <w:r w:rsidRPr="00954B3B">
              <w:rPr>
                <w:rFonts w:cs="Tahoma"/>
                <w:i/>
                <w:sz w:val="20"/>
                <w:szCs w:val="20"/>
                <w:u w:val="single"/>
              </w:rPr>
              <w:t>Gemeinnütziger Wohnbauträger</w:t>
            </w:r>
            <w:r>
              <w:rPr>
                <w:rFonts w:cs="Tahoma"/>
                <w:i/>
                <w:sz w:val="20"/>
                <w:szCs w:val="20"/>
              </w:rPr>
              <w:t xml:space="preserve">: </w:t>
            </w:r>
            <w:r w:rsidR="006649E4" w:rsidRPr="00B92AB2">
              <w:rPr>
                <w:rFonts w:cs="Tahoma"/>
                <w:i/>
                <w:sz w:val="20"/>
                <w:szCs w:val="20"/>
              </w:rPr>
              <w:t xml:space="preserve">Eine </w:t>
            </w:r>
            <w:r w:rsidR="00282222">
              <w:rPr>
                <w:rFonts w:cs="Tahoma"/>
                <w:i/>
                <w:sz w:val="20"/>
                <w:szCs w:val="20"/>
              </w:rPr>
              <w:t xml:space="preserve">aktive </w:t>
            </w:r>
            <w:r w:rsidR="006649E4" w:rsidRPr="00B92AB2">
              <w:rPr>
                <w:rFonts w:cs="Tahoma"/>
                <w:i/>
                <w:sz w:val="20"/>
                <w:szCs w:val="20"/>
              </w:rPr>
              <w:t xml:space="preserve">Diskriminierung bei der Vergabe von Wohnungen ist nach Auskunft der </w:t>
            </w:r>
            <w:r>
              <w:rPr>
                <w:rFonts w:cs="Tahoma"/>
                <w:i/>
                <w:sz w:val="20"/>
                <w:szCs w:val="20"/>
              </w:rPr>
              <w:t>V</w:t>
            </w:r>
            <w:r w:rsidR="003910C0">
              <w:rPr>
                <w:rFonts w:cs="Tahoma"/>
                <w:i/>
                <w:sz w:val="20"/>
                <w:szCs w:val="20"/>
              </w:rPr>
              <w:t>ertreterInnen der Wohnbaugenossenschaften</w:t>
            </w:r>
            <w:r w:rsidR="003910C0" w:rsidRPr="00B92AB2">
              <w:rPr>
                <w:rFonts w:cs="Tahoma"/>
                <w:i/>
                <w:sz w:val="20"/>
                <w:szCs w:val="20"/>
              </w:rPr>
              <w:t xml:space="preserve"> </w:t>
            </w:r>
            <w:r w:rsidR="006649E4" w:rsidRPr="00B92AB2">
              <w:rPr>
                <w:rFonts w:cs="Tahoma"/>
                <w:i/>
                <w:sz w:val="20"/>
                <w:szCs w:val="20"/>
              </w:rPr>
              <w:t xml:space="preserve">so gut wie ausgeschlossen. </w:t>
            </w:r>
            <w:r w:rsidR="00282222">
              <w:rPr>
                <w:rFonts w:cs="Tahoma"/>
                <w:i/>
                <w:sz w:val="20"/>
                <w:szCs w:val="20"/>
              </w:rPr>
              <w:t>Allerdings wird in diesem Zusammen</w:t>
            </w:r>
            <w:r w:rsidR="008149FB">
              <w:rPr>
                <w:rFonts w:cs="Tahoma"/>
                <w:i/>
                <w:sz w:val="20"/>
                <w:szCs w:val="20"/>
              </w:rPr>
              <w:t>h</w:t>
            </w:r>
            <w:r w:rsidR="00282222">
              <w:rPr>
                <w:rFonts w:cs="Tahoma"/>
                <w:i/>
                <w:sz w:val="20"/>
                <w:szCs w:val="20"/>
              </w:rPr>
              <w:t>ang auf Zugang</w:t>
            </w:r>
            <w:r w:rsidR="00282222">
              <w:rPr>
                <w:rFonts w:cs="Tahoma"/>
                <w:i/>
                <w:sz w:val="20"/>
                <w:szCs w:val="20"/>
              </w:rPr>
              <w:t>s</w:t>
            </w:r>
            <w:r w:rsidR="00282222">
              <w:rPr>
                <w:rFonts w:cs="Tahoma"/>
                <w:i/>
                <w:sz w:val="20"/>
                <w:szCs w:val="20"/>
              </w:rPr>
              <w:t>hürden hingewiesen, die sich aus der Komplexität des Fördersystems, unzureiche</w:t>
            </w:r>
            <w:r w:rsidR="00282222">
              <w:rPr>
                <w:rFonts w:cs="Tahoma"/>
                <w:i/>
                <w:sz w:val="20"/>
                <w:szCs w:val="20"/>
              </w:rPr>
              <w:t>n</w:t>
            </w:r>
            <w:r w:rsidR="00282222">
              <w:rPr>
                <w:rFonts w:cs="Tahoma"/>
                <w:i/>
                <w:sz w:val="20"/>
                <w:szCs w:val="20"/>
              </w:rPr>
              <w:t>der Transparenz und hohen Wohnungskosten ergeben</w:t>
            </w:r>
            <w:r w:rsidR="00915BB1">
              <w:rPr>
                <w:rFonts w:cs="Tahoma"/>
                <w:i/>
                <w:sz w:val="20"/>
                <w:szCs w:val="20"/>
              </w:rPr>
              <w:t>.</w:t>
            </w:r>
            <w:r w:rsidR="00282222">
              <w:rPr>
                <w:rFonts w:cs="Tahoma"/>
                <w:i/>
                <w:sz w:val="20"/>
                <w:szCs w:val="20"/>
              </w:rPr>
              <w:t xml:space="preserve"> Armuts- sowie nicht-österreichische Haushalte </w:t>
            </w:r>
            <w:r w:rsidR="00915BB1">
              <w:rPr>
                <w:rFonts w:cs="Tahoma"/>
                <w:i/>
                <w:sz w:val="20"/>
                <w:szCs w:val="20"/>
              </w:rPr>
              <w:t xml:space="preserve">sind damit </w:t>
            </w:r>
            <w:r w:rsidR="008749D1">
              <w:rPr>
                <w:rFonts w:cs="Tahoma"/>
                <w:i/>
                <w:sz w:val="20"/>
                <w:szCs w:val="20"/>
              </w:rPr>
              <w:t xml:space="preserve">in </w:t>
            </w:r>
            <w:r w:rsidR="00915BB1">
              <w:rPr>
                <w:rFonts w:cs="Tahoma"/>
                <w:i/>
                <w:sz w:val="20"/>
                <w:szCs w:val="20"/>
              </w:rPr>
              <w:t xml:space="preserve">ihren Chancen auf eine Wohnung aus </w:t>
            </w:r>
            <w:r w:rsidR="008749D1">
              <w:rPr>
                <w:rFonts w:cs="Tahoma"/>
                <w:i/>
                <w:sz w:val="20"/>
                <w:szCs w:val="20"/>
              </w:rPr>
              <w:t>di</w:t>
            </w:r>
            <w:r w:rsidR="008749D1">
              <w:rPr>
                <w:rFonts w:cs="Tahoma"/>
                <w:i/>
                <w:sz w:val="20"/>
                <w:szCs w:val="20"/>
              </w:rPr>
              <w:t>e</w:t>
            </w:r>
            <w:r w:rsidR="008749D1">
              <w:rPr>
                <w:rFonts w:cs="Tahoma"/>
                <w:i/>
                <w:sz w:val="20"/>
                <w:szCs w:val="20"/>
              </w:rPr>
              <w:t>sem Segment de</w:t>
            </w:r>
            <w:r w:rsidR="00915BB1">
              <w:rPr>
                <w:rFonts w:cs="Tahoma"/>
                <w:i/>
                <w:sz w:val="20"/>
                <w:szCs w:val="20"/>
              </w:rPr>
              <w:t>s Wohnungsmarktes benachteiligt</w:t>
            </w:r>
            <w:r w:rsidR="008749D1">
              <w:rPr>
                <w:rFonts w:cs="Tahoma"/>
                <w:i/>
                <w:sz w:val="20"/>
                <w:szCs w:val="20"/>
              </w:rPr>
              <w:t>.</w:t>
            </w:r>
            <w:r w:rsidR="008749D1">
              <w:rPr>
                <w:rStyle w:val="Funotenzeichen"/>
                <w:rFonts w:cs="Tahoma"/>
                <w:i/>
                <w:sz w:val="20"/>
                <w:szCs w:val="20"/>
              </w:rPr>
              <w:footnoteReference w:id="16"/>
            </w:r>
          </w:p>
          <w:p w:rsidR="001E30B4" w:rsidRDefault="006649E4" w:rsidP="00044AF0">
            <w:pPr>
              <w:spacing w:beforeLines="40" w:afterLines="40" w:line="240" w:lineRule="auto"/>
              <w:jc w:val="left"/>
              <w:rPr>
                <w:rFonts w:cs="Tahoma"/>
                <w:i/>
                <w:sz w:val="20"/>
                <w:szCs w:val="20"/>
              </w:rPr>
            </w:pPr>
            <w:r w:rsidRPr="00B92AB2">
              <w:rPr>
                <w:rFonts w:cs="Tahoma"/>
                <w:i/>
                <w:sz w:val="20"/>
                <w:szCs w:val="20"/>
              </w:rPr>
              <w:t xml:space="preserve">Der Zugang wird im Rahmen der Überprüfung von </w:t>
            </w:r>
            <w:r w:rsidRPr="00915BB1">
              <w:rPr>
                <w:rFonts w:cs="Tahoma"/>
                <w:i/>
                <w:sz w:val="20"/>
                <w:szCs w:val="20"/>
              </w:rPr>
              <w:t>Anspruchsberechtigung</w:t>
            </w:r>
            <w:r w:rsidRPr="00B92AB2">
              <w:rPr>
                <w:rFonts w:cs="Tahoma"/>
                <w:i/>
                <w:sz w:val="20"/>
                <w:szCs w:val="20"/>
              </w:rPr>
              <w:t xml:space="preserve"> (gebu</w:t>
            </w:r>
            <w:r w:rsidRPr="00B92AB2">
              <w:rPr>
                <w:rFonts w:cs="Tahoma"/>
                <w:i/>
                <w:sz w:val="20"/>
                <w:szCs w:val="20"/>
              </w:rPr>
              <w:t>n</w:t>
            </w:r>
            <w:r w:rsidRPr="00B92AB2">
              <w:rPr>
                <w:rFonts w:cs="Tahoma"/>
                <w:i/>
                <w:sz w:val="20"/>
                <w:szCs w:val="20"/>
              </w:rPr>
              <w:t xml:space="preserve">den an Aufenthaltsstatus; Personen ohne reguläre Aufenthaltsbewilligung haben keinen Anspruch) und </w:t>
            </w:r>
            <w:r w:rsidRPr="00915BB1">
              <w:rPr>
                <w:rFonts w:cs="Tahoma"/>
                <w:i/>
                <w:sz w:val="20"/>
                <w:szCs w:val="20"/>
              </w:rPr>
              <w:t>Wohnbedarf</w:t>
            </w:r>
            <w:r w:rsidRPr="00B92AB2">
              <w:rPr>
                <w:rFonts w:cs="Tahoma"/>
                <w:b/>
                <w:i/>
                <w:sz w:val="20"/>
                <w:szCs w:val="20"/>
              </w:rPr>
              <w:t xml:space="preserve"> </w:t>
            </w:r>
            <w:r w:rsidRPr="00B92AB2">
              <w:rPr>
                <w:rFonts w:cs="Tahoma"/>
                <w:i/>
                <w:sz w:val="20"/>
                <w:szCs w:val="20"/>
              </w:rPr>
              <w:t>geklärt</w:t>
            </w:r>
            <w:r w:rsidR="008F57D3">
              <w:rPr>
                <w:rFonts w:cs="Tahoma"/>
                <w:i/>
                <w:sz w:val="20"/>
                <w:szCs w:val="20"/>
              </w:rPr>
              <w:t>.</w:t>
            </w:r>
          </w:p>
          <w:p w:rsidR="001E30B4" w:rsidRDefault="008F57D3" w:rsidP="00044AF0">
            <w:pPr>
              <w:spacing w:beforeLines="40" w:afterLines="40" w:line="240" w:lineRule="auto"/>
              <w:jc w:val="left"/>
              <w:rPr>
                <w:i/>
                <w:sz w:val="20"/>
                <w:szCs w:val="20"/>
              </w:rPr>
            </w:pPr>
            <w:r>
              <w:rPr>
                <w:rFonts w:cs="Tahoma"/>
                <w:i/>
                <w:sz w:val="20"/>
                <w:szCs w:val="20"/>
              </w:rPr>
              <w:t xml:space="preserve">Wohnbeihilfe gibt es in Niederösterreich nur für das Segment der geförderten Wohnungen; Drittstaatsangehörige sind davon </w:t>
            </w:r>
            <w:r w:rsidR="00282222">
              <w:rPr>
                <w:rFonts w:cs="Tahoma"/>
                <w:i/>
                <w:sz w:val="20"/>
                <w:szCs w:val="20"/>
              </w:rPr>
              <w:t xml:space="preserve">ohne Ausnahme </w:t>
            </w:r>
            <w:r>
              <w:rPr>
                <w:rFonts w:cs="Tahoma"/>
                <w:i/>
                <w:sz w:val="20"/>
                <w:szCs w:val="20"/>
              </w:rPr>
              <w:t>ausgeschlossen</w:t>
            </w:r>
          </w:p>
        </w:tc>
      </w:tr>
      <w:tr w:rsidR="006649E4" w:rsidRPr="00DA5171" w:rsidTr="004F6230">
        <w:tc>
          <w:tcPr>
            <w:tcW w:w="1668" w:type="dxa"/>
          </w:tcPr>
          <w:p w:rsidR="00587957" w:rsidRDefault="006649E4" w:rsidP="00044AF0">
            <w:pPr>
              <w:spacing w:beforeLines="40" w:afterLines="40" w:line="240" w:lineRule="auto"/>
              <w:rPr>
                <w:sz w:val="20"/>
                <w:szCs w:val="24"/>
              </w:rPr>
            </w:pPr>
            <w:r w:rsidRPr="000F5F55">
              <w:rPr>
                <w:sz w:val="20"/>
              </w:rPr>
              <w:t>Vergabe</w:t>
            </w:r>
          </w:p>
        </w:tc>
        <w:tc>
          <w:tcPr>
            <w:tcW w:w="7620" w:type="dxa"/>
          </w:tcPr>
          <w:p w:rsidR="006649E4" w:rsidRPr="00B92AB2" w:rsidRDefault="00954B3B" w:rsidP="00915BB1">
            <w:pPr>
              <w:spacing w:before="40" w:after="40" w:line="240" w:lineRule="auto"/>
              <w:jc w:val="left"/>
              <w:rPr>
                <w:rFonts w:cs="Tahoma"/>
                <w:i/>
                <w:sz w:val="20"/>
                <w:szCs w:val="20"/>
              </w:rPr>
            </w:pPr>
            <w:r w:rsidRPr="00954B3B">
              <w:rPr>
                <w:rFonts w:cs="Tahoma"/>
                <w:i/>
                <w:sz w:val="20"/>
                <w:szCs w:val="20"/>
                <w:u w:val="single"/>
              </w:rPr>
              <w:t>Gemeinnütziger Wohnbauträger</w:t>
            </w:r>
            <w:r>
              <w:rPr>
                <w:rFonts w:cs="Tahoma"/>
                <w:i/>
                <w:sz w:val="20"/>
                <w:szCs w:val="20"/>
              </w:rPr>
              <w:t xml:space="preserve">: </w:t>
            </w:r>
            <w:r w:rsidR="006649E4" w:rsidRPr="00B92AB2">
              <w:rPr>
                <w:rFonts w:cs="Tahoma"/>
                <w:i/>
                <w:sz w:val="20"/>
                <w:szCs w:val="20"/>
              </w:rPr>
              <w:t>Berücksichtigung individueller Faktoren (Status, Größe des Haushalts etc.), aber keine Diskriminierung nach Ethnie, Religion, Spr</w:t>
            </w:r>
            <w:r w:rsidR="006649E4" w:rsidRPr="00B92AB2">
              <w:rPr>
                <w:rFonts w:cs="Tahoma"/>
                <w:i/>
                <w:sz w:val="20"/>
                <w:szCs w:val="20"/>
              </w:rPr>
              <w:t>a</w:t>
            </w:r>
            <w:r w:rsidR="006649E4" w:rsidRPr="00B92AB2">
              <w:rPr>
                <w:rFonts w:cs="Tahoma"/>
                <w:i/>
                <w:sz w:val="20"/>
                <w:szCs w:val="20"/>
              </w:rPr>
              <w:t>che etc.</w:t>
            </w:r>
            <w:r>
              <w:rPr>
                <w:rFonts w:cs="Tahoma"/>
                <w:i/>
                <w:sz w:val="20"/>
                <w:szCs w:val="20"/>
              </w:rPr>
              <w:t xml:space="preserve"> </w:t>
            </w:r>
            <w:r w:rsidR="006649E4" w:rsidRPr="00B92AB2">
              <w:rPr>
                <w:rFonts w:cs="Tahoma"/>
                <w:i/>
                <w:sz w:val="20"/>
                <w:szCs w:val="20"/>
              </w:rPr>
              <w:t>Resümee</w:t>
            </w:r>
            <w:r>
              <w:rPr>
                <w:rFonts w:cs="Tahoma"/>
                <w:i/>
                <w:sz w:val="20"/>
                <w:szCs w:val="20"/>
              </w:rPr>
              <w:t xml:space="preserve"> aus Sicht der Wohnbauträger</w:t>
            </w:r>
            <w:r w:rsidR="006649E4" w:rsidRPr="00B92AB2">
              <w:rPr>
                <w:rFonts w:cs="Tahoma"/>
                <w:i/>
                <w:sz w:val="20"/>
                <w:szCs w:val="20"/>
              </w:rPr>
              <w:t>: Wenn der Schritt zur Anmeldung geschafft ist, dann gibt es keine Diskriminierung!</w:t>
            </w:r>
          </w:p>
          <w:p w:rsidR="006649E4" w:rsidRPr="00B92AB2" w:rsidRDefault="00B92AB2" w:rsidP="00915BB1">
            <w:pPr>
              <w:spacing w:before="40" w:after="40" w:line="240" w:lineRule="auto"/>
              <w:jc w:val="left"/>
              <w:rPr>
                <w:rFonts w:cs="Tahoma"/>
                <w:i/>
                <w:sz w:val="20"/>
                <w:szCs w:val="20"/>
              </w:rPr>
            </w:pPr>
            <w:r>
              <w:rPr>
                <w:rFonts w:cs="Tahoma"/>
                <w:i/>
                <w:sz w:val="20"/>
                <w:szCs w:val="20"/>
              </w:rPr>
              <w:t xml:space="preserve">Bei der </w:t>
            </w:r>
            <w:r w:rsidR="006649E4" w:rsidRPr="00B92AB2">
              <w:rPr>
                <w:rFonts w:cs="Tahoma"/>
                <w:i/>
                <w:sz w:val="20"/>
                <w:szCs w:val="20"/>
              </w:rPr>
              <w:t xml:space="preserve">Reihung nach Punkten wird </w:t>
            </w:r>
            <w:r>
              <w:rPr>
                <w:rFonts w:cs="Tahoma"/>
                <w:i/>
                <w:sz w:val="20"/>
                <w:szCs w:val="20"/>
              </w:rPr>
              <w:t xml:space="preserve">vorrangig </w:t>
            </w:r>
            <w:r w:rsidR="006649E4" w:rsidRPr="00B92AB2">
              <w:rPr>
                <w:rFonts w:cs="Tahoma"/>
                <w:i/>
                <w:sz w:val="20"/>
                <w:szCs w:val="20"/>
              </w:rPr>
              <w:t>die Dringlichkeit der Wohnversorgung berücksichtigt</w:t>
            </w:r>
            <w:r w:rsidR="008149FB">
              <w:rPr>
                <w:rFonts w:cs="Tahoma"/>
                <w:i/>
                <w:sz w:val="20"/>
                <w:szCs w:val="20"/>
              </w:rPr>
              <w:t>; aber: akute Notfälle können vorgereiht werden</w:t>
            </w:r>
          </w:p>
          <w:p w:rsidR="006649E4" w:rsidRPr="00B92AB2" w:rsidRDefault="006649E4" w:rsidP="00915BB1">
            <w:pPr>
              <w:spacing w:before="40" w:after="40" w:line="240" w:lineRule="auto"/>
              <w:jc w:val="left"/>
              <w:rPr>
                <w:i/>
                <w:sz w:val="20"/>
                <w:szCs w:val="20"/>
              </w:rPr>
            </w:pPr>
            <w:r w:rsidRPr="00B92AB2">
              <w:rPr>
                <w:rFonts w:cs="Tahoma"/>
                <w:i/>
                <w:sz w:val="20"/>
                <w:szCs w:val="20"/>
              </w:rPr>
              <w:t xml:space="preserve">Einzelne Gemeinden </w:t>
            </w:r>
            <w:r w:rsidR="008149FB">
              <w:rPr>
                <w:rFonts w:cs="Tahoma"/>
                <w:i/>
                <w:sz w:val="20"/>
                <w:szCs w:val="20"/>
              </w:rPr>
              <w:t xml:space="preserve">(z.B. St. Pölten) </w:t>
            </w:r>
            <w:r w:rsidRPr="00B92AB2">
              <w:rPr>
                <w:rFonts w:cs="Tahoma"/>
                <w:i/>
                <w:sz w:val="20"/>
                <w:szCs w:val="20"/>
              </w:rPr>
              <w:t>haben ihre Wohnungsbestände ausgelagert, die Vergabe erfolgt dann nach eigenen Regeln</w:t>
            </w:r>
            <w:r w:rsidR="00915BB1">
              <w:rPr>
                <w:rFonts w:cs="Tahoma"/>
                <w:i/>
                <w:sz w:val="20"/>
                <w:szCs w:val="20"/>
              </w:rPr>
              <w:t xml:space="preserve"> und Zugangsvoraussetzungen (z.B. sechs Monatsmieten als Kaution). </w:t>
            </w:r>
          </w:p>
        </w:tc>
      </w:tr>
      <w:tr w:rsidR="00163117" w:rsidRPr="00DA5171" w:rsidTr="004F6230">
        <w:tc>
          <w:tcPr>
            <w:tcW w:w="1668" w:type="dxa"/>
          </w:tcPr>
          <w:p w:rsidR="00587957" w:rsidRDefault="00163117" w:rsidP="00044AF0">
            <w:pPr>
              <w:spacing w:beforeLines="40" w:afterLines="40" w:line="240" w:lineRule="auto"/>
              <w:rPr>
                <w:sz w:val="20"/>
                <w:szCs w:val="24"/>
              </w:rPr>
            </w:pPr>
            <w:r w:rsidRPr="000F5F55">
              <w:rPr>
                <w:sz w:val="20"/>
              </w:rPr>
              <w:t>Gefördertes Wohneigentum</w:t>
            </w:r>
          </w:p>
        </w:tc>
        <w:tc>
          <w:tcPr>
            <w:tcW w:w="7620" w:type="dxa"/>
          </w:tcPr>
          <w:p w:rsidR="00587957" w:rsidRDefault="00163117" w:rsidP="00044AF0">
            <w:pPr>
              <w:spacing w:beforeLines="40" w:afterLines="40" w:line="240" w:lineRule="auto"/>
              <w:jc w:val="left"/>
              <w:rPr>
                <w:i/>
                <w:sz w:val="20"/>
                <w:szCs w:val="20"/>
              </w:rPr>
            </w:pPr>
            <w:r w:rsidRPr="00B92AB2">
              <w:rPr>
                <w:i/>
                <w:sz w:val="20"/>
                <w:szCs w:val="20"/>
              </w:rPr>
              <w:t>Abhängig von einer Grunderwerbsgenehmigung durch das Land</w:t>
            </w:r>
          </w:p>
        </w:tc>
      </w:tr>
    </w:tbl>
    <w:p w:rsidR="006649E4" w:rsidRPr="00B92AB2" w:rsidRDefault="006649E4" w:rsidP="006649E4">
      <w:pPr>
        <w:rPr>
          <w:u w:val="single"/>
          <w:lang w:eastAsia="en-US"/>
        </w:rPr>
      </w:pPr>
      <w:r w:rsidRPr="00B92AB2">
        <w:rPr>
          <w:u w:val="single"/>
          <w:lang w:eastAsia="en-US"/>
        </w:rPr>
        <w:lastRenderedPageBreak/>
        <w:t>Fallbeispiel Tirol</w:t>
      </w:r>
    </w:p>
    <w:tbl>
      <w:tblPr>
        <w:tblStyle w:val="Tabellengitternetz"/>
        <w:tblW w:w="0" w:type="auto"/>
        <w:tblLook w:val="04A0"/>
      </w:tblPr>
      <w:tblGrid>
        <w:gridCol w:w="1759"/>
        <w:gridCol w:w="7529"/>
      </w:tblGrid>
      <w:tr w:rsidR="006649E4" w:rsidRPr="00B92AB2" w:rsidTr="004609AB">
        <w:tc>
          <w:tcPr>
            <w:tcW w:w="1759" w:type="dxa"/>
          </w:tcPr>
          <w:p w:rsidR="00587957" w:rsidRDefault="006649E4" w:rsidP="00044AF0">
            <w:pPr>
              <w:spacing w:beforeLines="40" w:afterLines="40" w:line="240" w:lineRule="auto"/>
              <w:rPr>
                <w:sz w:val="20"/>
                <w:szCs w:val="20"/>
              </w:rPr>
            </w:pPr>
            <w:r w:rsidRPr="00B92AB2">
              <w:rPr>
                <w:sz w:val="20"/>
                <w:szCs w:val="20"/>
              </w:rPr>
              <w:t>Zugang zu g</w:t>
            </w:r>
            <w:r w:rsidRPr="00B92AB2">
              <w:rPr>
                <w:sz w:val="20"/>
                <w:szCs w:val="20"/>
              </w:rPr>
              <w:t>e</w:t>
            </w:r>
            <w:r w:rsidRPr="00B92AB2">
              <w:rPr>
                <w:sz w:val="20"/>
                <w:szCs w:val="20"/>
              </w:rPr>
              <w:t>förderten Mie</w:t>
            </w:r>
            <w:r w:rsidRPr="00B92AB2">
              <w:rPr>
                <w:sz w:val="20"/>
                <w:szCs w:val="20"/>
              </w:rPr>
              <w:t>t</w:t>
            </w:r>
            <w:r w:rsidRPr="00B92AB2">
              <w:rPr>
                <w:sz w:val="20"/>
                <w:szCs w:val="20"/>
              </w:rPr>
              <w:t>wohnungen</w:t>
            </w:r>
          </w:p>
        </w:tc>
        <w:tc>
          <w:tcPr>
            <w:tcW w:w="7529" w:type="dxa"/>
          </w:tcPr>
          <w:p w:rsidR="001E30B4" w:rsidRDefault="00E448CC" w:rsidP="00044AF0">
            <w:pPr>
              <w:spacing w:beforeLines="40" w:afterLines="40" w:line="240" w:lineRule="auto"/>
              <w:jc w:val="left"/>
              <w:rPr>
                <w:i/>
                <w:sz w:val="20"/>
                <w:szCs w:val="20"/>
              </w:rPr>
            </w:pPr>
            <w:r w:rsidRPr="00E448CC">
              <w:rPr>
                <w:i/>
                <w:sz w:val="20"/>
                <w:szCs w:val="20"/>
                <w:u w:val="single"/>
              </w:rPr>
              <w:t>Wohnbauförderung</w:t>
            </w:r>
            <w:r>
              <w:rPr>
                <w:i/>
                <w:sz w:val="20"/>
                <w:szCs w:val="20"/>
              </w:rPr>
              <w:t xml:space="preserve">: </w:t>
            </w:r>
            <w:r w:rsidR="006649E4" w:rsidRPr="00B92AB2">
              <w:rPr>
                <w:i/>
                <w:sz w:val="20"/>
                <w:szCs w:val="20"/>
              </w:rPr>
              <w:t>Zugang zu geförderten Mietwohnungen haben gemäß Woh</w:t>
            </w:r>
            <w:r w:rsidR="006649E4" w:rsidRPr="00B92AB2">
              <w:rPr>
                <w:i/>
                <w:sz w:val="20"/>
                <w:szCs w:val="20"/>
              </w:rPr>
              <w:t>n</w:t>
            </w:r>
            <w:r w:rsidR="006649E4" w:rsidRPr="00B92AB2">
              <w:rPr>
                <w:i/>
                <w:sz w:val="20"/>
                <w:szCs w:val="20"/>
              </w:rPr>
              <w:t>bauförderungsgesetz:</w:t>
            </w:r>
            <w:r>
              <w:rPr>
                <w:i/>
                <w:sz w:val="20"/>
                <w:szCs w:val="20"/>
              </w:rPr>
              <w:t xml:space="preserve"> </w:t>
            </w:r>
            <w:r w:rsidR="006649E4" w:rsidRPr="00B92AB2">
              <w:rPr>
                <w:i/>
                <w:sz w:val="20"/>
                <w:szCs w:val="20"/>
              </w:rPr>
              <w:t>ÖsterreicherInnen, Gleichgestellte sowie Drittstaatsangeh</w:t>
            </w:r>
            <w:r w:rsidR="006649E4" w:rsidRPr="00B92AB2">
              <w:rPr>
                <w:i/>
                <w:sz w:val="20"/>
                <w:szCs w:val="20"/>
              </w:rPr>
              <w:t>ö</w:t>
            </w:r>
            <w:r w:rsidR="006649E4" w:rsidRPr="00B92AB2">
              <w:rPr>
                <w:i/>
                <w:sz w:val="20"/>
                <w:szCs w:val="20"/>
              </w:rPr>
              <w:t>rige mit unbefristeter Aufenthaltsbewilligung</w:t>
            </w:r>
          </w:p>
          <w:p w:rsidR="00E448CC" w:rsidRDefault="006649E4" w:rsidP="00044AF0">
            <w:pPr>
              <w:spacing w:beforeLines="40" w:afterLines="40" w:line="240" w:lineRule="auto"/>
              <w:jc w:val="left"/>
              <w:rPr>
                <w:i/>
                <w:sz w:val="20"/>
                <w:szCs w:val="20"/>
              </w:rPr>
            </w:pPr>
            <w:r w:rsidRPr="00B92AB2">
              <w:rPr>
                <w:i/>
                <w:sz w:val="20"/>
                <w:szCs w:val="20"/>
              </w:rPr>
              <w:t>Dieser Grundsatz gilt grundsätzlich auch für die Gewährung einer Mietzinsbeihilfe für BewohnerInnen in Wohnungen des privaten Wohnungsmarktes; diese Förd</w:t>
            </w:r>
            <w:r w:rsidRPr="00B92AB2">
              <w:rPr>
                <w:i/>
                <w:sz w:val="20"/>
                <w:szCs w:val="20"/>
              </w:rPr>
              <w:t>e</w:t>
            </w:r>
            <w:r w:rsidRPr="00B92AB2">
              <w:rPr>
                <w:i/>
                <w:sz w:val="20"/>
                <w:szCs w:val="20"/>
              </w:rPr>
              <w:t xml:space="preserve">rung ist jedoch abhängig von den Gemeinden </w:t>
            </w:r>
          </w:p>
          <w:p w:rsidR="001E30B4" w:rsidRDefault="00E448CC" w:rsidP="00044AF0">
            <w:pPr>
              <w:spacing w:beforeLines="40" w:afterLines="40" w:line="240" w:lineRule="auto"/>
              <w:jc w:val="left"/>
              <w:rPr>
                <w:i/>
                <w:sz w:val="20"/>
                <w:szCs w:val="20"/>
              </w:rPr>
            </w:pPr>
            <w:r>
              <w:rPr>
                <w:i/>
                <w:sz w:val="20"/>
                <w:szCs w:val="20"/>
              </w:rPr>
              <w:t xml:space="preserve">Beratungseinrichtungen: </w:t>
            </w:r>
            <w:r w:rsidR="006649E4" w:rsidRPr="00B92AB2">
              <w:rPr>
                <w:i/>
                <w:sz w:val="20"/>
                <w:szCs w:val="20"/>
              </w:rPr>
              <w:t>die kürzlich getroffene Vereinbarung von Gemeinden und Land zur Harmonisierung der Mietzinsbeihilfe ist nach Auskunft von Beratungsei</w:t>
            </w:r>
            <w:r w:rsidR="006649E4" w:rsidRPr="00B92AB2">
              <w:rPr>
                <w:i/>
                <w:sz w:val="20"/>
                <w:szCs w:val="20"/>
              </w:rPr>
              <w:t>n</w:t>
            </w:r>
            <w:r w:rsidR="006649E4" w:rsidRPr="00B92AB2">
              <w:rPr>
                <w:i/>
                <w:sz w:val="20"/>
                <w:szCs w:val="20"/>
              </w:rPr>
              <w:t>richtungen noch nicht durchgängig umgesetzt</w:t>
            </w:r>
          </w:p>
          <w:p w:rsidR="00BA3FCD" w:rsidRDefault="00BA3FCD" w:rsidP="00044AF0">
            <w:pPr>
              <w:spacing w:beforeLines="40" w:afterLines="40" w:line="240" w:lineRule="auto"/>
              <w:jc w:val="left"/>
              <w:rPr>
                <w:i/>
                <w:sz w:val="20"/>
                <w:szCs w:val="20"/>
              </w:rPr>
            </w:pPr>
            <w:r w:rsidRPr="00BA3FCD">
              <w:rPr>
                <w:i/>
                <w:sz w:val="20"/>
                <w:szCs w:val="20"/>
                <w:u w:val="single"/>
              </w:rPr>
              <w:t>Wohnberatung, WLH</w:t>
            </w:r>
            <w:r>
              <w:rPr>
                <w:i/>
                <w:sz w:val="20"/>
                <w:szCs w:val="20"/>
              </w:rPr>
              <w:t>: VertreterInnen der Beratungseinrichtungen kritisieren U</w:t>
            </w:r>
            <w:r>
              <w:rPr>
                <w:i/>
                <w:sz w:val="20"/>
                <w:szCs w:val="20"/>
              </w:rPr>
              <w:t>n</w:t>
            </w:r>
            <w:r>
              <w:rPr>
                <w:i/>
                <w:sz w:val="20"/>
                <w:szCs w:val="20"/>
              </w:rPr>
              <w:t>terschiede zwischen den Gemeinden und einen „Wirr-Warr“ in der Gewährung bzw. Verweigerung einer Mietzinsbeihilfe.</w:t>
            </w:r>
          </w:p>
        </w:tc>
      </w:tr>
      <w:tr w:rsidR="006649E4" w:rsidRPr="00B92AB2" w:rsidTr="004609AB">
        <w:tc>
          <w:tcPr>
            <w:tcW w:w="1759" w:type="dxa"/>
          </w:tcPr>
          <w:p w:rsidR="00587957" w:rsidRDefault="006649E4" w:rsidP="00044AF0">
            <w:pPr>
              <w:spacing w:beforeLines="40" w:afterLines="40" w:line="240" w:lineRule="auto"/>
              <w:rPr>
                <w:sz w:val="20"/>
                <w:szCs w:val="20"/>
              </w:rPr>
            </w:pPr>
            <w:r w:rsidRPr="00B92AB2">
              <w:rPr>
                <w:sz w:val="20"/>
                <w:szCs w:val="20"/>
              </w:rPr>
              <w:t>Vergabe</w:t>
            </w:r>
          </w:p>
        </w:tc>
        <w:tc>
          <w:tcPr>
            <w:tcW w:w="7529" w:type="dxa"/>
          </w:tcPr>
          <w:p w:rsidR="006649E4" w:rsidRPr="00B92AB2" w:rsidRDefault="00E448CC" w:rsidP="00044AF0">
            <w:pPr>
              <w:spacing w:beforeLines="40" w:afterLines="40" w:line="240" w:lineRule="auto"/>
              <w:jc w:val="left"/>
              <w:rPr>
                <w:i/>
                <w:sz w:val="20"/>
                <w:szCs w:val="20"/>
              </w:rPr>
            </w:pPr>
            <w:r w:rsidRPr="00E448CC">
              <w:rPr>
                <w:i/>
                <w:sz w:val="20"/>
                <w:szCs w:val="20"/>
                <w:u w:val="single"/>
              </w:rPr>
              <w:t>Wohnungsvergabe</w:t>
            </w:r>
            <w:r>
              <w:rPr>
                <w:i/>
                <w:sz w:val="20"/>
                <w:szCs w:val="20"/>
              </w:rPr>
              <w:t xml:space="preserve">: </w:t>
            </w:r>
            <w:r w:rsidR="006649E4" w:rsidRPr="00B92AB2">
              <w:rPr>
                <w:i/>
                <w:sz w:val="20"/>
                <w:szCs w:val="20"/>
              </w:rPr>
              <w:t>Konkret erfolgt die Vergabe nach einem Punktesystem (Hau</w:t>
            </w:r>
            <w:r w:rsidR="006649E4" w:rsidRPr="00B92AB2">
              <w:rPr>
                <w:i/>
                <w:sz w:val="20"/>
                <w:szCs w:val="20"/>
              </w:rPr>
              <w:t>s</w:t>
            </w:r>
            <w:r w:rsidR="006649E4" w:rsidRPr="00B92AB2">
              <w:rPr>
                <w:i/>
                <w:sz w:val="20"/>
                <w:szCs w:val="20"/>
              </w:rPr>
              <w:t>haltszusammensetzung, Einkommen, Dauer der Wartezeit auf die Wohnungsve</w:t>
            </w:r>
            <w:r w:rsidR="006649E4" w:rsidRPr="00B92AB2">
              <w:rPr>
                <w:i/>
                <w:sz w:val="20"/>
                <w:szCs w:val="20"/>
              </w:rPr>
              <w:t>r</w:t>
            </w:r>
            <w:r w:rsidR="006649E4" w:rsidRPr="00B92AB2">
              <w:rPr>
                <w:i/>
                <w:sz w:val="20"/>
                <w:szCs w:val="20"/>
              </w:rPr>
              <w:t>gabe)</w:t>
            </w:r>
          </w:p>
          <w:p w:rsidR="00587957" w:rsidRDefault="006649E4" w:rsidP="00044AF0">
            <w:pPr>
              <w:spacing w:beforeLines="40" w:afterLines="40" w:line="240" w:lineRule="auto"/>
              <w:jc w:val="left"/>
              <w:rPr>
                <w:i/>
                <w:sz w:val="20"/>
                <w:szCs w:val="20"/>
              </w:rPr>
            </w:pPr>
            <w:r w:rsidRPr="00B92AB2">
              <w:rPr>
                <w:i/>
                <w:sz w:val="20"/>
                <w:szCs w:val="20"/>
              </w:rPr>
              <w:t>Wartelisten werden diversifiziert geführt – je nach Wohnungsbedarf / -größe</w:t>
            </w:r>
          </w:p>
          <w:p w:rsidR="006649E4" w:rsidRDefault="006649E4" w:rsidP="00044AF0">
            <w:pPr>
              <w:spacing w:beforeLines="40" w:afterLines="40" w:line="240" w:lineRule="auto"/>
              <w:jc w:val="left"/>
              <w:rPr>
                <w:i/>
                <w:sz w:val="20"/>
                <w:szCs w:val="20"/>
              </w:rPr>
            </w:pPr>
            <w:r w:rsidRPr="00B92AB2">
              <w:rPr>
                <w:i/>
                <w:sz w:val="20"/>
                <w:szCs w:val="20"/>
              </w:rPr>
              <w:t>Das Punktesystem entspricht den gesetzlichen Vorgaben zur Gleichbehandlung</w:t>
            </w:r>
            <w:r w:rsidR="00BA3FCD">
              <w:rPr>
                <w:i/>
                <w:sz w:val="20"/>
                <w:szCs w:val="20"/>
              </w:rPr>
              <w:t>.</w:t>
            </w:r>
            <w:r w:rsidRPr="00B92AB2">
              <w:rPr>
                <w:i/>
                <w:sz w:val="20"/>
                <w:szCs w:val="20"/>
              </w:rPr>
              <w:t xml:space="preserve"> Bei der Einstufung werden soziale Kriterien der Dringlichkeit (z.B. Alleinerziehende mit minderjährigen Kindern, Kinderbetreuung oder Pflege von Angehörigen etc.) berücksichtigt; deshalb kann es im Verlauf der Anwartschaft auf eine Wohnung auch zu Rückstufungen kommen, wenn neue WohnungswerberInnen aufgrund ihrer persönlichen Wohnsituation und Dringlichkeit der Wohnversorgung eine h</w:t>
            </w:r>
            <w:r w:rsidRPr="00B92AB2">
              <w:rPr>
                <w:i/>
                <w:sz w:val="20"/>
                <w:szCs w:val="20"/>
              </w:rPr>
              <w:t>ö</w:t>
            </w:r>
            <w:r w:rsidRPr="00B92AB2">
              <w:rPr>
                <w:i/>
                <w:sz w:val="20"/>
                <w:szCs w:val="20"/>
              </w:rPr>
              <w:t>here Punktezahl erreichen</w:t>
            </w:r>
            <w:r w:rsidR="00BA3FCD">
              <w:rPr>
                <w:i/>
                <w:sz w:val="20"/>
                <w:szCs w:val="20"/>
              </w:rPr>
              <w:t>.</w:t>
            </w:r>
          </w:p>
          <w:p w:rsidR="00BA3FCD" w:rsidRPr="00B92AB2" w:rsidRDefault="00BA3FCD" w:rsidP="00044AF0">
            <w:pPr>
              <w:spacing w:beforeLines="40" w:afterLines="40" w:line="240" w:lineRule="auto"/>
              <w:jc w:val="left"/>
              <w:rPr>
                <w:i/>
                <w:sz w:val="20"/>
                <w:szCs w:val="20"/>
              </w:rPr>
            </w:pPr>
            <w:r w:rsidRPr="00BA3FCD">
              <w:rPr>
                <w:i/>
                <w:sz w:val="20"/>
                <w:szCs w:val="20"/>
                <w:u w:val="single"/>
              </w:rPr>
              <w:t>Wohnberatung, WLH</w:t>
            </w:r>
            <w:r>
              <w:rPr>
                <w:i/>
                <w:sz w:val="20"/>
                <w:szCs w:val="20"/>
              </w:rPr>
              <w:t>: Kritik wird insbesondere daran geäußert, dass die Gemeinde Innsbruck die Zugangsbedingungen zum öffentlichen Wohnungsmarkt so gel</w:t>
            </w:r>
            <w:r>
              <w:rPr>
                <w:i/>
                <w:sz w:val="20"/>
                <w:szCs w:val="20"/>
              </w:rPr>
              <w:t>o</w:t>
            </w:r>
            <w:r>
              <w:rPr>
                <w:i/>
                <w:sz w:val="20"/>
                <w:szCs w:val="20"/>
              </w:rPr>
              <w:t>ckert hat, dass auch Mittelschichtsangehörige zugangsberechtigt sind. Gleichzeitig wurde eine Kontingentierung von leistbaren Wohnungen für den Bereich des B</w:t>
            </w:r>
            <w:r>
              <w:rPr>
                <w:i/>
                <w:sz w:val="20"/>
                <w:szCs w:val="20"/>
              </w:rPr>
              <w:t>e</w:t>
            </w:r>
            <w:r>
              <w:rPr>
                <w:i/>
                <w:sz w:val="20"/>
                <w:szCs w:val="20"/>
              </w:rPr>
              <w:t>treuten Wohnens verweigert, sodass sich für die Aufgaben der Wohnversorgung von Armutshaushalten (mit oder ohne Migrationshintergrund) große Schwierigke</w:t>
            </w:r>
            <w:r>
              <w:rPr>
                <w:i/>
                <w:sz w:val="20"/>
                <w:szCs w:val="20"/>
              </w:rPr>
              <w:t>i</w:t>
            </w:r>
            <w:r>
              <w:rPr>
                <w:i/>
                <w:sz w:val="20"/>
                <w:szCs w:val="20"/>
              </w:rPr>
              <w:t>ten ergeben.</w:t>
            </w:r>
          </w:p>
        </w:tc>
      </w:tr>
      <w:tr w:rsidR="00163117" w:rsidRPr="00B92AB2" w:rsidTr="00163117">
        <w:tc>
          <w:tcPr>
            <w:tcW w:w="1759" w:type="dxa"/>
          </w:tcPr>
          <w:p w:rsidR="00587957" w:rsidRDefault="00163117" w:rsidP="00044AF0">
            <w:pPr>
              <w:spacing w:beforeLines="40" w:afterLines="40" w:line="240" w:lineRule="auto"/>
              <w:rPr>
                <w:sz w:val="20"/>
                <w:szCs w:val="20"/>
              </w:rPr>
            </w:pPr>
            <w:r w:rsidRPr="00B92AB2">
              <w:rPr>
                <w:sz w:val="20"/>
                <w:szCs w:val="20"/>
              </w:rPr>
              <w:t>Gefördertes Wohneigentum</w:t>
            </w:r>
          </w:p>
        </w:tc>
        <w:tc>
          <w:tcPr>
            <w:tcW w:w="7529" w:type="dxa"/>
          </w:tcPr>
          <w:p w:rsidR="00587957" w:rsidRDefault="00163117" w:rsidP="00044AF0">
            <w:pPr>
              <w:spacing w:beforeLines="40" w:afterLines="40" w:line="240" w:lineRule="auto"/>
              <w:jc w:val="left"/>
              <w:rPr>
                <w:i/>
                <w:sz w:val="20"/>
                <w:szCs w:val="20"/>
              </w:rPr>
            </w:pPr>
            <w:r w:rsidRPr="00B92AB2">
              <w:rPr>
                <w:i/>
                <w:sz w:val="20"/>
                <w:szCs w:val="20"/>
              </w:rPr>
              <w:t>Kein Zugang für Drittstaatsangehörige</w:t>
            </w:r>
          </w:p>
          <w:p w:rsidR="00BA3FCD" w:rsidRDefault="00BA3FCD" w:rsidP="00044AF0">
            <w:pPr>
              <w:spacing w:beforeLines="40" w:afterLines="40" w:line="240" w:lineRule="auto"/>
              <w:jc w:val="left"/>
              <w:rPr>
                <w:i/>
                <w:sz w:val="20"/>
                <w:szCs w:val="20"/>
              </w:rPr>
            </w:pPr>
            <w:r w:rsidRPr="00BA3FCD">
              <w:rPr>
                <w:i/>
                <w:sz w:val="20"/>
                <w:szCs w:val="20"/>
                <w:u w:val="single"/>
              </w:rPr>
              <w:t>Wohnungsförderung</w:t>
            </w:r>
            <w:r>
              <w:rPr>
                <w:i/>
                <w:sz w:val="20"/>
                <w:szCs w:val="20"/>
              </w:rPr>
              <w:t>: Die Landesverwaltung sieht darin kein Problem, weil es sich dabei um kein relevantes Potenzial für die Wohnungsvergabe handelt.</w:t>
            </w:r>
          </w:p>
          <w:p w:rsidR="00BA3FCD" w:rsidRPr="00BA3FCD" w:rsidRDefault="00BA3FCD" w:rsidP="00044AF0">
            <w:pPr>
              <w:spacing w:beforeLines="40" w:afterLines="40" w:line="240" w:lineRule="auto"/>
              <w:jc w:val="left"/>
              <w:rPr>
                <w:i/>
                <w:sz w:val="20"/>
                <w:szCs w:val="20"/>
              </w:rPr>
            </w:pPr>
            <w:r>
              <w:rPr>
                <w:i/>
                <w:sz w:val="20"/>
                <w:szCs w:val="20"/>
                <w:u w:val="single"/>
              </w:rPr>
              <w:t>Wohnberatung, WLH</w:t>
            </w:r>
            <w:r>
              <w:rPr>
                <w:i/>
                <w:sz w:val="20"/>
                <w:szCs w:val="20"/>
              </w:rPr>
              <w:t xml:space="preserve"> kritisieren die übergroße Bedeutung der Eigentumsorienti</w:t>
            </w:r>
            <w:r>
              <w:rPr>
                <w:i/>
                <w:sz w:val="20"/>
                <w:szCs w:val="20"/>
              </w:rPr>
              <w:t>e</w:t>
            </w:r>
            <w:r>
              <w:rPr>
                <w:i/>
                <w:sz w:val="20"/>
                <w:szCs w:val="20"/>
              </w:rPr>
              <w:t xml:space="preserve">rung in der Zuteilung von Mitteln aus der Wohnbauförderung. Insbesondere in den ländlichen Regionen Tirols </w:t>
            </w:r>
            <w:r w:rsidR="00CB457A">
              <w:rPr>
                <w:i/>
                <w:sz w:val="20"/>
                <w:szCs w:val="20"/>
              </w:rPr>
              <w:t>bleiben damit MigrantInnen auf das kleine Segment der geförderten Mietwohnungen verwiesen. Stattdessen leben sie vielfach in überte</w:t>
            </w:r>
            <w:r w:rsidR="00CB457A">
              <w:rPr>
                <w:i/>
                <w:sz w:val="20"/>
                <w:szCs w:val="20"/>
              </w:rPr>
              <w:t>u</w:t>
            </w:r>
            <w:r w:rsidR="00CB457A">
              <w:rPr>
                <w:i/>
                <w:sz w:val="20"/>
                <w:szCs w:val="20"/>
              </w:rPr>
              <w:t>erten Privatwohnungen, häufig im Überbelag.</w:t>
            </w:r>
          </w:p>
        </w:tc>
      </w:tr>
    </w:tbl>
    <w:p w:rsidR="008C040E" w:rsidRDefault="008C040E" w:rsidP="000D5266">
      <w:pPr>
        <w:rPr>
          <w:b/>
          <w:u w:val="single"/>
          <w:lang w:eastAsia="en-US"/>
        </w:rPr>
      </w:pPr>
    </w:p>
    <w:p w:rsidR="000D5266" w:rsidRPr="00163117" w:rsidRDefault="000D5266" w:rsidP="000D5266">
      <w:pPr>
        <w:rPr>
          <w:u w:val="single"/>
          <w:lang w:eastAsia="en-US"/>
        </w:rPr>
      </w:pPr>
      <w:r w:rsidRPr="00163117">
        <w:rPr>
          <w:u w:val="single"/>
          <w:lang w:eastAsia="en-US"/>
        </w:rPr>
        <w:t>Fallbeispiel Wien</w:t>
      </w:r>
    </w:p>
    <w:tbl>
      <w:tblPr>
        <w:tblStyle w:val="Tabellengitternetz"/>
        <w:tblW w:w="0" w:type="auto"/>
        <w:tblLook w:val="04A0"/>
      </w:tblPr>
      <w:tblGrid>
        <w:gridCol w:w="1668"/>
        <w:gridCol w:w="7620"/>
      </w:tblGrid>
      <w:tr w:rsidR="000D5266" w:rsidRPr="00B92AB2" w:rsidTr="004F6230">
        <w:tc>
          <w:tcPr>
            <w:tcW w:w="1668" w:type="dxa"/>
          </w:tcPr>
          <w:p w:rsidR="00587957" w:rsidRDefault="000D5266" w:rsidP="00044AF0">
            <w:pPr>
              <w:spacing w:beforeLines="40" w:afterLines="40" w:line="240" w:lineRule="auto"/>
              <w:rPr>
                <w:sz w:val="20"/>
                <w:szCs w:val="20"/>
              </w:rPr>
            </w:pPr>
            <w:r w:rsidRPr="00B92AB2">
              <w:rPr>
                <w:sz w:val="20"/>
                <w:szCs w:val="20"/>
              </w:rPr>
              <w:t>Zugang zu g</w:t>
            </w:r>
            <w:r w:rsidRPr="00B92AB2">
              <w:rPr>
                <w:sz w:val="20"/>
                <w:szCs w:val="20"/>
              </w:rPr>
              <w:t>e</w:t>
            </w:r>
            <w:r w:rsidRPr="00B92AB2">
              <w:rPr>
                <w:sz w:val="20"/>
                <w:szCs w:val="20"/>
              </w:rPr>
              <w:t>förderten Mie</w:t>
            </w:r>
            <w:r w:rsidRPr="00B92AB2">
              <w:rPr>
                <w:sz w:val="20"/>
                <w:szCs w:val="20"/>
              </w:rPr>
              <w:t>t</w:t>
            </w:r>
            <w:r w:rsidRPr="00B92AB2">
              <w:rPr>
                <w:sz w:val="20"/>
                <w:szCs w:val="20"/>
              </w:rPr>
              <w:t>wohnungen</w:t>
            </w:r>
          </w:p>
        </w:tc>
        <w:tc>
          <w:tcPr>
            <w:tcW w:w="7620" w:type="dxa"/>
          </w:tcPr>
          <w:p w:rsidR="00587957" w:rsidRDefault="000D5266" w:rsidP="00044AF0">
            <w:pPr>
              <w:spacing w:beforeLines="40" w:afterLines="40" w:line="240" w:lineRule="auto"/>
              <w:jc w:val="left"/>
              <w:rPr>
                <w:i/>
                <w:sz w:val="20"/>
                <w:szCs w:val="20"/>
              </w:rPr>
            </w:pPr>
            <w:r w:rsidRPr="00B92AB2">
              <w:rPr>
                <w:rStyle w:val="SchwacherVerweis"/>
                <w:i/>
                <w:sz w:val="20"/>
                <w:szCs w:val="20"/>
              </w:rPr>
              <w:t>Wohnungsvergabestelle</w:t>
            </w:r>
            <w:r w:rsidR="003D3E84">
              <w:rPr>
                <w:rStyle w:val="SchwacherVerweis"/>
                <w:i/>
                <w:sz w:val="20"/>
                <w:szCs w:val="20"/>
              </w:rPr>
              <w:t xml:space="preserve">: </w:t>
            </w:r>
            <w:r w:rsidRPr="00B92AB2">
              <w:rPr>
                <w:i/>
                <w:sz w:val="20"/>
                <w:szCs w:val="20"/>
              </w:rPr>
              <w:t>Der legale Aufenthalt ist nachzuweisen, kein Meldezettel nötig, EU Aufenthalt nicht nötig, spezifische Aufenthaltstitel sind irrelevant</w:t>
            </w:r>
          </w:p>
          <w:p w:rsidR="001E30B4" w:rsidRDefault="000D5266" w:rsidP="00044AF0">
            <w:pPr>
              <w:spacing w:beforeLines="40" w:afterLines="40" w:line="240" w:lineRule="auto"/>
              <w:jc w:val="left"/>
              <w:rPr>
                <w:i/>
                <w:sz w:val="20"/>
                <w:szCs w:val="20"/>
              </w:rPr>
            </w:pPr>
            <w:r w:rsidRPr="00B92AB2">
              <w:rPr>
                <w:i/>
                <w:sz w:val="20"/>
                <w:szCs w:val="20"/>
              </w:rPr>
              <w:t>Einkommensnachweise werden überprüft, detto Familienstand und Wohnbedarf</w:t>
            </w:r>
          </w:p>
          <w:p w:rsidR="001E30B4" w:rsidRDefault="00B92AB2" w:rsidP="00044AF0">
            <w:pPr>
              <w:spacing w:beforeLines="40" w:afterLines="40" w:line="240" w:lineRule="auto"/>
              <w:jc w:val="left"/>
              <w:rPr>
                <w:i/>
                <w:sz w:val="20"/>
                <w:szCs w:val="20"/>
              </w:rPr>
            </w:pPr>
            <w:r>
              <w:rPr>
                <w:rStyle w:val="SchwacherVerweis"/>
                <w:i/>
                <w:sz w:val="20"/>
                <w:szCs w:val="20"/>
              </w:rPr>
              <w:t>Gemeinnützige</w:t>
            </w:r>
            <w:r w:rsidRPr="00B92AB2">
              <w:rPr>
                <w:rStyle w:val="SchwacherVerweis"/>
                <w:i/>
                <w:sz w:val="20"/>
                <w:szCs w:val="20"/>
              </w:rPr>
              <w:t xml:space="preserve"> </w:t>
            </w:r>
            <w:r>
              <w:rPr>
                <w:rStyle w:val="SchwacherVerweis"/>
                <w:i/>
                <w:sz w:val="20"/>
                <w:szCs w:val="20"/>
              </w:rPr>
              <w:t>Wohnbauträger</w:t>
            </w:r>
            <w:r w:rsidR="000D5266" w:rsidRPr="00B92AB2">
              <w:rPr>
                <w:rStyle w:val="SchwacherVerweis"/>
                <w:i/>
                <w:sz w:val="20"/>
                <w:szCs w:val="20"/>
              </w:rPr>
              <w:t>:</w:t>
            </w:r>
            <w:r w:rsidR="003D3E84">
              <w:rPr>
                <w:rStyle w:val="SchwacherVerweis"/>
                <w:i/>
                <w:sz w:val="20"/>
                <w:szCs w:val="20"/>
              </w:rPr>
              <w:t xml:space="preserve"> </w:t>
            </w:r>
            <w:r w:rsidR="000D5266" w:rsidRPr="00B92AB2">
              <w:rPr>
                <w:i/>
                <w:sz w:val="20"/>
                <w:szCs w:val="20"/>
              </w:rPr>
              <w:t>Anmeldung kann schriftlich, per Internet oder in persönlicher Vorsprache eingebracht werden</w:t>
            </w:r>
          </w:p>
          <w:p w:rsidR="001E30B4" w:rsidRDefault="000D5266" w:rsidP="00044AF0">
            <w:pPr>
              <w:spacing w:beforeLines="40" w:afterLines="40" w:line="240" w:lineRule="auto"/>
              <w:jc w:val="left"/>
              <w:rPr>
                <w:i/>
                <w:sz w:val="20"/>
                <w:szCs w:val="20"/>
              </w:rPr>
            </w:pPr>
            <w:r w:rsidRPr="00B92AB2">
              <w:rPr>
                <w:rStyle w:val="SchwacherVerweis"/>
                <w:i/>
                <w:sz w:val="20"/>
                <w:szCs w:val="20"/>
              </w:rPr>
              <w:t>WLH:</w:t>
            </w:r>
            <w:r w:rsidR="003D3E84">
              <w:rPr>
                <w:rStyle w:val="SchwacherVerweis"/>
                <w:i/>
                <w:sz w:val="20"/>
                <w:szCs w:val="20"/>
              </w:rPr>
              <w:t xml:space="preserve"> </w:t>
            </w:r>
            <w:r w:rsidRPr="00B92AB2">
              <w:rPr>
                <w:i/>
                <w:sz w:val="20"/>
                <w:szCs w:val="20"/>
              </w:rPr>
              <w:t xml:space="preserve">In den Segmenten des betreuten Übergangswohnens (in Wohnheimen, Wohngemeinschaften und Einzelwohnungen) sowie des sozial betreuten Wohnens </w:t>
            </w:r>
            <w:r w:rsidRPr="00B92AB2">
              <w:rPr>
                <w:i/>
                <w:sz w:val="20"/>
                <w:szCs w:val="20"/>
              </w:rPr>
              <w:lastRenderedPageBreak/>
              <w:t xml:space="preserve">(ohne Befristung; Unterbringung in je eigenen Wohnungen in Wohnhäusern) ist die Wohnungsvergabe abhängig von einer Zuweisung durch </w:t>
            </w:r>
            <w:r w:rsidR="00430823">
              <w:rPr>
                <w:i/>
                <w:sz w:val="20"/>
                <w:szCs w:val="20"/>
              </w:rPr>
              <w:t>die</w:t>
            </w:r>
            <w:r w:rsidRPr="00B92AB2">
              <w:rPr>
                <w:i/>
                <w:sz w:val="20"/>
                <w:szCs w:val="20"/>
              </w:rPr>
              <w:t xml:space="preserve"> zentrale Vergabestelle</w:t>
            </w:r>
            <w:r w:rsidR="00371B9A">
              <w:rPr>
                <w:i/>
                <w:sz w:val="20"/>
                <w:szCs w:val="20"/>
              </w:rPr>
              <w:t>, gemäß den Bestimmungen der Sozialhilfe / Bedarfsorientierten Mindestsicherung ist der Zugang auf langfristig Aufenthaltsberechtigte beschränkt</w:t>
            </w:r>
          </w:p>
          <w:p w:rsidR="001E30B4" w:rsidRDefault="000D5266" w:rsidP="00044AF0">
            <w:pPr>
              <w:spacing w:beforeLines="40" w:afterLines="40" w:line="240" w:lineRule="auto"/>
              <w:jc w:val="left"/>
              <w:rPr>
                <w:i/>
                <w:sz w:val="20"/>
                <w:szCs w:val="20"/>
              </w:rPr>
            </w:pPr>
            <w:r w:rsidRPr="00B92AB2">
              <w:rPr>
                <w:rStyle w:val="SchwacherVerweis"/>
                <w:i/>
                <w:sz w:val="20"/>
                <w:szCs w:val="20"/>
              </w:rPr>
              <w:t>Beratung / Betreuung von MigrantInnen:</w:t>
            </w:r>
            <w:r w:rsidR="003D3E84">
              <w:rPr>
                <w:rStyle w:val="SchwacherVerweis"/>
                <w:i/>
                <w:sz w:val="20"/>
                <w:szCs w:val="20"/>
              </w:rPr>
              <w:t xml:space="preserve"> </w:t>
            </w:r>
            <w:r w:rsidRPr="00B92AB2">
              <w:rPr>
                <w:i/>
                <w:sz w:val="20"/>
                <w:szCs w:val="20"/>
              </w:rPr>
              <w:t xml:space="preserve">Startwohnungen für MigrantInnen </w:t>
            </w:r>
            <w:r w:rsidR="00430823">
              <w:rPr>
                <w:i/>
                <w:sz w:val="20"/>
                <w:szCs w:val="20"/>
              </w:rPr>
              <w:t>stellen eine</w:t>
            </w:r>
            <w:r w:rsidRPr="00B92AB2">
              <w:rPr>
                <w:i/>
                <w:sz w:val="20"/>
                <w:szCs w:val="20"/>
              </w:rPr>
              <w:t xml:space="preserve"> Übergangslösung für die Dauer von 2 Jahren </w:t>
            </w:r>
            <w:r w:rsidR="00430823">
              <w:rPr>
                <w:i/>
                <w:sz w:val="20"/>
                <w:szCs w:val="20"/>
              </w:rPr>
              <w:t xml:space="preserve">dar, </w:t>
            </w:r>
            <w:r w:rsidRPr="00B92AB2">
              <w:rPr>
                <w:i/>
                <w:sz w:val="20"/>
                <w:szCs w:val="20"/>
              </w:rPr>
              <w:t>bis es zu einer Vermittlung in eine Gemeindewohnung kommen kann</w:t>
            </w:r>
            <w:r w:rsidR="003D3E84">
              <w:rPr>
                <w:i/>
                <w:sz w:val="20"/>
                <w:szCs w:val="20"/>
              </w:rPr>
              <w:t xml:space="preserve">; </w:t>
            </w:r>
            <w:r w:rsidRPr="00B92AB2">
              <w:rPr>
                <w:i/>
                <w:sz w:val="20"/>
                <w:szCs w:val="20"/>
              </w:rPr>
              <w:t xml:space="preserve">Voraussetzung für eine Startwohnung ist ein Erwerbseinkommen und kurze Aufenthaltsdauer in Wien </w:t>
            </w:r>
          </w:p>
        </w:tc>
      </w:tr>
      <w:tr w:rsidR="000D5266" w:rsidRPr="00B92AB2" w:rsidTr="004F6230">
        <w:tc>
          <w:tcPr>
            <w:tcW w:w="1668" w:type="dxa"/>
          </w:tcPr>
          <w:p w:rsidR="00587957" w:rsidRDefault="000D5266" w:rsidP="00044AF0">
            <w:pPr>
              <w:spacing w:beforeLines="40" w:afterLines="40" w:line="240" w:lineRule="auto"/>
              <w:rPr>
                <w:sz w:val="20"/>
                <w:szCs w:val="20"/>
              </w:rPr>
            </w:pPr>
            <w:r w:rsidRPr="00B92AB2">
              <w:rPr>
                <w:sz w:val="20"/>
                <w:szCs w:val="20"/>
              </w:rPr>
              <w:lastRenderedPageBreak/>
              <w:t>Vergabe</w:t>
            </w:r>
          </w:p>
        </w:tc>
        <w:tc>
          <w:tcPr>
            <w:tcW w:w="7620" w:type="dxa"/>
          </w:tcPr>
          <w:p w:rsidR="00587957" w:rsidRDefault="000D5266" w:rsidP="00044AF0">
            <w:pPr>
              <w:spacing w:beforeLines="40" w:afterLines="40" w:line="240" w:lineRule="auto"/>
              <w:jc w:val="left"/>
              <w:rPr>
                <w:i/>
                <w:sz w:val="20"/>
                <w:szCs w:val="20"/>
              </w:rPr>
            </w:pPr>
            <w:r w:rsidRPr="00B92AB2">
              <w:rPr>
                <w:rStyle w:val="SchwacherVerweis"/>
                <w:i/>
                <w:sz w:val="20"/>
                <w:szCs w:val="20"/>
              </w:rPr>
              <w:t>Wohnungsvergabestelle:</w:t>
            </w:r>
            <w:r w:rsidR="003D3E84">
              <w:rPr>
                <w:rStyle w:val="SchwacherVerweis"/>
                <w:i/>
                <w:sz w:val="20"/>
                <w:szCs w:val="20"/>
              </w:rPr>
              <w:t xml:space="preserve"> </w:t>
            </w:r>
            <w:r w:rsidRPr="00B92AB2">
              <w:rPr>
                <w:i/>
                <w:sz w:val="20"/>
                <w:szCs w:val="20"/>
              </w:rPr>
              <w:t>Wohnungen werden im Angebotsmanagement so vorb</w:t>
            </w:r>
            <w:r w:rsidRPr="00B92AB2">
              <w:rPr>
                <w:i/>
                <w:sz w:val="20"/>
                <w:szCs w:val="20"/>
              </w:rPr>
              <w:t>e</w:t>
            </w:r>
            <w:r w:rsidRPr="00B92AB2">
              <w:rPr>
                <w:i/>
                <w:sz w:val="20"/>
                <w:szCs w:val="20"/>
              </w:rPr>
              <w:t>reitet, dass sie im Internet dargestellt werden können und werden dann autom</w:t>
            </w:r>
            <w:r w:rsidRPr="00B92AB2">
              <w:rPr>
                <w:i/>
                <w:sz w:val="20"/>
                <w:szCs w:val="20"/>
              </w:rPr>
              <w:t>a</w:t>
            </w:r>
            <w:r w:rsidRPr="00B92AB2">
              <w:rPr>
                <w:i/>
                <w:sz w:val="20"/>
                <w:szCs w:val="20"/>
              </w:rPr>
              <w:t>tisch online gestellt</w:t>
            </w:r>
          </w:p>
          <w:p w:rsidR="001E30B4" w:rsidRDefault="000D5266" w:rsidP="00044AF0">
            <w:pPr>
              <w:spacing w:beforeLines="40" w:afterLines="40" w:line="240" w:lineRule="auto"/>
              <w:jc w:val="left"/>
              <w:rPr>
                <w:i/>
                <w:sz w:val="20"/>
                <w:szCs w:val="20"/>
              </w:rPr>
            </w:pPr>
            <w:r w:rsidRPr="00B92AB2">
              <w:rPr>
                <w:i/>
                <w:sz w:val="20"/>
                <w:szCs w:val="20"/>
              </w:rPr>
              <w:t>Transparenz in der Vergabe – hohe Qualität im geförderten Wohnbau</w:t>
            </w:r>
          </w:p>
          <w:p w:rsidR="001E30B4" w:rsidRDefault="000D5266" w:rsidP="00044AF0">
            <w:pPr>
              <w:spacing w:beforeLines="40" w:afterLines="40" w:line="240" w:lineRule="auto"/>
              <w:jc w:val="left"/>
              <w:rPr>
                <w:i/>
                <w:sz w:val="20"/>
                <w:szCs w:val="20"/>
              </w:rPr>
            </w:pPr>
            <w:r w:rsidRPr="00B92AB2">
              <w:rPr>
                <w:i/>
                <w:sz w:val="20"/>
                <w:szCs w:val="20"/>
              </w:rPr>
              <w:t>Persönliche Beratung – in diversen Sprachen</w:t>
            </w:r>
          </w:p>
          <w:p w:rsidR="001E30B4" w:rsidRDefault="000D5266" w:rsidP="00044AF0">
            <w:pPr>
              <w:spacing w:beforeLines="40" w:afterLines="40" w:line="240" w:lineRule="auto"/>
              <w:jc w:val="left"/>
              <w:rPr>
                <w:i/>
                <w:sz w:val="20"/>
                <w:szCs w:val="20"/>
              </w:rPr>
            </w:pPr>
            <w:r w:rsidRPr="00B92AB2">
              <w:rPr>
                <w:rStyle w:val="SchwacherVerweis"/>
                <w:i/>
                <w:sz w:val="20"/>
                <w:szCs w:val="20"/>
              </w:rPr>
              <w:t>Soziale Wohnungsvergabe:</w:t>
            </w:r>
            <w:r w:rsidR="003D3E84">
              <w:rPr>
                <w:rStyle w:val="SchwacherVerweis"/>
                <w:i/>
                <w:sz w:val="20"/>
                <w:szCs w:val="20"/>
              </w:rPr>
              <w:t xml:space="preserve"> </w:t>
            </w:r>
            <w:r w:rsidRPr="00B92AB2">
              <w:rPr>
                <w:i/>
                <w:sz w:val="20"/>
                <w:szCs w:val="20"/>
              </w:rPr>
              <w:t xml:space="preserve">Keine Unterscheidung nach der Staatsbürgerschaft – Dauer der Meldung in Wien: 2 Jahre; Einkommensgrenze: nicht </w:t>
            </w:r>
            <w:r w:rsidR="00817A31">
              <w:rPr>
                <w:i/>
                <w:sz w:val="20"/>
                <w:szCs w:val="20"/>
              </w:rPr>
              <w:t>mehr als € 1.160 (Einzelperson)</w:t>
            </w:r>
            <w:r w:rsidR="00915BB1">
              <w:rPr>
                <w:i/>
                <w:sz w:val="20"/>
                <w:szCs w:val="20"/>
              </w:rPr>
              <w:br/>
            </w:r>
          </w:p>
          <w:p w:rsidR="001E30B4" w:rsidRDefault="000D5266" w:rsidP="00044AF0">
            <w:pPr>
              <w:spacing w:beforeLines="40" w:afterLines="40" w:line="240" w:lineRule="auto"/>
              <w:jc w:val="left"/>
              <w:rPr>
                <w:i/>
                <w:sz w:val="20"/>
                <w:szCs w:val="20"/>
              </w:rPr>
            </w:pPr>
            <w:r w:rsidRPr="00B92AB2">
              <w:rPr>
                <w:rStyle w:val="SchwacherVerweis"/>
                <w:i/>
                <w:sz w:val="20"/>
                <w:szCs w:val="20"/>
              </w:rPr>
              <w:t>WLH:</w:t>
            </w:r>
            <w:r w:rsidR="003D3E84">
              <w:rPr>
                <w:rStyle w:val="SchwacherVerweis"/>
                <w:i/>
                <w:sz w:val="20"/>
                <w:szCs w:val="20"/>
              </w:rPr>
              <w:t xml:space="preserve"> </w:t>
            </w:r>
            <w:r w:rsidRPr="00B92AB2">
              <w:rPr>
                <w:i/>
                <w:sz w:val="20"/>
                <w:szCs w:val="20"/>
              </w:rPr>
              <w:t>Voraussetzung für den Bezug einer betreuten Unterkunft ist Daueraufenthalt in der EU (Ausnahmen sind jedoch möglich); Drittstaatsangehörige benötigen eine aufrechte Aufenthaltsbewilligung, die für die Daue</w:t>
            </w:r>
            <w:r w:rsidR="00817A31">
              <w:rPr>
                <w:i/>
                <w:sz w:val="20"/>
                <w:szCs w:val="20"/>
              </w:rPr>
              <w:t>r der Unterbringung gelten muss</w:t>
            </w:r>
          </w:p>
          <w:p w:rsidR="001E30B4" w:rsidRDefault="000D5266" w:rsidP="00044AF0">
            <w:pPr>
              <w:spacing w:beforeLines="40" w:afterLines="40" w:line="240" w:lineRule="auto"/>
              <w:jc w:val="left"/>
              <w:rPr>
                <w:i/>
                <w:sz w:val="20"/>
                <w:szCs w:val="20"/>
              </w:rPr>
            </w:pPr>
            <w:r w:rsidRPr="00B92AB2">
              <w:rPr>
                <w:rStyle w:val="SchwacherVerweis"/>
                <w:i/>
                <w:sz w:val="20"/>
                <w:szCs w:val="20"/>
              </w:rPr>
              <w:t>gemeinnützige Wohnbauträger:</w:t>
            </w:r>
            <w:r w:rsidR="003D3E84">
              <w:rPr>
                <w:rStyle w:val="SchwacherVerweis"/>
                <w:i/>
                <w:sz w:val="20"/>
                <w:szCs w:val="20"/>
              </w:rPr>
              <w:t xml:space="preserve"> </w:t>
            </w:r>
            <w:r w:rsidRPr="00B92AB2">
              <w:rPr>
                <w:i/>
                <w:sz w:val="20"/>
                <w:szCs w:val="20"/>
              </w:rPr>
              <w:t>Die Anmeldungen werden in eine Datenbank je nach Anmeldung eingegeben. Die Wohnungsvergabe lädt nach dieser Liste ein und entscheidet. „Es wird nicht anges</w:t>
            </w:r>
            <w:r w:rsidR="00915BB1">
              <w:rPr>
                <w:i/>
                <w:sz w:val="20"/>
                <w:szCs w:val="20"/>
              </w:rPr>
              <w:t>ehen, ob jemand zum Haus passt.</w:t>
            </w:r>
            <w:r w:rsidRPr="00B92AB2">
              <w:rPr>
                <w:i/>
                <w:sz w:val="20"/>
                <w:szCs w:val="20"/>
              </w:rPr>
              <w:t xml:space="preserve"> Das sieht man jemandem ja gar nicht an.</w:t>
            </w:r>
            <w:r w:rsidR="00915BB1">
              <w:rPr>
                <w:i/>
                <w:sz w:val="20"/>
                <w:szCs w:val="20"/>
              </w:rPr>
              <w:t>“</w:t>
            </w:r>
          </w:p>
          <w:p w:rsidR="001E30B4" w:rsidRDefault="000D5266" w:rsidP="00044AF0">
            <w:pPr>
              <w:spacing w:beforeLines="40" w:afterLines="40" w:line="240" w:lineRule="auto"/>
              <w:jc w:val="left"/>
              <w:rPr>
                <w:i/>
                <w:sz w:val="20"/>
                <w:szCs w:val="20"/>
              </w:rPr>
            </w:pPr>
            <w:r w:rsidRPr="00B92AB2">
              <w:rPr>
                <w:i/>
                <w:sz w:val="20"/>
                <w:szCs w:val="20"/>
              </w:rPr>
              <w:t>Bei der Vergabe entscheidet die zuständige Person der Vergabe alleine. Im Rege</w:t>
            </w:r>
            <w:r w:rsidRPr="00B92AB2">
              <w:rPr>
                <w:i/>
                <w:sz w:val="20"/>
                <w:szCs w:val="20"/>
              </w:rPr>
              <w:t>l</w:t>
            </w:r>
            <w:r w:rsidRPr="00B92AB2">
              <w:rPr>
                <w:i/>
                <w:sz w:val="20"/>
                <w:szCs w:val="20"/>
              </w:rPr>
              <w:t>fall nach dem Dat</w:t>
            </w:r>
            <w:r w:rsidR="00817A31">
              <w:rPr>
                <w:i/>
                <w:sz w:val="20"/>
                <w:szCs w:val="20"/>
              </w:rPr>
              <w:t>um der Anmeldung und dem Bedarf.</w:t>
            </w:r>
          </w:p>
          <w:p w:rsidR="001E30B4" w:rsidRDefault="000D5266" w:rsidP="00044AF0">
            <w:pPr>
              <w:spacing w:beforeLines="40" w:afterLines="40" w:line="240" w:lineRule="auto"/>
              <w:jc w:val="left"/>
              <w:rPr>
                <w:i/>
                <w:sz w:val="20"/>
                <w:szCs w:val="20"/>
              </w:rPr>
            </w:pPr>
            <w:r w:rsidRPr="00B92AB2">
              <w:rPr>
                <w:rStyle w:val="SchwacherVerweis"/>
                <w:i/>
                <w:sz w:val="20"/>
                <w:szCs w:val="20"/>
              </w:rPr>
              <w:t>Beratung / Betreuung von MigrantInnen:</w:t>
            </w:r>
            <w:r w:rsidR="003D3E84">
              <w:rPr>
                <w:rStyle w:val="SchwacherVerweis"/>
                <w:i/>
                <w:sz w:val="20"/>
                <w:szCs w:val="20"/>
              </w:rPr>
              <w:t xml:space="preserve"> </w:t>
            </w:r>
            <w:r w:rsidRPr="00B92AB2">
              <w:rPr>
                <w:i/>
                <w:sz w:val="20"/>
                <w:szCs w:val="20"/>
              </w:rPr>
              <w:t>Also die Leute können anrufen und dann wird ihnen gesagt was sie zur Anmeldung mitbringen müssen, es wird ihnen ein Termin gegeben und ein Betreuer zugeteilt. Dann werden gemeinsam Ziel sowie Rechte und Pflichten besprochen. @home Startwohnungen sieht sich als betreue</w:t>
            </w:r>
            <w:r w:rsidRPr="00B92AB2">
              <w:rPr>
                <w:i/>
                <w:sz w:val="20"/>
                <w:szCs w:val="20"/>
              </w:rPr>
              <w:t>n</w:t>
            </w:r>
            <w:r w:rsidRPr="00B92AB2">
              <w:rPr>
                <w:i/>
                <w:sz w:val="20"/>
                <w:szCs w:val="20"/>
              </w:rPr>
              <w:t xml:space="preserve">de Einrichtung, die den Leuten den Einstieg in Österreich erleichtern will. </w:t>
            </w:r>
          </w:p>
          <w:p w:rsidR="001E30B4" w:rsidRDefault="000D5266" w:rsidP="00044AF0">
            <w:pPr>
              <w:spacing w:beforeLines="40" w:afterLines="40" w:line="240" w:lineRule="auto"/>
              <w:jc w:val="left"/>
              <w:rPr>
                <w:i/>
                <w:sz w:val="20"/>
                <w:szCs w:val="20"/>
              </w:rPr>
            </w:pPr>
            <w:r w:rsidRPr="00B92AB2">
              <w:rPr>
                <w:i/>
                <w:sz w:val="20"/>
                <w:szCs w:val="20"/>
              </w:rPr>
              <w:t>In den Gesprächen wird geklärt, was zu tun ist: Deutschkurs, pünktliche Überwe</w:t>
            </w:r>
            <w:r w:rsidRPr="00B92AB2">
              <w:rPr>
                <w:i/>
                <w:sz w:val="20"/>
                <w:szCs w:val="20"/>
              </w:rPr>
              <w:t>i</w:t>
            </w:r>
            <w:r w:rsidRPr="00B92AB2">
              <w:rPr>
                <w:i/>
                <w:sz w:val="20"/>
                <w:szCs w:val="20"/>
              </w:rPr>
              <w:t>sung der Miete, Ausbildung</w:t>
            </w:r>
            <w:r w:rsidR="00430823">
              <w:rPr>
                <w:i/>
                <w:sz w:val="20"/>
                <w:szCs w:val="20"/>
              </w:rPr>
              <w:t xml:space="preserve"> etc.</w:t>
            </w:r>
            <w:r w:rsidRPr="00B92AB2">
              <w:rPr>
                <w:i/>
                <w:sz w:val="20"/>
                <w:szCs w:val="20"/>
              </w:rPr>
              <w:t xml:space="preserve"> </w:t>
            </w:r>
          </w:p>
          <w:p w:rsidR="001E30B4" w:rsidRDefault="000D5266" w:rsidP="00044AF0">
            <w:pPr>
              <w:spacing w:beforeLines="40" w:afterLines="40" w:line="240" w:lineRule="auto"/>
              <w:jc w:val="left"/>
              <w:rPr>
                <w:i/>
                <w:sz w:val="20"/>
                <w:szCs w:val="20"/>
              </w:rPr>
            </w:pPr>
            <w:r w:rsidRPr="00B92AB2">
              <w:rPr>
                <w:i/>
                <w:sz w:val="20"/>
                <w:szCs w:val="20"/>
              </w:rPr>
              <w:t>Der Deutschkurs ist nicht verpflichtend und hat keine Konsequenzen auf den Erhalt oder Nichterhalt einer Wohnung.</w:t>
            </w:r>
          </w:p>
        </w:tc>
      </w:tr>
      <w:tr w:rsidR="00163117" w:rsidRPr="00B92AB2" w:rsidTr="004F6230">
        <w:tc>
          <w:tcPr>
            <w:tcW w:w="1668" w:type="dxa"/>
          </w:tcPr>
          <w:p w:rsidR="00587957" w:rsidRDefault="00163117" w:rsidP="00044AF0">
            <w:pPr>
              <w:spacing w:beforeLines="40" w:afterLines="40" w:line="240" w:lineRule="auto"/>
              <w:rPr>
                <w:sz w:val="20"/>
                <w:szCs w:val="20"/>
              </w:rPr>
            </w:pPr>
            <w:r w:rsidRPr="00B92AB2">
              <w:rPr>
                <w:sz w:val="20"/>
                <w:szCs w:val="20"/>
              </w:rPr>
              <w:t>Gefördertes Wohneigentum</w:t>
            </w:r>
          </w:p>
        </w:tc>
        <w:tc>
          <w:tcPr>
            <w:tcW w:w="7620" w:type="dxa"/>
          </w:tcPr>
          <w:p w:rsidR="00587957" w:rsidRDefault="00163117" w:rsidP="00044AF0">
            <w:pPr>
              <w:spacing w:beforeLines="40" w:afterLines="40" w:line="240" w:lineRule="auto"/>
              <w:jc w:val="left"/>
              <w:rPr>
                <w:i/>
                <w:sz w:val="20"/>
                <w:szCs w:val="20"/>
              </w:rPr>
            </w:pPr>
            <w:r w:rsidRPr="00B92AB2">
              <w:rPr>
                <w:i/>
                <w:sz w:val="20"/>
                <w:szCs w:val="20"/>
              </w:rPr>
              <w:t>Zugang für Drittstaatsangehörige</w:t>
            </w:r>
            <w:r w:rsidR="00CB457A">
              <w:rPr>
                <w:i/>
                <w:sz w:val="20"/>
                <w:szCs w:val="20"/>
              </w:rPr>
              <w:t xml:space="preserve"> – grundsätzlich möglich, eine Eigentumsoption auf geförderte Mietwohnungen ist allerdings erst nach zehn Jahren Nutzung mö</w:t>
            </w:r>
            <w:r w:rsidR="00CB457A">
              <w:rPr>
                <w:i/>
                <w:sz w:val="20"/>
                <w:szCs w:val="20"/>
              </w:rPr>
              <w:t>g</w:t>
            </w:r>
            <w:r w:rsidR="00CB457A">
              <w:rPr>
                <w:i/>
                <w:sz w:val="20"/>
                <w:szCs w:val="20"/>
              </w:rPr>
              <w:t>lich. Überwiegend haben die MieterInnen in dieser Zeit bereits die österreichische Staatsbürgerschaft angenommen, sodass sich die Frage des Zugangs für Migra</w:t>
            </w:r>
            <w:r w:rsidR="00CB457A">
              <w:rPr>
                <w:i/>
                <w:sz w:val="20"/>
                <w:szCs w:val="20"/>
              </w:rPr>
              <w:t>n</w:t>
            </w:r>
            <w:r w:rsidR="00CB457A">
              <w:rPr>
                <w:i/>
                <w:sz w:val="20"/>
                <w:szCs w:val="20"/>
              </w:rPr>
              <w:t>tInnen nur in Einzelfällen stellt.</w:t>
            </w:r>
          </w:p>
        </w:tc>
      </w:tr>
    </w:tbl>
    <w:p w:rsidR="00CB457A" w:rsidRDefault="00CB457A" w:rsidP="00817A31"/>
    <w:p w:rsidR="00817A31" w:rsidRDefault="00817A31" w:rsidP="00817A31">
      <w:r>
        <w:t>Zusammenfassend kann hier festgehalten werden:</w:t>
      </w:r>
      <w:r>
        <w:br/>
      </w:r>
    </w:p>
    <w:p w:rsidR="00817A31" w:rsidRPr="00E35061" w:rsidRDefault="00915BB1" w:rsidP="003D3E84">
      <w:pPr>
        <w:rPr>
          <w:rStyle w:val="SchwacherVerweis"/>
        </w:rPr>
      </w:pPr>
      <w:r>
        <w:rPr>
          <w:rStyle w:val="SchwacherVerweis"/>
        </w:rPr>
        <w:t xml:space="preserve">Der </w:t>
      </w:r>
      <w:r w:rsidR="00817A31" w:rsidRPr="00E35061">
        <w:rPr>
          <w:rStyle w:val="SchwacherVerweis"/>
        </w:rPr>
        <w:t>Zugang zu öffentlichem Wohnraum</w:t>
      </w:r>
      <w:r w:rsidR="006760A1">
        <w:rPr>
          <w:rStyle w:val="SchwacherVerweis"/>
        </w:rPr>
        <w:t xml:space="preserve"> </w:t>
      </w:r>
      <w:r w:rsidR="00371B9A">
        <w:rPr>
          <w:rStyle w:val="SchwacherVerweis"/>
        </w:rPr>
        <w:t xml:space="preserve">ist deutlich </w:t>
      </w:r>
      <w:r w:rsidR="006760A1">
        <w:rPr>
          <w:rStyle w:val="SchwacherVerweis"/>
        </w:rPr>
        <w:t>eingeschränkt gewährleistet</w:t>
      </w:r>
    </w:p>
    <w:p w:rsidR="00817A31" w:rsidRDefault="00817A31" w:rsidP="00817A31">
      <w:r>
        <w:t>Die</w:t>
      </w:r>
      <w:r w:rsidR="00371B9A">
        <w:t xml:space="preserve"> Zugänge zum öffentlichen Wohnungsmarkt</w:t>
      </w:r>
      <w:r>
        <w:t xml:space="preserve"> sind in allen Modellregionen auf das Segment der geförderten Mietwohnungen </w:t>
      </w:r>
      <w:r w:rsidR="00915BB1">
        <w:t>beschränkt</w:t>
      </w:r>
      <w:r>
        <w:t xml:space="preserve">. Der Zugang zum Marktsegment des geförderten Wohneigentums ist Nicht-ÖsterreicherInnen zu weiten Teilen verstellt bzw. </w:t>
      </w:r>
      <w:r w:rsidR="00CB457A">
        <w:t>im Sinne einer vo</w:t>
      </w:r>
      <w:r w:rsidR="00CB457A">
        <w:t>r</w:t>
      </w:r>
      <w:r w:rsidR="00CB457A">
        <w:lastRenderedPageBreak/>
        <w:t>ab erforderlichen Grunderwerbsgenehmigung</w:t>
      </w:r>
      <w:r>
        <w:t xml:space="preserve"> erschwert. </w:t>
      </w:r>
      <w:r w:rsidR="003D3E84">
        <w:t>In den Interviews wird diese Ei</w:t>
      </w:r>
      <w:r w:rsidR="003D3E84">
        <w:t>n</w:t>
      </w:r>
      <w:r w:rsidR="003D3E84">
        <w:t xml:space="preserve">schränkung vielfach als irrelevant abgetan und </w:t>
      </w:r>
      <w:r w:rsidR="00CB457A">
        <w:t>darauf verwiesen</w:t>
      </w:r>
      <w:r w:rsidR="003D3E84">
        <w:t>, dass es in diesem Mark</w:t>
      </w:r>
      <w:r w:rsidR="003D3E84">
        <w:t>t</w:t>
      </w:r>
      <w:r w:rsidR="003D3E84">
        <w:t xml:space="preserve">segment kaum eine Fluktuation gibt und es somit auch nur sehr selten zu einer Neuvergabe durch </w:t>
      </w:r>
      <w:r w:rsidR="00CB457A">
        <w:t>Wohnungsämter etc.</w:t>
      </w:r>
      <w:r w:rsidR="003D3E84">
        <w:t xml:space="preserve"> kommt</w:t>
      </w:r>
      <w:r w:rsidR="00CB457A">
        <w:t>, in der die soziale Bindung dieser Wohnungen gelten wü</w:t>
      </w:r>
      <w:r w:rsidR="00CB457A">
        <w:t>r</w:t>
      </w:r>
      <w:r w:rsidR="00CB457A">
        <w:t>de</w:t>
      </w:r>
      <w:r w:rsidR="003D3E84">
        <w:t xml:space="preserve">. Tatsache ist jedoch, dass </w:t>
      </w:r>
      <w:r w:rsidR="001F53EA">
        <w:t>dieses Wohnungsmarktsegment sich durch hohe Wohnqualität und niedrige Wohnkostenbelastung auszeichnet. Eine fehlende soziale und ethnische Durchm</w:t>
      </w:r>
      <w:r w:rsidR="001F53EA">
        <w:t>i</w:t>
      </w:r>
      <w:r w:rsidR="001F53EA">
        <w:t>schung in diesem quantitativ wichtigen Segment des Wohnungsmarktes führt naturgemäß zu einer Verschärfung der Nachfragesituation auf dem Mietwohnungsmarkt und (indirekt) zu e</w:t>
      </w:r>
      <w:r w:rsidR="001F53EA">
        <w:t>i</w:t>
      </w:r>
      <w:r w:rsidR="001F53EA">
        <w:t>ner Konkurrenzierung um verfügbare leistbare Wohnungen.</w:t>
      </w:r>
      <w:r>
        <w:br/>
      </w:r>
    </w:p>
    <w:p w:rsidR="00817A31" w:rsidRPr="00915BB1" w:rsidRDefault="00817A31" w:rsidP="00817A31">
      <w:pPr>
        <w:ind w:left="708"/>
      </w:pPr>
      <w:r w:rsidRPr="00915BB1">
        <w:t xml:space="preserve">Haushalte mit Migrationshintergrund müssen </w:t>
      </w:r>
      <w:r w:rsidR="00371B9A" w:rsidRPr="00915BB1">
        <w:t>eine Grunderwerbsgenehmigung bea</w:t>
      </w:r>
      <w:r w:rsidR="00371B9A" w:rsidRPr="00915BB1">
        <w:t>n</w:t>
      </w:r>
      <w:r w:rsidR="00371B9A" w:rsidRPr="00915BB1">
        <w:t xml:space="preserve">tragen oder </w:t>
      </w:r>
      <w:r w:rsidRPr="00915BB1">
        <w:t xml:space="preserve">die österreichische Staatsbürgerschaft </w:t>
      </w:r>
      <w:r w:rsidR="00371B9A" w:rsidRPr="00915BB1">
        <w:t>annehmen</w:t>
      </w:r>
      <w:r w:rsidRPr="00915BB1">
        <w:t>, um einen Zugang zu g</w:t>
      </w:r>
      <w:r w:rsidRPr="00915BB1">
        <w:t>e</w:t>
      </w:r>
      <w:r w:rsidRPr="00915BB1">
        <w:t>fördertem Wohneigentum realisieren zu können.</w:t>
      </w:r>
      <w:r w:rsidRPr="00915BB1">
        <w:br/>
      </w:r>
    </w:p>
    <w:p w:rsidR="00817A31" w:rsidRPr="00E35061" w:rsidRDefault="00817A31" w:rsidP="00817A31">
      <w:pPr>
        <w:rPr>
          <w:rStyle w:val="SchwacherVerweis"/>
        </w:rPr>
      </w:pPr>
      <w:r w:rsidRPr="00E35061">
        <w:rPr>
          <w:rStyle w:val="SchwacherVerweis"/>
        </w:rPr>
        <w:t>Zugang zu geförderten Miet- oder Gemeindewohnungen</w:t>
      </w:r>
      <w:r>
        <w:rPr>
          <w:rStyle w:val="SchwacherVerweis"/>
        </w:rPr>
        <w:t xml:space="preserve"> ist abhängig von der Förderwürdi</w:t>
      </w:r>
      <w:r>
        <w:rPr>
          <w:rStyle w:val="SchwacherVerweis"/>
        </w:rPr>
        <w:t>g</w:t>
      </w:r>
      <w:r>
        <w:rPr>
          <w:rStyle w:val="SchwacherVerweis"/>
        </w:rPr>
        <w:t>keit der WohnungswerberInnen</w:t>
      </w:r>
    </w:p>
    <w:p w:rsidR="00817A31" w:rsidRDefault="00817A31" w:rsidP="00817A31">
      <w:r>
        <w:t xml:space="preserve">In Bezug auf das Marktsegment der geförderten Mietwohnungen gilt </w:t>
      </w:r>
      <w:r w:rsidR="00EC3AE1">
        <w:t>gemäß den Wohnbaufö</w:t>
      </w:r>
      <w:r w:rsidR="00EC3AE1">
        <w:t>r</w:t>
      </w:r>
      <w:r w:rsidR="00EC3AE1">
        <w:t xml:space="preserve">derungsgesetzen der Länder </w:t>
      </w:r>
      <w:r w:rsidR="005E1BC3">
        <w:t xml:space="preserve">(WBFG) </w:t>
      </w:r>
      <w:r w:rsidR="00EC3AE1">
        <w:t xml:space="preserve">eine </w:t>
      </w:r>
      <w:r>
        <w:t>weitgehende Gleichbehandlung, eingeschränkt g</w:t>
      </w:r>
      <w:r>
        <w:t>e</w:t>
      </w:r>
      <w:r>
        <w:t>mäß den Be</w:t>
      </w:r>
      <w:r w:rsidR="002809A5">
        <w:t>stimmungen zur Förderwürdigkeit</w:t>
      </w:r>
      <w:r>
        <w:t xml:space="preserve">. Förderwürdig sind demnach </w:t>
      </w:r>
      <w:r w:rsidR="00EC3AE1">
        <w:t>in allen Bunde</w:t>
      </w:r>
      <w:r w:rsidR="00EC3AE1">
        <w:t>s</w:t>
      </w:r>
      <w:r w:rsidR="00EC3AE1">
        <w:t xml:space="preserve">ländern </w:t>
      </w:r>
      <w:r w:rsidR="002809A5">
        <w:t xml:space="preserve">neben </w:t>
      </w:r>
      <w:r>
        <w:t xml:space="preserve">ÖsterreicherInnen und diesen </w:t>
      </w:r>
      <w:r w:rsidR="002809A5">
        <w:t>gemäß internationaler Verträge und Verpflic</w:t>
      </w:r>
      <w:r w:rsidR="002809A5">
        <w:t>h</w:t>
      </w:r>
      <w:r w:rsidR="002809A5">
        <w:t xml:space="preserve">tungen </w:t>
      </w:r>
      <w:r>
        <w:t>gleichgestellte Personen aus EU- oder EWR-Ländern</w:t>
      </w:r>
      <w:r w:rsidR="00371B9A">
        <w:t>.</w:t>
      </w:r>
      <w:r>
        <w:t xml:space="preserve"> </w:t>
      </w:r>
      <w:r w:rsidR="00371B9A">
        <w:t xml:space="preserve">In Bezug auf </w:t>
      </w:r>
      <w:r w:rsidR="00EC3AE1">
        <w:t>die Förderwürdi</w:t>
      </w:r>
      <w:r w:rsidR="00EC3AE1">
        <w:t>g</w:t>
      </w:r>
      <w:r w:rsidR="00EC3AE1">
        <w:t xml:space="preserve">keit von </w:t>
      </w:r>
      <w:r>
        <w:t>anerkannte</w:t>
      </w:r>
      <w:r w:rsidR="00EC3AE1">
        <w:t>n</w:t>
      </w:r>
      <w:r>
        <w:t xml:space="preserve"> Flüchtlinge</w:t>
      </w:r>
      <w:r w:rsidR="00EC0FB4">
        <w:t>n</w:t>
      </w:r>
      <w:r w:rsidR="00EC3AE1">
        <w:t>, subsidiär Schutzberechtigten</w:t>
      </w:r>
      <w:r>
        <w:t xml:space="preserve"> sowie Drittstaatsangehörige</w:t>
      </w:r>
      <w:r w:rsidR="00EC3AE1">
        <w:t>n</w:t>
      </w:r>
      <w:r>
        <w:t xml:space="preserve"> </w:t>
      </w:r>
      <w:r w:rsidR="00371B9A">
        <w:t>zeigen sich erhebliche Unterschiede zwischen den Bundesländern</w:t>
      </w:r>
      <w:r>
        <w:t xml:space="preserve">. </w:t>
      </w:r>
      <w:r>
        <w:br/>
      </w:r>
    </w:p>
    <w:p w:rsidR="005E1BC3" w:rsidRPr="00915BB1" w:rsidRDefault="00817A31" w:rsidP="00817A31">
      <w:pPr>
        <w:ind w:left="708"/>
      </w:pPr>
      <w:r w:rsidRPr="00915BB1">
        <w:t xml:space="preserve">Vom Bezug einer geförderten Sozial- oder Gemeindewohnung sind </w:t>
      </w:r>
      <w:r w:rsidR="005E1BC3" w:rsidRPr="00915BB1">
        <w:t xml:space="preserve">demnach gemäß WBFG </w:t>
      </w:r>
      <w:r w:rsidR="00864CD6">
        <w:t xml:space="preserve">der Länder </w:t>
      </w:r>
      <w:r w:rsidR="005E1BC3" w:rsidRPr="00915BB1">
        <w:t>ausgeschlossen:</w:t>
      </w:r>
    </w:p>
    <w:p w:rsidR="00153C28" w:rsidRDefault="00D34EDA">
      <w:pPr>
        <w:pStyle w:val="Aufzhlungszeichen"/>
        <w:tabs>
          <w:tab w:val="clear" w:pos="360"/>
          <w:tab w:val="num" w:pos="1776"/>
        </w:tabs>
        <w:ind w:left="1776"/>
      </w:pPr>
      <w:r w:rsidRPr="00915BB1">
        <w:t>Drittstaatsangehörige ohne ‚verfestigten Aufenthalt‘</w:t>
      </w:r>
      <w:r w:rsidR="005E1BC3">
        <w:t xml:space="preserve"> – in den Bundesländern Niederösterreich, Oberösterreich, Tirol und Vorarlberg</w:t>
      </w:r>
    </w:p>
    <w:p w:rsidR="00DA517B" w:rsidRDefault="00DA517B">
      <w:pPr>
        <w:pStyle w:val="Aufzhlungszeichen"/>
        <w:tabs>
          <w:tab w:val="clear" w:pos="360"/>
          <w:tab w:val="num" w:pos="1776"/>
        </w:tabs>
        <w:ind w:left="1776"/>
      </w:pPr>
      <w:r>
        <w:t>Konventionsflüchtlinge, die noch keinen fünfjährigen Aufenthalt in Öste</w:t>
      </w:r>
      <w:r>
        <w:t>r</w:t>
      </w:r>
      <w:r>
        <w:t>reich nachweisen können – im Bundesland Oberösterreich</w:t>
      </w:r>
      <w:r w:rsidR="00864CD6">
        <w:t>; mit Ausnahme einzelner genossenschaftlicher Bauträger</w:t>
      </w:r>
    </w:p>
    <w:p w:rsidR="00153C28" w:rsidRDefault="005E1BC3">
      <w:pPr>
        <w:pStyle w:val="Aufzhlungszeichen"/>
        <w:tabs>
          <w:tab w:val="clear" w:pos="360"/>
          <w:tab w:val="num" w:pos="1776"/>
        </w:tabs>
        <w:ind w:left="1776"/>
      </w:pPr>
      <w:r>
        <w:t>Drittstaatsangehörige, die kürzer als zwei Jahre vor Ort leben</w:t>
      </w:r>
      <w:r w:rsidRPr="005E1BC3">
        <w:t xml:space="preserve"> </w:t>
      </w:r>
      <w:r>
        <w:t>– Wien</w:t>
      </w:r>
    </w:p>
    <w:p w:rsidR="00153C28" w:rsidRDefault="00D34EDA">
      <w:pPr>
        <w:pStyle w:val="Aufzhlungszeichen"/>
        <w:tabs>
          <w:tab w:val="clear" w:pos="360"/>
          <w:tab w:val="num" w:pos="1776"/>
        </w:tabs>
        <w:ind w:left="1776"/>
      </w:pPr>
      <w:r w:rsidRPr="00915BB1">
        <w:lastRenderedPageBreak/>
        <w:t>subsidiär Schutzberechtigte</w:t>
      </w:r>
      <w:r w:rsidR="005E1BC3">
        <w:t xml:space="preserve"> – in Wien, Oberösterreich</w:t>
      </w:r>
      <w:r w:rsidR="008E6D87">
        <w:t xml:space="preserve"> (mit Ausnahme ei</w:t>
      </w:r>
      <w:r w:rsidR="008E6D87">
        <w:t>n</w:t>
      </w:r>
      <w:r w:rsidR="008E6D87">
        <w:t>zelner genossenschaftlicher Bauträger)</w:t>
      </w:r>
      <w:r w:rsidR="005E1BC3">
        <w:t>, Tirol und Vorarlberg</w:t>
      </w:r>
      <w:r w:rsidR="00954B3B">
        <w:br/>
      </w:r>
    </w:p>
    <w:p w:rsidR="00817A31" w:rsidRPr="00E35061" w:rsidRDefault="009D293E" w:rsidP="00543105">
      <w:pPr>
        <w:spacing w:before="180" w:after="240" w:line="336" w:lineRule="auto"/>
        <w:rPr>
          <w:rStyle w:val="SchwacherVerweis"/>
        </w:rPr>
      </w:pPr>
      <w:r>
        <w:rPr>
          <w:rStyle w:val="SchwacherVerweis"/>
        </w:rPr>
        <w:t xml:space="preserve">Die </w:t>
      </w:r>
      <w:r w:rsidR="00817A31" w:rsidRPr="00E35061">
        <w:rPr>
          <w:rStyle w:val="SchwacherVerweis"/>
        </w:rPr>
        <w:t>Vergabe von Sozial- oder Gemeindewohnungen</w:t>
      </w:r>
      <w:r w:rsidR="006760A1">
        <w:rPr>
          <w:rStyle w:val="SchwacherVerweis"/>
        </w:rPr>
        <w:t xml:space="preserve"> </w:t>
      </w:r>
      <w:r w:rsidR="00DA517B">
        <w:rPr>
          <w:rStyle w:val="SchwacherVerweis"/>
        </w:rPr>
        <w:t>entspricht nur mit Einschränkungen</w:t>
      </w:r>
      <w:r w:rsidR="006760A1">
        <w:rPr>
          <w:rStyle w:val="SchwacherVerweis"/>
        </w:rPr>
        <w:t xml:space="preserve"> </w:t>
      </w:r>
      <w:r w:rsidR="00DA517B">
        <w:rPr>
          <w:rStyle w:val="SchwacherVerweis"/>
        </w:rPr>
        <w:t xml:space="preserve">den </w:t>
      </w:r>
      <w:r w:rsidR="006760A1">
        <w:rPr>
          <w:rStyle w:val="SchwacherVerweis"/>
        </w:rPr>
        <w:t>gleichbehandlungs</w:t>
      </w:r>
      <w:r w:rsidR="00DA517B">
        <w:rPr>
          <w:rStyle w:val="SchwacherVerweis"/>
        </w:rPr>
        <w:t>- und Gleichstellungsnormen</w:t>
      </w:r>
    </w:p>
    <w:p w:rsidR="00D975E0" w:rsidRDefault="00EC0FB4" w:rsidP="00817A31">
      <w:r>
        <w:t xml:space="preserve">Die Vergaberichtlinien für </w:t>
      </w:r>
      <w:r w:rsidR="00817A31">
        <w:t xml:space="preserve">Sozial- oder Gemeindewohnungen </w:t>
      </w:r>
      <w:r>
        <w:t xml:space="preserve">stellen </w:t>
      </w:r>
      <w:r w:rsidR="00817A31">
        <w:t xml:space="preserve">insbesondere </w:t>
      </w:r>
      <w:r>
        <w:t xml:space="preserve">auf </w:t>
      </w:r>
      <w:r w:rsidR="00817A31">
        <w:t xml:space="preserve">soziale Kriterien der Dringlichkeit einer Wohnversorgung bzw. besondere Bedürfnisse in Bezug auf Ausstattung, Lage und / oder Größe der Wohnung </w:t>
      </w:r>
      <w:r>
        <w:t>ab</w:t>
      </w:r>
      <w:r w:rsidR="00817A31">
        <w:t xml:space="preserve">. Demgegenüber </w:t>
      </w:r>
      <w:r>
        <w:t xml:space="preserve">bleiben </w:t>
      </w:r>
      <w:r w:rsidR="00817A31">
        <w:t xml:space="preserve">Kriterien aus dem Migrationskontext (Staatsbürgerschaft, Ethnie, Religion, Sprache etc.) </w:t>
      </w:r>
      <w:r>
        <w:t>mit wenigen Au</w:t>
      </w:r>
      <w:r>
        <w:t>s</w:t>
      </w:r>
      <w:r>
        <w:t>nahmen (z.B. Wels</w:t>
      </w:r>
      <w:r w:rsidR="009D293E">
        <w:t>, Vorarlberg</w:t>
      </w:r>
      <w:r>
        <w:t>) in den</w:t>
      </w:r>
      <w:r w:rsidR="00817A31">
        <w:t xml:space="preserve"> Vergabe</w:t>
      </w:r>
      <w:r>
        <w:t>richtlinien</w:t>
      </w:r>
      <w:r w:rsidR="00817A31">
        <w:t xml:space="preserve"> </w:t>
      </w:r>
      <w:r>
        <w:t>ausgeklammert</w:t>
      </w:r>
      <w:r w:rsidR="00817A31">
        <w:t xml:space="preserve">. </w:t>
      </w:r>
    </w:p>
    <w:p w:rsidR="00817A31" w:rsidRDefault="00954B3B" w:rsidP="00817A31">
      <w:r>
        <w:t>Insbesondere VertreterInnen aus Wohnungsämtern sowie gemeinnützigen Wohnbauträgern erweisen sich als überzeugt, dass die gesetzlichen und administrativen Vorsorgen für eine weitgehende Diskriminierungsfreiheit sorgen und formulieren diese Überzeugung wie folgt:</w:t>
      </w:r>
      <w:r>
        <w:br/>
      </w:r>
    </w:p>
    <w:p w:rsidR="00817A31" w:rsidRDefault="00817A31" w:rsidP="00817A31">
      <w:pPr>
        <w:ind w:left="708"/>
        <w:rPr>
          <w:i/>
        </w:rPr>
      </w:pPr>
      <w:r w:rsidRPr="009D293E">
        <w:rPr>
          <w:i/>
        </w:rPr>
        <w:t>„Wenn der Schritt zur Anmeldung geschafft ist, dann gibt es keine Diskriminierung!“</w:t>
      </w:r>
      <w:r>
        <w:rPr>
          <w:i/>
        </w:rPr>
        <w:t xml:space="preserve"> (Gemeinnütziger Wohnbauträger, ExpertInnengespräch</w:t>
      </w:r>
      <w:r w:rsidR="00EA2676">
        <w:rPr>
          <w:i/>
        </w:rPr>
        <w:t xml:space="preserve"> NÖ</w:t>
      </w:r>
      <w:r>
        <w:rPr>
          <w:i/>
        </w:rPr>
        <w:t>)</w:t>
      </w:r>
      <w:r>
        <w:rPr>
          <w:i/>
        </w:rPr>
        <w:br/>
      </w:r>
    </w:p>
    <w:p w:rsidR="002809A5" w:rsidRPr="00E35061" w:rsidRDefault="002809A5" w:rsidP="002809A5">
      <w:r>
        <w:t xml:space="preserve">MitarbeiterInnen in Beratungs- und Betreuungseinrichtungen erweisen sich in dieser Frage als </w:t>
      </w:r>
      <w:r w:rsidR="001D3CAE">
        <w:t xml:space="preserve">deutlich kritischer und verweisen vor allem auf konkrete Erfahrungen in der Hilfestellung für ihre KlientInnen, auf mangelnde Transparenz z.B. bezüglich der Vergabe von Gemeinde- oder Stadtwohnungen </w:t>
      </w:r>
      <w:r w:rsidR="00DA517B">
        <w:t xml:space="preserve">bzw. auf nicht nachvollziehbare Umreihungen in den Wartelisten </w:t>
      </w:r>
      <w:r w:rsidR="001D3CAE">
        <w:t xml:space="preserve">sowie auf die Beobachtung, dass </w:t>
      </w:r>
      <w:r w:rsidR="00E448CC">
        <w:t>die Intervention einer externen Stelle erforderlich ist, damit z.B. ane</w:t>
      </w:r>
      <w:r w:rsidR="00E448CC">
        <w:t>r</w:t>
      </w:r>
      <w:r w:rsidR="00E448CC">
        <w:t>kannte AsylwerberInnen einen formellen Antrag auf eine geförderte Mietwohnung einbringen können. Bei den entsprechenden Interventionen handelt es sich zwar um konkrete Beschwe</w:t>
      </w:r>
      <w:r w:rsidR="00E448CC">
        <w:t>r</w:t>
      </w:r>
      <w:r w:rsidR="00DA517B">
        <w:t>defälle</w:t>
      </w:r>
      <w:r w:rsidR="00E448CC">
        <w:t xml:space="preserve">, diese werden jedoch nicht im Rahmen von Gleichbehandlungsstellen </w:t>
      </w:r>
      <w:r w:rsidR="00DA517B">
        <w:t>oder Beratung</w:t>
      </w:r>
      <w:r w:rsidR="00DA517B">
        <w:t>s</w:t>
      </w:r>
      <w:r w:rsidR="00DA517B">
        <w:t>stellen für MieterInnen</w:t>
      </w:r>
      <w:r w:rsidR="00E448CC">
        <w:t xml:space="preserve"> publik. Damit bleibt der Eindruck erhalten, dass es im Bereich der Wohnungsvergaben keine Diskriminierung gäbe.</w:t>
      </w:r>
      <w:r w:rsidR="00DA517B">
        <w:t xml:space="preserve"> Diese Einschätzung wird in der Praxis der Wohnberatung sowie der Betreuung von MigrantInnen nicht bestätigt werden.</w:t>
      </w:r>
    </w:p>
    <w:p w:rsidR="009D293E" w:rsidRDefault="009D293E">
      <w:pPr>
        <w:spacing w:before="180" w:after="240" w:line="336" w:lineRule="auto"/>
        <w:jc w:val="center"/>
        <w:rPr>
          <w:rStyle w:val="SchwacherVerweis"/>
        </w:rPr>
      </w:pPr>
    </w:p>
    <w:p w:rsidR="00817A31" w:rsidRPr="00627AD5" w:rsidRDefault="00DA517B" w:rsidP="00817A31">
      <w:pPr>
        <w:rPr>
          <w:rStyle w:val="SchwacherVerweis"/>
        </w:rPr>
      </w:pPr>
      <w:r>
        <w:rPr>
          <w:rStyle w:val="SchwacherVerweis"/>
        </w:rPr>
        <w:t>Die Vergabe</w:t>
      </w:r>
      <w:r w:rsidR="00817A31" w:rsidRPr="00627AD5">
        <w:rPr>
          <w:rStyle w:val="SchwacherVerweis"/>
        </w:rPr>
        <w:t xml:space="preserve"> von Wohnbeihilfe oder Mietzinsunterstützung</w:t>
      </w:r>
      <w:r w:rsidR="006760A1">
        <w:rPr>
          <w:rStyle w:val="SchwacherVerweis"/>
        </w:rPr>
        <w:t xml:space="preserve"> </w:t>
      </w:r>
      <w:r>
        <w:rPr>
          <w:rStyle w:val="SchwacherVerweis"/>
        </w:rPr>
        <w:t xml:space="preserve">ist länderweise </w:t>
      </w:r>
      <w:r w:rsidR="006760A1">
        <w:rPr>
          <w:rStyle w:val="SchwacherVerweis"/>
        </w:rPr>
        <w:t>unterschiedlich</w:t>
      </w:r>
      <w:r>
        <w:rPr>
          <w:rStyle w:val="SchwacherVerweis"/>
        </w:rPr>
        <w:t xml:space="preserve"> </w:t>
      </w:r>
    </w:p>
    <w:p w:rsidR="009D293E" w:rsidRDefault="00817A31" w:rsidP="00817A31">
      <w:r>
        <w:t xml:space="preserve">In Hinblick auf einkommensbezogene </w:t>
      </w:r>
      <w:r w:rsidR="009D293E">
        <w:t>(Subjekt)</w:t>
      </w:r>
      <w:r>
        <w:t>Förderungen, damit die Haushalte sich die vermittelten Wohnungen auch leisten können, sind große Unterschiede zwischen den Regi</w:t>
      </w:r>
      <w:r>
        <w:t>o</w:t>
      </w:r>
      <w:r>
        <w:t xml:space="preserve">nen und Gemeinden festzustellen. </w:t>
      </w:r>
    </w:p>
    <w:p w:rsidR="00817A31" w:rsidRDefault="00817A31" w:rsidP="009D293E">
      <w:pPr>
        <w:pStyle w:val="Aufzhlungszeichen"/>
      </w:pPr>
      <w:r>
        <w:lastRenderedPageBreak/>
        <w:t>So ist in einigen Regionen ein genereller Anspruch auf entsprechende Förderungen im Rahmen der Wohnbeihilfe vorgesehen, z.T. ist diese Förderung sogar mit Rechtsanspruch versehen. In Vorarlberg, Oberösterreich</w:t>
      </w:r>
      <w:r w:rsidR="009D293E">
        <w:t xml:space="preserve"> und</w:t>
      </w:r>
      <w:r>
        <w:t xml:space="preserve"> Wien gilt dieser Anspruch unabhängig von der Staatsbürgerschaft für alle MieterInnen unabhängig davon</w:t>
      </w:r>
      <w:r w:rsidR="005C55FF">
        <w:t>,</w:t>
      </w:r>
      <w:r>
        <w:t xml:space="preserve"> ob diese in einer geförderten oder in einer privaten Wohnung leben. </w:t>
      </w:r>
      <w:r>
        <w:br/>
      </w:r>
    </w:p>
    <w:p w:rsidR="00817A31" w:rsidRDefault="00817A31" w:rsidP="009D293E">
      <w:pPr>
        <w:pStyle w:val="Aufzhlungszeichen"/>
      </w:pPr>
      <w:r>
        <w:t>In Tirol sind je nach Art der Wohnungen gesonderte Unterstützungssysteme in Kraft</w:t>
      </w:r>
      <w:r w:rsidR="009C7E49">
        <w:t>.</w:t>
      </w:r>
      <w:r>
        <w:t xml:space="preserve"> </w:t>
      </w:r>
      <w:r w:rsidR="009C7E49">
        <w:t>S</w:t>
      </w:r>
      <w:r w:rsidR="009C7E49">
        <w:t>o</w:t>
      </w:r>
      <w:r w:rsidR="009C7E49">
        <w:t>wohl die Wohnbeihilfe für das Segment der geförderten Wohnungen als auch die Mietzin</w:t>
      </w:r>
      <w:r w:rsidR="009C7E49">
        <w:t>s</w:t>
      </w:r>
      <w:r w:rsidR="009C7E49">
        <w:t xml:space="preserve">beihilfe für MieterInnen von Privatwohnungen können </w:t>
      </w:r>
      <w:r>
        <w:t xml:space="preserve">grundsätzlich </w:t>
      </w:r>
      <w:r w:rsidR="009C7E49">
        <w:t>von InländerInnen diesen Gleichgestellten, Konventionsflüchtlingen und Drittstaatsangehörigen mit Dauerau</w:t>
      </w:r>
      <w:r w:rsidR="009C7E49">
        <w:t>f</w:t>
      </w:r>
      <w:r w:rsidR="009C7E49">
        <w:t>enthalt</w:t>
      </w:r>
      <w:r>
        <w:t xml:space="preserve"> gleichermaßen bezogen werden. Allerdings sind bezüglich der Mietzinsunterstü</w:t>
      </w:r>
      <w:r>
        <w:t>t</w:t>
      </w:r>
      <w:r>
        <w:t xml:space="preserve">zung für MieterInnen in Privatwohnungen </w:t>
      </w:r>
      <w:r w:rsidR="009C7E49">
        <w:t>z.T. gravierende</w:t>
      </w:r>
      <w:r>
        <w:t xml:space="preserve"> </w:t>
      </w:r>
      <w:r w:rsidRPr="009D293E">
        <w:t>Unterschiede in der praktischen Durchführung im Rahmen der Gemeindeautonomie</w:t>
      </w:r>
      <w:r>
        <w:t xml:space="preserve"> zu beklagen.</w:t>
      </w:r>
      <w:r w:rsidR="009C7E49">
        <w:t xml:space="preserve"> Das betrifft insbesondere unterschiedliche Voraussetzungen bezüglich des Aufenthalts vor Ort als auch die Frage, ob diese Förderungen überhaupt von der Gemeinde bewilligt werden.</w:t>
      </w:r>
      <w:r>
        <w:br/>
      </w:r>
    </w:p>
    <w:p w:rsidR="00817A31" w:rsidRDefault="00817A31" w:rsidP="005C55FF">
      <w:pPr>
        <w:pStyle w:val="Aufzhlungszeichen"/>
      </w:pPr>
      <w:r>
        <w:t xml:space="preserve">In Niederösterreich ist das Instrument der Wohnbeihilfe auf MieterInnen von geförderten Wohnungen eingeschränkt. </w:t>
      </w:r>
      <w:r w:rsidR="00DA517B">
        <w:t>Für MieterInnen im Privatwohnungsbereich gibt es keine an</w:t>
      </w:r>
      <w:r w:rsidR="00DA517B">
        <w:t>a</w:t>
      </w:r>
      <w:r w:rsidR="00DA517B">
        <w:t xml:space="preserve">loge Möglichkeit der Kostenentlastung, diese sind auf das deutlich schlechtere System der bedarfsorientierten Mindestsicherung angewiesen. </w:t>
      </w:r>
      <w:r w:rsidR="00EA2676">
        <w:t>Zu</w:t>
      </w:r>
      <w:r w:rsidR="00920575">
        <w:t>de</w:t>
      </w:r>
      <w:r w:rsidR="00EA2676">
        <w:t>m sind</w:t>
      </w:r>
      <w:r w:rsidR="009D293E">
        <w:t xml:space="preserve"> </w:t>
      </w:r>
      <w:r w:rsidRPr="009D293E">
        <w:t>Drittstaatsangehörige</w:t>
      </w:r>
      <w:r w:rsidR="00920575">
        <w:t>, auch wenn sie in einer geförderten Wohnung leben,</w:t>
      </w:r>
      <w:r w:rsidRPr="009D293E">
        <w:t xml:space="preserve"> dezidiert vom Bezug </w:t>
      </w:r>
      <w:r w:rsidR="00EA2676" w:rsidRPr="009D293E">
        <w:t xml:space="preserve">einer Wohnbeihilfe </w:t>
      </w:r>
      <w:r w:rsidRPr="009D293E">
        <w:t>ausgeschlossen</w:t>
      </w:r>
      <w:r>
        <w:t>.</w:t>
      </w:r>
      <w:r>
        <w:br/>
      </w:r>
    </w:p>
    <w:p w:rsidR="00C225AD" w:rsidRPr="00C225AD" w:rsidRDefault="005C55FF" w:rsidP="00E23216">
      <w:pPr>
        <w:pStyle w:val="berschrift3"/>
      </w:pPr>
      <w:r>
        <w:t>2.4</w:t>
      </w:r>
      <w:r>
        <w:tab/>
      </w:r>
      <w:r w:rsidR="00C225AD" w:rsidRPr="00C225AD">
        <w:t>Faktoren, die bei der Wohnungsvergabe an Nicht-ÖsterreicherInnen berüc</w:t>
      </w:r>
      <w:r w:rsidR="00C225AD" w:rsidRPr="00C225AD">
        <w:t>k</w:t>
      </w:r>
      <w:r w:rsidR="00C225AD" w:rsidRPr="00C225AD">
        <w:t>sichtigt werden</w:t>
      </w:r>
    </w:p>
    <w:p w:rsidR="003A6CB9" w:rsidRDefault="003A6CB9">
      <w:r w:rsidRPr="003A6CB9">
        <w:br/>
        <w:t>Bei der Entscheidung über A</w:t>
      </w:r>
      <w:r>
        <w:t>nträge von nicht-österreichischen WohnungswerberInnen werden zusätzliche Kriterien beachtet. Das betrifft allem voran Fragen nach einem verfestigten Au</w:t>
      </w:r>
      <w:r>
        <w:t>f</w:t>
      </w:r>
      <w:r>
        <w:t>enthalt sowie der Kontinuität und Dauer der Arbeitsintegration, die neben der Dringlichkeit der Wohnversorgung eine entscheidende Rolle spielen.</w:t>
      </w:r>
      <w:r w:rsidR="00AB0272">
        <w:br/>
      </w:r>
    </w:p>
    <w:p w:rsidR="005C55FF" w:rsidRDefault="005C55FF">
      <w:pPr>
        <w:spacing w:before="180" w:after="240" w:line="336" w:lineRule="auto"/>
        <w:jc w:val="center"/>
        <w:rPr>
          <w:rStyle w:val="SchwacherVerweis"/>
        </w:rPr>
      </w:pPr>
      <w:r>
        <w:rPr>
          <w:rStyle w:val="SchwacherVerweis"/>
        </w:rPr>
        <w:br w:type="page"/>
      </w:r>
    </w:p>
    <w:p w:rsidR="008D2223" w:rsidRPr="008D2223" w:rsidRDefault="007866AA">
      <w:pPr>
        <w:rPr>
          <w:rStyle w:val="SchwacherVerweis"/>
        </w:rPr>
      </w:pPr>
      <w:r>
        <w:rPr>
          <w:rStyle w:val="SchwacherVerweis"/>
        </w:rPr>
        <w:lastRenderedPageBreak/>
        <w:t>Grafik 12</w:t>
      </w:r>
      <w:r w:rsidR="008D2223" w:rsidRPr="008D2223">
        <w:rPr>
          <w:rStyle w:val="SchwacherVerweis"/>
        </w:rPr>
        <w:t>: Ergänzende Kriterien für die Vergabe</w:t>
      </w:r>
    </w:p>
    <w:p w:rsidR="00AB0272" w:rsidRDefault="00AA7344">
      <w:r w:rsidRPr="00AA7344">
        <w:rPr>
          <w:noProof/>
          <w:lang w:val="de-AT" w:eastAsia="de-AT"/>
        </w:rPr>
        <w:drawing>
          <wp:inline distT="0" distB="0" distL="0" distR="0">
            <wp:extent cx="5553075" cy="2743200"/>
            <wp:effectExtent l="19050" t="0" r="9525" b="0"/>
            <wp:docPr id="21"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D2432" w:rsidRDefault="00C50017" w:rsidP="002D2432">
      <w:r>
        <w:br/>
      </w:r>
      <w:r w:rsidR="002D2432">
        <w:t>Viele RespondentInnen weisen zudem darauf hin, dass bei der Vergabe von Wohnungen an Nicht-ÖsterreicherInnen auch die Kenntnis der deutschen Sprache (36%) sowie der Anteil an MigrantInnen in der Hausgemeinschaft / Siedlung (30%), in der eine Wohnung zur Vergabe ansteht, als Entscheidungsgrundlage herangezogen werden.</w:t>
      </w:r>
      <w:r w:rsidR="002D2432">
        <w:br/>
      </w:r>
    </w:p>
    <w:p w:rsidR="00631A28" w:rsidRPr="008D2223" w:rsidRDefault="008D2223">
      <w:pPr>
        <w:rPr>
          <w:rStyle w:val="SchwacherVerweis"/>
        </w:rPr>
      </w:pPr>
      <w:r w:rsidRPr="008D2223">
        <w:rPr>
          <w:rStyle w:val="SchwacherVerweis"/>
        </w:rPr>
        <w:t>Grafik 1</w:t>
      </w:r>
      <w:r w:rsidR="007866AA">
        <w:rPr>
          <w:rStyle w:val="SchwacherVerweis"/>
        </w:rPr>
        <w:t>3</w:t>
      </w:r>
      <w:r w:rsidRPr="008D2223">
        <w:rPr>
          <w:rStyle w:val="SchwacherVerweis"/>
        </w:rPr>
        <w:t>: ergänzende Kriterien nach Art der Einrichtung</w:t>
      </w:r>
    </w:p>
    <w:p w:rsidR="00631A28" w:rsidRDefault="00631A28">
      <w:r w:rsidRPr="00631A28">
        <w:rPr>
          <w:noProof/>
          <w:lang w:val="de-AT" w:eastAsia="de-AT"/>
        </w:rPr>
        <w:drawing>
          <wp:inline distT="0" distB="0" distL="0" distR="0">
            <wp:extent cx="5760720" cy="3327450"/>
            <wp:effectExtent l="19050" t="0" r="11430" b="6300"/>
            <wp:docPr id="22"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C7E49" w:rsidRDefault="009C7E49">
      <w:pPr>
        <w:spacing w:before="180" w:after="240" w:line="336" w:lineRule="auto"/>
        <w:jc w:val="center"/>
      </w:pPr>
      <w:r>
        <w:br w:type="page"/>
      </w:r>
    </w:p>
    <w:p w:rsidR="00631A28" w:rsidRDefault="005C55FF">
      <w:r>
        <w:lastRenderedPageBreak/>
        <w:t xml:space="preserve">Bezüglich der Wohnungsvergabe an Nicht-ÖsterreicherInnen richten sich die unterschiedlichen Einrichtungen offensichtlich nach unterschiedlichen Prioritäten. </w:t>
      </w:r>
      <w:r w:rsidR="00061FFE">
        <w:t>Wohnungsämter und gemei</w:t>
      </w:r>
      <w:r w:rsidR="00061FFE">
        <w:t>n</w:t>
      </w:r>
      <w:r w:rsidR="00061FFE">
        <w:t>nützige Bauträger bewerten die einzelnen nachgefragten Kriterien, die bei der Vergabe an Nicht-ÖsterreicherInnen als Entscheidungsgrundlage herangezogen werden, in ähnlicher Re</w:t>
      </w:r>
      <w:r w:rsidR="00061FFE">
        <w:t>i</w:t>
      </w:r>
      <w:r w:rsidR="00061FFE">
        <w:t>hung und Ausprägung. Einen leichten Unterschied gibt es zwischen diesen Einrichtungstypen nach der Wertigkeit, die auf den Anteil an MigrantInnen in den jeweiligen Gebäuden / Sie</w:t>
      </w:r>
      <w:r w:rsidR="00061FFE">
        <w:t>d</w:t>
      </w:r>
      <w:r w:rsidR="00061FFE">
        <w:t>lungen gelegt wird. Gemeinnützige Wohnbauträger legen offensichtlich mehr Gewicht auf Fr</w:t>
      </w:r>
      <w:r w:rsidR="00061FFE">
        <w:t>a</w:t>
      </w:r>
      <w:r w:rsidR="00061FFE">
        <w:t>gen der ethnischen Mischung in der Belegung von Gebäuden/Siedlungen, als dies bei Wo</w:t>
      </w:r>
      <w:r w:rsidR="00061FFE">
        <w:t>h</w:t>
      </w:r>
      <w:r w:rsidR="00061FFE">
        <w:t>nungsämtern der Fall ist.</w:t>
      </w:r>
    </w:p>
    <w:p w:rsidR="00061FFE" w:rsidRDefault="00061FFE">
      <w:r>
        <w:t>Von Wohnungsämtern und gemeinnützigen Bauträgern heben sich sowohl die privaten Ba</w:t>
      </w:r>
      <w:r>
        <w:t>u</w:t>
      </w:r>
      <w:r>
        <w:t>träger als auch die Beratungseinrichtungen unter mehreren Gesichtspunkten ab. Während die privaten Bauträger verstärktes Augenmerk auf die Art und Kontinuität des Beschäftigungsve</w:t>
      </w:r>
      <w:r>
        <w:t>r</w:t>
      </w:r>
      <w:r>
        <w:t>hältnisses der WohnungswerberInnen richten, steht bei den Beratungseinrichtungen die Frage der Dringlichkeit einer Wohnversorgung an erster Stelle, demgegenüber die weiteren Kriterien eher nachrangig bewertet werden.</w:t>
      </w:r>
      <w:r w:rsidR="002D2432">
        <w:br/>
      </w:r>
    </w:p>
    <w:p w:rsidR="00A76CC4" w:rsidRPr="00A76CC4" w:rsidRDefault="002254C2">
      <w:pPr>
        <w:rPr>
          <w:lang w:val="de-AT"/>
        </w:rPr>
      </w:pPr>
      <w:r>
        <w:rPr>
          <w:lang w:val="de-AT"/>
        </w:rPr>
        <w:t>Einzelne</w:t>
      </w:r>
      <w:r w:rsidR="00A76CC4" w:rsidRPr="00A76CC4">
        <w:rPr>
          <w:lang w:val="de-AT"/>
        </w:rPr>
        <w:t xml:space="preserve"> RespondentInnen führen weitere Faktoren an, die bei nicht-österreichischen </w:t>
      </w:r>
      <w:r w:rsidR="009109AF">
        <w:rPr>
          <w:lang w:val="de-AT"/>
        </w:rPr>
        <w:br/>
      </w:r>
      <w:r w:rsidR="00A76CC4" w:rsidRPr="00A76CC4">
        <w:rPr>
          <w:lang w:val="de-AT"/>
        </w:rPr>
        <w:t>WohnungswerberInnen Beachtung finden:</w:t>
      </w:r>
      <w:r w:rsidR="001F53EA">
        <w:rPr>
          <w:lang w:val="de-AT"/>
        </w:rPr>
        <w:br/>
      </w:r>
    </w:p>
    <w:p w:rsidR="00A76CC4" w:rsidRPr="003A6CB9" w:rsidRDefault="003A6CB9" w:rsidP="00B31556">
      <w:pPr>
        <w:pStyle w:val="notranslate"/>
        <w:numPr>
          <w:ilvl w:val="0"/>
          <w:numId w:val="4"/>
        </w:numPr>
        <w:spacing w:after="60" w:afterAutospacing="0"/>
        <w:ind w:left="714" w:hanging="357"/>
        <w:rPr>
          <w:rFonts w:ascii="Tahoma" w:hAnsi="Tahoma" w:cs="Tahoma"/>
          <w:sz w:val="22"/>
        </w:rPr>
      </w:pPr>
      <w:r w:rsidRPr="003A6CB9">
        <w:rPr>
          <w:rFonts w:ascii="Tahoma" w:hAnsi="Tahoma" w:cs="Tahoma"/>
          <w:sz w:val="22"/>
        </w:rPr>
        <w:t>Anteil von Nicht</w:t>
      </w:r>
      <w:r w:rsidR="00A76CC4" w:rsidRPr="003A6CB9">
        <w:rPr>
          <w:rFonts w:ascii="Tahoma" w:hAnsi="Tahoma" w:cs="Tahoma"/>
          <w:sz w:val="22"/>
        </w:rPr>
        <w:t>-Ös</w:t>
      </w:r>
      <w:r w:rsidR="002254C2">
        <w:rPr>
          <w:rFonts w:ascii="Tahoma" w:hAnsi="Tahoma" w:cs="Tahoma"/>
          <w:sz w:val="22"/>
        </w:rPr>
        <w:t>terreicherInnen im Haus, Stiege</w:t>
      </w:r>
    </w:p>
    <w:p w:rsidR="00A76CC4" w:rsidRPr="003A6CB9" w:rsidRDefault="00A76CC4" w:rsidP="00B31556">
      <w:pPr>
        <w:pStyle w:val="notranslate"/>
        <w:numPr>
          <w:ilvl w:val="0"/>
          <w:numId w:val="4"/>
        </w:numPr>
        <w:spacing w:after="60" w:afterAutospacing="0"/>
        <w:ind w:left="714" w:hanging="357"/>
        <w:rPr>
          <w:rFonts w:ascii="Tahoma" w:hAnsi="Tahoma" w:cs="Tahoma"/>
          <w:sz w:val="22"/>
        </w:rPr>
      </w:pPr>
      <w:r w:rsidRPr="003A6CB9">
        <w:rPr>
          <w:rFonts w:ascii="Tahoma" w:hAnsi="Tahoma" w:cs="Tahoma"/>
          <w:sz w:val="22"/>
        </w:rPr>
        <w:t>Wohnsitz in der Gemeinde</w:t>
      </w:r>
    </w:p>
    <w:p w:rsidR="00A76CC4" w:rsidRPr="003A6CB9" w:rsidRDefault="00A76CC4" w:rsidP="00B31556">
      <w:pPr>
        <w:pStyle w:val="notranslate"/>
        <w:numPr>
          <w:ilvl w:val="0"/>
          <w:numId w:val="4"/>
        </w:numPr>
        <w:spacing w:after="60" w:afterAutospacing="0"/>
        <w:ind w:left="714" w:hanging="357"/>
        <w:rPr>
          <w:rFonts w:ascii="Tahoma" w:hAnsi="Tahoma" w:cs="Tahoma"/>
          <w:sz w:val="22"/>
        </w:rPr>
      </w:pPr>
      <w:r w:rsidRPr="003A6CB9">
        <w:rPr>
          <w:rFonts w:ascii="Tahoma" w:hAnsi="Tahoma" w:cs="Tahoma"/>
          <w:sz w:val="22"/>
        </w:rPr>
        <w:t>"Wohnungsbedarf" als zentrales Kriterium. Langfristig aufhältige Personen kennen die formalen Abläufe besser, haben Wissen darüber, welche Informationen angegeben werden müssen und auf welche Vergabekriterien Rücksicht genommen werden muss, somit haben Alt-ÖsterreicherInnen es leichter, als anspruchsberechtigt zu gelten</w:t>
      </w:r>
    </w:p>
    <w:p w:rsidR="001F53EA" w:rsidRPr="001F53EA" w:rsidRDefault="00A76CC4" w:rsidP="00B31556">
      <w:pPr>
        <w:pStyle w:val="notranslate"/>
        <w:numPr>
          <w:ilvl w:val="0"/>
          <w:numId w:val="4"/>
        </w:numPr>
        <w:spacing w:after="60" w:afterAutospacing="0"/>
        <w:ind w:left="714" w:hanging="357"/>
      </w:pPr>
      <w:r w:rsidRPr="003A6CB9">
        <w:rPr>
          <w:rFonts w:ascii="Tahoma" w:hAnsi="Tahoma" w:cs="Tahoma"/>
          <w:sz w:val="22"/>
        </w:rPr>
        <w:t xml:space="preserve">Vergabe </w:t>
      </w:r>
      <w:r w:rsidR="00370418" w:rsidRPr="003A6CB9">
        <w:rPr>
          <w:rFonts w:ascii="Tahoma" w:hAnsi="Tahoma" w:cs="Tahoma"/>
          <w:sz w:val="22"/>
        </w:rPr>
        <w:t xml:space="preserve">von </w:t>
      </w:r>
      <w:r w:rsidRPr="003A6CB9">
        <w:rPr>
          <w:rFonts w:ascii="Tahoma" w:hAnsi="Tahoma" w:cs="Tahoma"/>
          <w:sz w:val="22"/>
        </w:rPr>
        <w:t xml:space="preserve">Startwohnungen </w:t>
      </w:r>
      <w:r w:rsidR="00370418" w:rsidRPr="003A6CB9">
        <w:rPr>
          <w:rFonts w:ascii="Tahoma" w:hAnsi="Tahoma" w:cs="Tahoma"/>
          <w:sz w:val="22"/>
        </w:rPr>
        <w:t xml:space="preserve">für Asylberechtigte erfolgt </w:t>
      </w:r>
      <w:r w:rsidRPr="003A6CB9">
        <w:rPr>
          <w:rFonts w:ascii="Tahoma" w:hAnsi="Tahoma" w:cs="Tahoma"/>
          <w:sz w:val="22"/>
        </w:rPr>
        <w:t xml:space="preserve">durch </w:t>
      </w:r>
      <w:r w:rsidR="003A6CB9" w:rsidRPr="003A6CB9">
        <w:rPr>
          <w:rFonts w:ascii="Tahoma" w:hAnsi="Tahoma" w:cs="Tahoma"/>
          <w:sz w:val="22"/>
        </w:rPr>
        <w:t xml:space="preserve">den </w:t>
      </w:r>
      <w:r w:rsidRPr="003A6CB9">
        <w:rPr>
          <w:rFonts w:ascii="Tahoma" w:hAnsi="Tahoma" w:cs="Tahoma"/>
          <w:sz w:val="22"/>
        </w:rPr>
        <w:t>Österr</w:t>
      </w:r>
      <w:r w:rsidR="003A6CB9" w:rsidRPr="003A6CB9">
        <w:rPr>
          <w:rFonts w:ascii="Tahoma" w:hAnsi="Tahoma" w:cs="Tahoma"/>
          <w:sz w:val="22"/>
        </w:rPr>
        <w:t>eichischen</w:t>
      </w:r>
      <w:r w:rsidRPr="003A6CB9">
        <w:rPr>
          <w:rFonts w:ascii="Tahoma" w:hAnsi="Tahoma" w:cs="Tahoma"/>
          <w:sz w:val="22"/>
        </w:rPr>
        <w:t xml:space="preserve"> Integrationsfonds</w:t>
      </w:r>
      <w:r w:rsidR="00370418" w:rsidRPr="003A6CB9">
        <w:rPr>
          <w:rFonts w:ascii="Tahoma" w:hAnsi="Tahoma" w:cs="Tahoma"/>
          <w:sz w:val="22"/>
        </w:rPr>
        <w:t>,</w:t>
      </w:r>
      <w:r w:rsidRPr="003A6CB9">
        <w:rPr>
          <w:rFonts w:ascii="Tahoma" w:hAnsi="Tahoma" w:cs="Tahoma"/>
          <w:sz w:val="22"/>
        </w:rPr>
        <w:t xml:space="preserve"> </w:t>
      </w:r>
      <w:r w:rsidR="00370418" w:rsidRPr="003A6CB9">
        <w:rPr>
          <w:rFonts w:ascii="Tahoma" w:hAnsi="Tahoma" w:cs="Tahoma"/>
          <w:sz w:val="22"/>
        </w:rPr>
        <w:t xml:space="preserve">wenn </w:t>
      </w:r>
      <w:r w:rsidRPr="003A6CB9">
        <w:rPr>
          <w:rFonts w:ascii="Tahoma" w:hAnsi="Tahoma" w:cs="Tahoma"/>
          <w:sz w:val="22"/>
        </w:rPr>
        <w:t xml:space="preserve">Arbeitsintegration </w:t>
      </w:r>
      <w:r w:rsidR="00370418" w:rsidRPr="003A6CB9">
        <w:rPr>
          <w:rFonts w:ascii="Tahoma" w:hAnsi="Tahoma" w:cs="Tahoma"/>
          <w:sz w:val="22"/>
        </w:rPr>
        <w:t>gegeben ist</w:t>
      </w:r>
      <w:r w:rsidR="003A6CB9">
        <w:rPr>
          <w:rFonts w:ascii="Tahoma" w:hAnsi="Tahoma" w:cs="Tahoma"/>
          <w:sz w:val="22"/>
        </w:rPr>
        <w:t>.</w:t>
      </w:r>
      <w:r w:rsidR="003A6CB9">
        <w:rPr>
          <w:rFonts w:ascii="Tahoma" w:hAnsi="Tahoma" w:cs="Tahoma"/>
          <w:sz w:val="22"/>
        </w:rPr>
        <w:br/>
      </w:r>
    </w:p>
    <w:p w:rsidR="00A76CC4" w:rsidRPr="001F53EA" w:rsidRDefault="00A76CC4" w:rsidP="001F53EA"/>
    <w:p w:rsidR="00A76CC4" w:rsidRPr="0018423F" w:rsidRDefault="00D57061">
      <w:pPr>
        <w:rPr>
          <w:u w:val="single"/>
          <w:lang w:val="de-AT"/>
        </w:rPr>
      </w:pPr>
      <w:r>
        <w:rPr>
          <w:u w:val="single"/>
          <w:lang w:val="de-AT"/>
        </w:rPr>
        <w:t>2.4.</w:t>
      </w:r>
      <w:r w:rsidR="0018423F" w:rsidRPr="0018423F">
        <w:rPr>
          <w:u w:val="single"/>
          <w:lang w:val="de-AT"/>
        </w:rPr>
        <w:t>1</w:t>
      </w:r>
      <w:r w:rsidR="0018423F" w:rsidRPr="0018423F">
        <w:rPr>
          <w:u w:val="single"/>
          <w:lang w:val="de-AT"/>
        </w:rPr>
        <w:tab/>
        <w:t>Kenntnis der deutschen Sprache</w:t>
      </w:r>
      <w:r w:rsidR="009109AF">
        <w:rPr>
          <w:u w:val="single"/>
          <w:lang w:val="de-AT"/>
        </w:rPr>
        <w:br/>
      </w:r>
    </w:p>
    <w:p w:rsidR="0018423F" w:rsidRDefault="0018423F">
      <w:pPr>
        <w:rPr>
          <w:lang w:val="de-AT"/>
        </w:rPr>
      </w:pPr>
      <w:r>
        <w:rPr>
          <w:lang w:val="de-AT"/>
        </w:rPr>
        <w:t>Die Vergabe von Sozial- oder Gemeindewohnungen erfolgt in der Regel auf der Grundlage einer Reihung der WohnungswerberInnen nach Punkten. Gerade in dieser Frage kommt den zusätzlichen Kriterien eine besondere Rolle zu, zumal damit ja der jeweilige Rang in der Re</w:t>
      </w:r>
      <w:r>
        <w:rPr>
          <w:lang w:val="de-AT"/>
        </w:rPr>
        <w:t>i</w:t>
      </w:r>
      <w:r>
        <w:rPr>
          <w:lang w:val="de-AT"/>
        </w:rPr>
        <w:t>henfolge der Wohnungsvergaben entscheidend beeinflusst wird.</w:t>
      </w:r>
    </w:p>
    <w:p w:rsidR="00646ED2" w:rsidRDefault="0018423F">
      <w:pPr>
        <w:rPr>
          <w:lang w:val="de-AT"/>
        </w:rPr>
      </w:pPr>
      <w:r>
        <w:rPr>
          <w:lang w:val="de-AT"/>
        </w:rPr>
        <w:lastRenderedPageBreak/>
        <w:t>Eine Bewertung der Sprachkenntnisse der WohnungswerberInnen ist in der jüngeren Verga</w:t>
      </w:r>
      <w:r>
        <w:rPr>
          <w:lang w:val="de-AT"/>
        </w:rPr>
        <w:t>n</w:t>
      </w:r>
      <w:r>
        <w:rPr>
          <w:lang w:val="de-AT"/>
        </w:rPr>
        <w:t xml:space="preserve">genheit der österreichischen Gemeinden zunehmend diskutiert worden, </w:t>
      </w:r>
      <w:r w:rsidR="00C63F08">
        <w:rPr>
          <w:lang w:val="de-AT"/>
        </w:rPr>
        <w:t>insbesondere</w:t>
      </w:r>
      <w:r>
        <w:rPr>
          <w:lang w:val="de-AT"/>
        </w:rPr>
        <w:t xml:space="preserve"> auf der Grundlage eines entsprechenden Gemeinderatsbeschlusses in Wels / Oberösterreich. Eine an</w:t>
      </w:r>
      <w:r>
        <w:rPr>
          <w:lang w:val="de-AT"/>
        </w:rPr>
        <w:t>a</w:t>
      </w:r>
      <w:r>
        <w:rPr>
          <w:lang w:val="de-AT"/>
        </w:rPr>
        <w:t>loge Initiative wurde zuletzt, u.a. mit Verweis auf die entsprechende Regelung in anderen ö</w:t>
      </w:r>
      <w:r>
        <w:rPr>
          <w:lang w:val="de-AT"/>
        </w:rPr>
        <w:t>s</w:t>
      </w:r>
      <w:r>
        <w:rPr>
          <w:lang w:val="de-AT"/>
        </w:rPr>
        <w:t xml:space="preserve">terreichischen Gemeinden, auch von der Gemeinde Wörgl gesetzt, die allerdings aufgrund eines abschlägigen Bescheids der zuständigen Wohnbauförderungsabteilung des Landes Tirol wieder zurückgenommen wurde. </w:t>
      </w:r>
    </w:p>
    <w:p w:rsidR="00646ED2" w:rsidRDefault="00646ED2">
      <w:pPr>
        <w:rPr>
          <w:lang w:val="de-AT"/>
        </w:rPr>
      </w:pPr>
      <w:r>
        <w:rPr>
          <w:lang w:val="de-AT"/>
        </w:rPr>
        <w:t>Völlig anders hat sich aktuell (Juni 2011) die Vorarlberger Landesregierung entschieden und in einer Novellierung des Wohnbauförderungsgesetzes die Auflage normiert, dass ausreichende Deutschkenntnisse als Voraussetzung für die Zuweisung einer geförderten Mietwohnung zu werten sind. Diese Regelung ist zeitgleich mit dem Abschluss unserer Erhebungen in der M</w:t>
      </w:r>
      <w:r>
        <w:rPr>
          <w:lang w:val="de-AT"/>
        </w:rPr>
        <w:t>o</w:t>
      </w:r>
      <w:r>
        <w:rPr>
          <w:lang w:val="de-AT"/>
        </w:rPr>
        <w:t>dellregion Bregenz eingeführt worden, so da</w:t>
      </w:r>
      <w:r w:rsidR="009109AF">
        <w:rPr>
          <w:lang w:val="de-AT"/>
        </w:rPr>
        <w:t>ss</w:t>
      </w:r>
      <w:r>
        <w:rPr>
          <w:lang w:val="de-AT"/>
        </w:rPr>
        <w:t xml:space="preserve"> aktuell noch keine Aussagen darüber möglich sind, wie sich diese Novelle auf die Praxis der Wohnungsvergabe in Bregenz auswirken wird. Bis dahin hat die Wohnungsvergabe in Bregenz zwar ebenfalls unmittelbaren Bezug auf die vorhandenen Deutschkenntnisse genommen, </w:t>
      </w:r>
      <w:r w:rsidR="009109AF">
        <w:rPr>
          <w:lang w:val="de-AT"/>
        </w:rPr>
        <w:t xml:space="preserve">dies jedoch </w:t>
      </w:r>
      <w:r>
        <w:rPr>
          <w:lang w:val="de-AT"/>
        </w:rPr>
        <w:t>unter völlig anderen Vorzeichen:</w:t>
      </w:r>
      <w:r>
        <w:rPr>
          <w:lang w:val="de-AT"/>
        </w:rPr>
        <w:br/>
      </w:r>
    </w:p>
    <w:p w:rsidR="006C7666" w:rsidRPr="006C7666" w:rsidRDefault="00646ED2" w:rsidP="006C7666">
      <w:pPr>
        <w:ind w:left="708"/>
        <w:rPr>
          <w:i/>
          <w:lang w:val="de-AT"/>
        </w:rPr>
      </w:pPr>
      <w:r>
        <w:rPr>
          <w:b/>
          <w:i/>
        </w:rPr>
        <w:t>„</w:t>
      </w:r>
      <w:r w:rsidR="006C7666" w:rsidRPr="00646ED2">
        <w:rPr>
          <w:i/>
        </w:rPr>
        <w:t>Deutschkenntnisse sind kein formales Kriterium</w:t>
      </w:r>
      <w:r w:rsidR="006C7666">
        <w:rPr>
          <w:i/>
        </w:rPr>
        <w:t xml:space="preserve"> für die Warteliste.</w:t>
      </w:r>
      <w:r w:rsidR="006C7666" w:rsidRPr="006C7666">
        <w:rPr>
          <w:i/>
        </w:rPr>
        <w:t xml:space="preserve"> Diese werden be</w:t>
      </w:r>
      <w:r w:rsidR="006C7666" w:rsidRPr="006C7666">
        <w:rPr>
          <w:i/>
        </w:rPr>
        <w:t>s</w:t>
      </w:r>
      <w:r w:rsidR="006C7666" w:rsidRPr="006C7666">
        <w:rPr>
          <w:i/>
        </w:rPr>
        <w:t>tenfalls im Sinne eines weichen Kriteriums bei der Abwägung der Gründe für oder g</w:t>
      </w:r>
      <w:r w:rsidR="006C7666" w:rsidRPr="006C7666">
        <w:rPr>
          <w:i/>
        </w:rPr>
        <w:t>e</w:t>
      </w:r>
      <w:r w:rsidR="006C7666" w:rsidRPr="006C7666">
        <w:rPr>
          <w:i/>
        </w:rPr>
        <w:t>gen die Aufnahme in eine bestimmte Siedlung berücksichtigt; tend</w:t>
      </w:r>
      <w:r w:rsidR="006C7666">
        <w:rPr>
          <w:i/>
        </w:rPr>
        <w:t>enziell</w:t>
      </w:r>
      <w:r w:rsidR="006C7666" w:rsidRPr="006C7666">
        <w:rPr>
          <w:i/>
        </w:rPr>
        <w:t xml:space="preserve"> eher im Ra</w:t>
      </w:r>
      <w:r w:rsidR="006C7666" w:rsidRPr="006C7666">
        <w:rPr>
          <w:i/>
        </w:rPr>
        <w:t>h</w:t>
      </w:r>
      <w:r w:rsidR="006C7666" w:rsidRPr="006C7666">
        <w:rPr>
          <w:i/>
        </w:rPr>
        <w:t>men einer positiven Diskriminierung</w:t>
      </w:r>
      <w:r w:rsidR="00254AF6">
        <w:rPr>
          <w:i/>
        </w:rPr>
        <w:t>, indem z.B. danach getrachtet wird, Personen mit sprachlichen Defiziten in ein in dieser Hinsicht positiv konnotiertes Wohnumfeld zu i</w:t>
      </w:r>
      <w:r w:rsidR="00254AF6">
        <w:rPr>
          <w:i/>
        </w:rPr>
        <w:t>n</w:t>
      </w:r>
      <w:r w:rsidR="00254AF6">
        <w:rPr>
          <w:i/>
        </w:rPr>
        <w:t>tegrieren</w:t>
      </w:r>
      <w:r w:rsidR="006C7666" w:rsidRPr="006C7666">
        <w:rPr>
          <w:i/>
        </w:rPr>
        <w:t>.“</w:t>
      </w:r>
      <w:r w:rsidR="006C7666">
        <w:rPr>
          <w:i/>
        </w:rPr>
        <w:t xml:space="preserve"> (Interview Expertin, Bregenz)</w:t>
      </w:r>
      <w:r w:rsidR="006C7666">
        <w:rPr>
          <w:i/>
        </w:rPr>
        <w:br/>
      </w:r>
    </w:p>
    <w:p w:rsidR="0018423F" w:rsidRDefault="001B5974">
      <w:pPr>
        <w:rPr>
          <w:lang w:val="de-AT"/>
        </w:rPr>
      </w:pPr>
      <w:r>
        <w:rPr>
          <w:lang w:val="de-AT"/>
        </w:rPr>
        <w:t>Von der Gleichbehandlungsanwaltschaft Österreichs wurden uns für diese Studie einzelne D</w:t>
      </w:r>
      <w:r>
        <w:rPr>
          <w:lang w:val="de-AT"/>
        </w:rPr>
        <w:t>o</w:t>
      </w:r>
      <w:r>
        <w:rPr>
          <w:lang w:val="de-AT"/>
        </w:rPr>
        <w:t xml:space="preserve">kumente zur Verfügung gestellt, welche </w:t>
      </w:r>
      <w:r w:rsidR="00B66AE4">
        <w:rPr>
          <w:lang w:val="de-AT"/>
        </w:rPr>
        <w:t xml:space="preserve">die Frage nach dem </w:t>
      </w:r>
      <w:r>
        <w:rPr>
          <w:lang w:val="de-AT"/>
        </w:rPr>
        <w:t>Diskriminierung</w:t>
      </w:r>
      <w:r w:rsidR="00B66AE4">
        <w:rPr>
          <w:lang w:val="de-AT"/>
        </w:rPr>
        <w:t>sgehalt einer B</w:t>
      </w:r>
      <w:r w:rsidR="00B66AE4">
        <w:rPr>
          <w:lang w:val="de-AT"/>
        </w:rPr>
        <w:t>e</w:t>
      </w:r>
      <w:r w:rsidR="00B66AE4">
        <w:rPr>
          <w:lang w:val="de-AT"/>
        </w:rPr>
        <w:t>wertung der Sprachkenntnisse als Grundlage für eine Wohnungsvergabe</w:t>
      </w:r>
      <w:r>
        <w:rPr>
          <w:lang w:val="de-AT"/>
        </w:rPr>
        <w:t xml:space="preserve"> betreffen. </w:t>
      </w:r>
      <w:r w:rsidR="00B66AE4">
        <w:rPr>
          <w:lang w:val="de-AT"/>
        </w:rPr>
        <w:t>In ihrer Analyse dieser Vorfälle nimmt die Gleichbehandlungsanwaltschaft Österreich zur Frage Ste</w:t>
      </w:r>
      <w:r w:rsidR="00B66AE4">
        <w:rPr>
          <w:lang w:val="de-AT"/>
        </w:rPr>
        <w:t>l</w:t>
      </w:r>
      <w:r w:rsidR="00B66AE4">
        <w:rPr>
          <w:lang w:val="de-AT"/>
        </w:rPr>
        <w:t>lung, ob es sich dabei um eine ‚</w:t>
      </w:r>
      <w:r w:rsidR="00B66AE4" w:rsidRPr="00646ED2">
        <w:rPr>
          <w:lang w:val="de-AT"/>
        </w:rPr>
        <w:t>mittelbare Diskriminierung</w:t>
      </w:r>
      <w:r w:rsidR="00B66AE4">
        <w:rPr>
          <w:lang w:val="de-AT"/>
        </w:rPr>
        <w:t>‘ handelt, und führt dazu grundsät</w:t>
      </w:r>
      <w:r w:rsidR="00B66AE4">
        <w:rPr>
          <w:lang w:val="de-AT"/>
        </w:rPr>
        <w:t>z</w:t>
      </w:r>
      <w:r w:rsidR="00B66AE4">
        <w:rPr>
          <w:lang w:val="de-AT"/>
        </w:rPr>
        <w:t>lich aus:</w:t>
      </w:r>
      <w:r w:rsidR="00B66AE4">
        <w:rPr>
          <w:lang w:val="de-AT"/>
        </w:rPr>
        <w:br/>
      </w:r>
    </w:p>
    <w:p w:rsidR="00B66AE4" w:rsidRPr="006C7666" w:rsidRDefault="00B66AE4" w:rsidP="00B66AE4">
      <w:pPr>
        <w:ind w:left="708"/>
        <w:rPr>
          <w:i/>
          <w:lang w:val="de-AT"/>
        </w:rPr>
      </w:pPr>
      <w:r w:rsidRPr="006C7666">
        <w:rPr>
          <w:i/>
          <w:lang w:val="de-AT"/>
        </w:rPr>
        <w:t>„Eine Regelung, die die Vergabe von Gemeindewohnungen von der Beherrschung der deutschen Sprache abhängig macht, ist geeignet, ethnische Gruppen mit nichtdeu</w:t>
      </w:r>
      <w:r w:rsidRPr="006C7666">
        <w:rPr>
          <w:i/>
          <w:lang w:val="de-AT"/>
        </w:rPr>
        <w:t>t</w:t>
      </w:r>
      <w:r w:rsidRPr="006C7666">
        <w:rPr>
          <w:i/>
          <w:lang w:val="de-AT"/>
        </w:rPr>
        <w:t>scher Muttersprache zu benachteiligen. Von Seiten der Gemeinde wurden als grun</w:t>
      </w:r>
      <w:r w:rsidRPr="006C7666">
        <w:rPr>
          <w:i/>
          <w:lang w:val="de-AT"/>
        </w:rPr>
        <w:t>d</w:t>
      </w:r>
      <w:r w:rsidRPr="006C7666">
        <w:rPr>
          <w:i/>
          <w:lang w:val="de-AT"/>
        </w:rPr>
        <w:t>sätzliche Ziele bei der Wohnungsvergabe angeführt, dass eine ‚ausgewogene Bewo</w:t>
      </w:r>
      <w:r w:rsidRPr="006C7666">
        <w:rPr>
          <w:i/>
          <w:lang w:val="de-AT"/>
        </w:rPr>
        <w:t>h</w:t>
      </w:r>
      <w:r w:rsidRPr="006C7666">
        <w:rPr>
          <w:i/>
          <w:lang w:val="de-AT"/>
        </w:rPr>
        <w:lastRenderedPageBreak/>
        <w:t>nerInnenstruktur‘ in den Häusern und im Wohnungsgebiet erreicht werden soll, dass Integration im Sinne eines guten Miteinander wichtig für das Zusammenleben der B</w:t>
      </w:r>
      <w:r w:rsidRPr="006C7666">
        <w:rPr>
          <w:i/>
          <w:lang w:val="de-AT"/>
        </w:rPr>
        <w:t>e</w:t>
      </w:r>
      <w:r w:rsidRPr="006C7666">
        <w:rPr>
          <w:i/>
          <w:lang w:val="de-AT"/>
        </w:rPr>
        <w:t>wohnerInnen sei und die Sprache einen Schlüssel für die Integration bilde.</w:t>
      </w:r>
    </w:p>
    <w:p w:rsidR="00B66AE4" w:rsidRDefault="00B66AE4" w:rsidP="00B66AE4">
      <w:pPr>
        <w:ind w:left="708"/>
        <w:rPr>
          <w:i/>
          <w:lang w:val="de-AT"/>
        </w:rPr>
      </w:pPr>
      <w:r w:rsidRPr="006C7666">
        <w:rPr>
          <w:i/>
          <w:lang w:val="de-AT"/>
        </w:rPr>
        <w:t>Das Bemühen um eine ‚ausgewogene BewohnerInnenstruktur‘ sowie das Bestreben, ein gutes Miteinander zwischen HausbewohnerInnen zu erreichen, können rechtmäßige Ziele sein, sodass die Anwendung von Kriterien, um diese Ziele zu erreichen, nicht u</w:t>
      </w:r>
      <w:r w:rsidRPr="006C7666">
        <w:rPr>
          <w:i/>
          <w:lang w:val="de-AT"/>
        </w:rPr>
        <w:t>n</w:t>
      </w:r>
      <w:r w:rsidRPr="006C7666">
        <w:rPr>
          <w:i/>
          <w:lang w:val="de-AT"/>
        </w:rPr>
        <w:t>bedingt eine Diskriminierung darstellen muss.</w:t>
      </w:r>
      <w:r w:rsidR="00EA2676">
        <w:rPr>
          <w:i/>
          <w:lang w:val="de-AT"/>
        </w:rPr>
        <w:t xml:space="preserve"> </w:t>
      </w:r>
      <w:r w:rsidRPr="006C7666">
        <w:rPr>
          <w:i/>
          <w:lang w:val="de-AT"/>
        </w:rPr>
        <w:t>Die herangezogenen Kriterien müssen a</w:t>
      </w:r>
      <w:r w:rsidRPr="006C7666">
        <w:rPr>
          <w:i/>
          <w:lang w:val="de-AT"/>
        </w:rPr>
        <w:t>l</w:t>
      </w:r>
      <w:r w:rsidRPr="006C7666">
        <w:rPr>
          <w:i/>
          <w:lang w:val="de-AT"/>
        </w:rPr>
        <w:t xml:space="preserve">lerdings angemessen und erforderlich sein. </w:t>
      </w:r>
      <w:r w:rsidRPr="00646ED2">
        <w:rPr>
          <w:i/>
          <w:lang w:val="de-AT"/>
        </w:rPr>
        <w:t>Von einer Unangemessenheit ist jedenfalls dann auszugehen, wenn die Nichterfüllung der Anforderung, über bestimmte Sprac</w:t>
      </w:r>
      <w:r w:rsidRPr="00646ED2">
        <w:rPr>
          <w:i/>
          <w:lang w:val="de-AT"/>
        </w:rPr>
        <w:t>h</w:t>
      </w:r>
      <w:r w:rsidRPr="00646ED2">
        <w:rPr>
          <w:i/>
          <w:lang w:val="de-AT"/>
        </w:rPr>
        <w:t>kenntnisse zu verfügen, zu einem gän</w:t>
      </w:r>
      <w:r w:rsidR="00051AC9" w:rsidRPr="00646ED2">
        <w:rPr>
          <w:i/>
          <w:lang w:val="de-AT"/>
        </w:rPr>
        <w:t>z</w:t>
      </w:r>
      <w:r w:rsidRPr="00646ED2">
        <w:rPr>
          <w:i/>
          <w:lang w:val="de-AT"/>
        </w:rPr>
        <w:t>lichen Ausschluss von der Wohnungsvergabe führt.</w:t>
      </w:r>
      <w:r w:rsidRPr="006C7666">
        <w:rPr>
          <w:i/>
          <w:lang w:val="de-AT"/>
        </w:rPr>
        <w:t>“</w:t>
      </w:r>
      <w:r w:rsidR="00954B3B">
        <w:rPr>
          <w:rStyle w:val="Funotenzeichen"/>
          <w:i/>
          <w:lang w:val="de-AT"/>
        </w:rPr>
        <w:footnoteReference w:id="17"/>
      </w:r>
      <w:r w:rsidR="00051AC9" w:rsidRPr="006C7666">
        <w:rPr>
          <w:i/>
          <w:lang w:val="de-AT"/>
        </w:rPr>
        <w:br/>
      </w:r>
    </w:p>
    <w:p w:rsidR="00153C28" w:rsidRDefault="00254AF6">
      <w:pPr>
        <w:rPr>
          <w:lang w:val="de-AT"/>
        </w:rPr>
      </w:pPr>
      <w:r>
        <w:rPr>
          <w:lang w:val="de-AT"/>
        </w:rPr>
        <w:t xml:space="preserve">In seiner </w:t>
      </w:r>
      <w:r w:rsidR="009109AF">
        <w:rPr>
          <w:lang w:val="de-AT"/>
        </w:rPr>
        <w:t xml:space="preserve">Expertise </w:t>
      </w:r>
      <w:r>
        <w:rPr>
          <w:lang w:val="de-AT"/>
        </w:rPr>
        <w:t xml:space="preserve">„Recht auf Wohnen?“ </w:t>
      </w:r>
      <w:r w:rsidR="00E12AAB">
        <w:rPr>
          <w:lang w:val="de-AT"/>
        </w:rPr>
        <w:t>argumentiert</w:t>
      </w:r>
      <w:r>
        <w:rPr>
          <w:lang w:val="de-AT"/>
        </w:rPr>
        <w:t xml:space="preserve"> Volker Frey </w:t>
      </w:r>
      <w:r w:rsidR="009109AF">
        <w:rPr>
          <w:lang w:val="de-AT"/>
        </w:rPr>
        <w:t xml:space="preserve">(2011) </w:t>
      </w:r>
      <w:r w:rsidR="00E12AAB">
        <w:rPr>
          <w:lang w:val="de-AT"/>
        </w:rPr>
        <w:t>ähnlich</w:t>
      </w:r>
      <w:r>
        <w:rPr>
          <w:lang w:val="de-AT"/>
        </w:rPr>
        <w:t>, wonach die Zielsetzung einer ausgewogenen ethnischen Durchmischung von Wohnsiedlungen selbst keine Verletzung des Diskriminierungsverbotes darstellt. Allerdings kommt Frey zu einer schärferen Schlussfolgerung als die Gleichbehandlungsanwaltschaft, wenn er formuliert, dass es im Ra</w:t>
      </w:r>
      <w:r>
        <w:rPr>
          <w:lang w:val="de-AT"/>
        </w:rPr>
        <w:t>h</w:t>
      </w:r>
      <w:r>
        <w:rPr>
          <w:lang w:val="de-AT"/>
        </w:rPr>
        <w:t>men der entsprechenden Zielerreichung zu keiner wie immer gearteten Benachteiligung, z.B. von Personen mit unzureichenden Deutschkenntnissen, kommen darf.</w:t>
      </w:r>
      <w:r w:rsidR="009B5554">
        <w:rPr>
          <w:lang w:val="de-AT"/>
        </w:rPr>
        <w:br/>
      </w:r>
    </w:p>
    <w:p w:rsidR="009B5554" w:rsidRPr="00312B34" w:rsidRDefault="009B5554" w:rsidP="00312B34">
      <w:pPr>
        <w:ind w:left="708"/>
        <w:rPr>
          <w:i/>
        </w:rPr>
      </w:pPr>
      <w:r w:rsidRPr="00312B34">
        <w:rPr>
          <w:i/>
        </w:rPr>
        <w:t>„Kriterien, die über die entsprechenden Bestimmungen im Niederlassungs- und Aufen</w:t>
      </w:r>
      <w:r w:rsidRPr="00312B34">
        <w:rPr>
          <w:i/>
        </w:rPr>
        <w:t>t</w:t>
      </w:r>
      <w:r w:rsidRPr="00312B34">
        <w:rPr>
          <w:i/>
        </w:rPr>
        <w:t>haltsgesetz</w:t>
      </w:r>
      <w:r w:rsidR="00E12AAB" w:rsidRPr="00312B34">
        <w:rPr>
          <w:i/>
        </w:rPr>
        <w:t xml:space="preserve"> in Bezug auf</w:t>
      </w:r>
      <w:r w:rsidRPr="00312B34">
        <w:rPr>
          <w:i/>
        </w:rPr>
        <w:t xml:space="preserve"> d</w:t>
      </w:r>
      <w:r w:rsidR="00E12AAB" w:rsidRPr="00312B34">
        <w:rPr>
          <w:i/>
        </w:rPr>
        <w:t>a</w:t>
      </w:r>
      <w:r w:rsidRPr="00312B34">
        <w:rPr>
          <w:i/>
        </w:rPr>
        <w:t>s</w:t>
      </w:r>
      <w:r w:rsidR="00E12AAB" w:rsidRPr="00312B34">
        <w:rPr>
          <w:i/>
        </w:rPr>
        <w:t xml:space="preserve"> vorgeschriebene</w:t>
      </w:r>
      <w:r w:rsidRPr="00312B34">
        <w:rPr>
          <w:i/>
        </w:rPr>
        <w:t xml:space="preserve"> </w:t>
      </w:r>
      <w:r w:rsidR="00E12AAB" w:rsidRPr="00312B34">
        <w:rPr>
          <w:i/>
        </w:rPr>
        <w:t>Niveau</w:t>
      </w:r>
      <w:r w:rsidRPr="00312B34">
        <w:rPr>
          <w:i/>
        </w:rPr>
        <w:t xml:space="preserve"> von basalen Deutschkenntnissen hinausgehen, sind unzulässig. Eine daraus resultierende Benachteiligung bei der Ve</w:t>
      </w:r>
      <w:r w:rsidRPr="00312B34">
        <w:rPr>
          <w:i/>
        </w:rPr>
        <w:t>r</w:t>
      </w:r>
      <w:r w:rsidRPr="00312B34">
        <w:rPr>
          <w:i/>
        </w:rPr>
        <w:t xml:space="preserve">gabe einer geförderten oder Gemeindewohnung, etwa in Form eines </w:t>
      </w:r>
      <w:r w:rsidR="00E12AAB" w:rsidRPr="00312B34">
        <w:rPr>
          <w:i/>
        </w:rPr>
        <w:t>zeitlich befristeten oder gar gänzlichen</w:t>
      </w:r>
      <w:r w:rsidRPr="00312B34">
        <w:rPr>
          <w:i/>
        </w:rPr>
        <w:t xml:space="preserve"> Ausschlusses, </w:t>
      </w:r>
      <w:r w:rsidR="00312B34" w:rsidRPr="00312B34">
        <w:rPr>
          <w:i/>
        </w:rPr>
        <w:t xml:space="preserve">wäre demnach als </w:t>
      </w:r>
      <w:r w:rsidR="00312B34" w:rsidRPr="00646ED2">
        <w:rPr>
          <w:i/>
        </w:rPr>
        <w:t>Diskriminierung</w:t>
      </w:r>
      <w:r w:rsidR="00312B34" w:rsidRPr="00312B34">
        <w:rPr>
          <w:i/>
        </w:rPr>
        <w:t xml:space="preserve"> und somit als </w:t>
      </w:r>
      <w:r w:rsidR="00312B34" w:rsidRPr="00646ED2">
        <w:rPr>
          <w:i/>
        </w:rPr>
        <w:t>Verstoß gegen die langfristig-Aufenthaltsberechtigten-Richtlinie</w:t>
      </w:r>
      <w:r w:rsidR="00312B34" w:rsidRPr="00312B34">
        <w:rPr>
          <w:rFonts w:ascii="Courier New" w:hAnsi="Courier New" w:cs="Courier New"/>
          <w:i/>
          <w:sz w:val="20"/>
          <w:szCs w:val="20"/>
          <w:lang w:eastAsia="de-AT"/>
        </w:rPr>
        <w:t xml:space="preserve"> </w:t>
      </w:r>
      <w:r w:rsidRPr="00312B34">
        <w:rPr>
          <w:i/>
        </w:rPr>
        <w:t>zu bewerten.“</w:t>
      </w:r>
      <w:r w:rsidR="00312B34" w:rsidRPr="00312B34">
        <w:rPr>
          <w:i/>
        </w:rPr>
        <w:t xml:space="preserve"> (Frey 2011</w:t>
      </w:r>
      <w:r w:rsidR="00C84E22" w:rsidRPr="00312B34">
        <w:rPr>
          <w:i/>
        </w:rPr>
        <w:t>)</w:t>
      </w:r>
    </w:p>
    <w:p w:rsidR="00312B34" w:rsidRPr="00312B34" w:rsidRDefault="00312B34" w:rsidP="008149FB"/>
    <w:p w:rsidR="0018423F" w:rsidRPr="0018423F" w:rsidRDefault="00646ED2">
      <w:pPr>
        <w:rPr>
          <w:u w:val="single"/>
          <w:lang w:val="de-AT"/>
        </w:rPr>
      </w:pPr>
      <w:r>
        <w:rPr>
          <w:u w:val="single"/>
          <w:lang w:val="de-AT"/>
        </w:rPr>
        <w:t>2.4</w:t>
      </w:r>
      <w:r w:rsidR="0018423F" w:rsidRPr="0018423F">
        <w:rPr>
          <w:u w:val="single"/>
          <w:lang w:val="de-AT"/>
        </w:rPr>
        <w:t>.2</w:t>
      </w:r>
      <w:r w:rsidR="0018423F" w:rsidRPr="0018423F">
        <w:rPr>
          <w:u w:val="single"/>
          <w:lang w:val="de-AT"/>
        </w:rPr>
        <w:tab/>
        <w:t>Kriteri</w:t>
      </w:r>
      <w:r w:rsidR="006007C8">
        <w:rPr>
          <w:u w:val="single"/>
          <w:lang w:val="de-AT"/>
        </w:rPr>
        <w:t>um</w:t>
      </w:r>
      <w:r w:rsidR="0018423F" w:rsidRPr="0018423F">
        <w:rPr>
          <w:u w:val="single"/>
          <w:lang w:val="de-AT"/>
        </w:rPr>
        <w:t xml:space="preserve"> der ethnischen </w:t>
      </w:r>
      <w:r w:rsidR="009B5554">
        <w:rPr>
          <w:u w:val="single"/>
          <w:lang w:val="de-AT"/>
        </w:rPr>
        <w:t>Durchm</w:t>
      </w:r>
      <w:r w:rsidR="009B5554" w:rsidRPr="0018423F">
        <w:rPr>
          <w:u w:val="single"/>
          <w:lang w:val="de-AT"/>
        </w:rPr>
        <w:t>ischung</w:t>
      </w:r>
      <w:r w:rsidR="009109AF">
        <w:rPr>
          <w:u w:val="single"/>
          <w:lang w:val="de-AT"/>
        </w:rPr>
        <w:br/>
      </w:r>
    </w:p>
    <w:p w:rsidR="0018423F" w:rsidRDefault="00051AC9">
      <w:pPr>
        <w:rPr>
          <w:lang w:val="de-AT"/>
        </w:rPr>
      </w:pPr>
      <w:r>
        <w:rPr>
          <w:lang w:val="de-AT"/>
        </w:rPr>
        <w:t xml:space="preserve">In Interviews und ExpertInnengesprächen wurden wiederholt Fragen </w:t>
      </w:r>
      <w:r w:rsidR="00E40AD4">
        <w:rPr>
          <w:lang w:val="de-AT"/>
        </w:rPr>
        <w:t xml:space="preserve">einer ‚ausgewogenen </w:t>
      </w:r>
      <w:r>
        <w:rPr>
          <w:lang w:val="de-AT"/>
        </w:rPr>
        <w:t xml:space="preserve">ethnischen </w:t>
      </w:r>
      <w:r w:rsidR="00E40AD4">
        <w:rPr>
          <w:lang w:val="de-AT"/>
        </w:rPr>
        <w:t xml:space="preserve">Durchmischung‘ </w:t>
      </w:r>
      <w:r>
        <w:rPr>
          <w:lang w:val="de-AT"/>
        </w:rPr>
        <w:t>in der BewohnerInnenstruktur von Hausgemeinschaften und Sie</w:t>
      </w:r>
      <w:r>
        <w:rPr>
          <w:lang w:val="de-AT"/>
        </w:rPr>
        <w:t>d</w:t>
      </w:r>
      <w:r>
        <w:rPr>
          <w:lang w:val="de-AT"/>
        </w:rPr>
        <w:t xml:space="preserve">lungen angesprochen. Überwiegend betonten die ExpertInnen die zentrale Bedeutung von sozialen Kriterien wie Alter, Haushaltszusammensetzung und </w:t>
      </w:r>
      <w:r w:rsidR="00C63F08">
        <w:rPr>
          <w:lang w:val="de-AT"/>
        </w:rPr>
        <w:t>insbesondere</w:t>
      </w:r>
      <w:r>
        <w:rPr>
          <w:lang w:val="de-AT"/>
        </w:rPr>
        <w:t xml:space="preserve"> Anzahl mitziehe</w:t>
      </w:r>
      <w:r>
        <w:rPr>
          <w:lang w:val="de-AT"/>
        </w:rPr>
        <w:t>n</w:t>
      </w:r>
      <w:r>
        <w:rPr>
          <w:lang w:val="de-AT"/>
        </w:rPr>
        <w:lastRenderedPageBreak/>
        <w:t>de</w:t>
      </w:r>
      <w:r w:rsidR="00E40AD4">
        <w:rPr>
          <w:lang w:val="de-AT"/>
        </w:rPr>
        <w:t>r</w:t>
      </w:r>
      <w:r>
        <w:rPr>
          <w:lang w:val="de-AT"/>
        </w:rPr>
        <w:t xml:space="preserve"> Kinder, Erwerbsstatus etc. </w:t>
      </w:r>
      <w:r w:rsidR="00E40AD4">
        <w:rPr>
          <w:lang w:val="de-AT"/>
        </w:rPr>
        <w:t xml:space="preserve">Demgegenüber würden </w:t>
      </w:r>
      <w:r>
        <w:rPr>
          <w:lang w:val="de-AT"/>
        </w:rPr>
        <w:t xml:space="preserve">Fragen der ethnischen Zugehörigkeit bestenfalls nachrangig berücksichtigt und / oder </w:t>
      </w:r>
      <w:r w:rsidR="00E40AD4">
        <w:rPr>
          <w:lang w:val="de-AT"/>
        </w:rPr>
        <w:t xml:space="preserve">demgemäß auch nicht </w:t>
      </w:r>
      <w:r>
        <w:rPr>
          <w:lang w:val="de-AT"/>
        </w:rPr>
        <w:t xml:space="preserve">für eine Entscheidung bezüglich einer Wohnungsvergabe herangezogen. </w:t>
      </w:r>
      <w:r>
        <w:rPr>
          <w:lang w:val="de-AT"/>
        </w:rPr>
        <w:br/>
      </w:r>
    </w:p>
    <w:p w:rsidR="006C7666" w:rsidRDefault="00051AC9" w:rsidP="00051AC9">
      <w:pPr>
        <w:ind w:left="708"/>
        <w:rPr>
          <w:i/>
          <w:lang w:val="de-AT"/>
        </w:rPr>
      </w:pPr>
      <w:r>
        <w:rPr>
          <w:lang w:val="de-AT"/>
        </w:rPr>
        <w:t>„</w:t>
      </w:r>
      <w:r>
        <w:rPr>
          <w:i/>
          <w:lang w:val="de-AT"/>
        </w:rPr>
        <w:t xml:space="preserve">Berücksichtigung individueller Faktoren (Status, Größe des Haushalts etc.), </w:t>
      </w:r>
      <w:r>
        <w:rPr>
          <w:i/>
          <w:lang w:val="de-AT"/>
        </w:rPr>
        <w:br/>
        <w:t xml:space="preserve">aber keine Diskriminierung nach Ethnie, Religion, Sprache etc.“ </w:t>
      </w:r>
    </w:p>
    <w:p w:rsidR="00051AC9" w:rsidRPr="00051AC9" w:rsidRDefault="00051AC9" w:rsidP="006C7666">
      <w:pPr>
        <w:ind w:left="708"/>
        <w:jc w:val="right"/>
        <w:rPr>
          <w:i/>
          <w:lang w:val="de-AT"/>
        </w:rPr>
      </w:pPr>
      <w:r>
        <w:rPr>
          <w:i/>
          <w:lang w:val="de-AT"/>
        </w:rPr>
        <w:t>(</w:t>
      </w:r>
      <w:r w:rsidR="008A6660">
        <w:rPr>
          <w:i/>
          <w:lang w:val="de-AT"/>
        </w:rPr>
        <w:t xml:space="preserve">Wohnbauträger </w:t>
      </w:r>
      <w:r>
        <w:rPr>
          <w:i/>
          <w:lang w:val="de-AT"/>
        </w:rPr>
        <w:t>Niederösterreich)</w:t>
      </w:r>
      <w:r w:rsidR="00B133AB">
        <w:rPr>
          <w:i/>
          <w:lang w:val="de-AT"/>
        </w:rPr>
        <w:br/>
      </w:r>
    </w:p>
    <w:p w:rsidR="006C7666" w:rsidRDefault="009A5238" w:rsidP="009A5238">
      <w:pPr>
        <w:ind w:left="708"/>
        <w:rPr>
          <w:i/>
        </w:rPr>
      </w:pPr>
      <w:r w:rsidRPr="009A5238">
        <w:rPr>
          <w:i/>
        </w:rPr>
        <w:t>In Summe werden ca. 80% der Wohnungsvergaben strikt nach der Punktereihung vo</w:t>
      </w:r>
      <w:r w:rsidRPr="009A5238">
        <w:rPr>
          <w:i/>
        </w:rPr>
        <w:t>r</w:t>
      </w:r>
      <w:r w:rsidRPr="009A5238">
        <w:rPr>
          <w:i/>
        </w:rPr>
        <w:t>genommen, bei etwa 20% spielen Interessensabwägungen im öffentlichen Interesse (in Hinblick auf Stadtplanung, Siedlungsstruktur, positive Diskriminierung etc.) eine Rolle. Diese Interessensabwägungen erfolgen dann unter Berücksichtigung des aktue</w:t>
      </w:r>
      <w:r w:rsidRPr="009A5238">
        <w:rPr>
          <w:i/>
        </w:rPr>
        <w:t>l</w:t>
      </w:r>
      <w:r w:rsidRPr="009A5238">
        <w:rPr>
          <w:i/>
        </w:rPr>
        <w:t>len Verteilungsstandes in einzelnen Siedlungen / Hausgemeinschaft</w:t>
      </w:r>
      <w:r>
        <w:rPr>
          <w:i/>
        </w:rPr>
        <w:t>en</w:t>
      </w:r>
      <w:r w:rsidRPr="009A5238">
        <w:rPr>
          <w:i/>
        </w:rPr>
        <w:t xml:space="preserve"> (ethnische Z</w:t>
      </w:r>
      <w:r w:rsidRPr="009A5238">
        <w:rPr>
          <w:i/>
        </w:rPr>
        <w:t>u</w:t>
      </w:r>
      <w:r w:rsidRPr="009A5238">
        <w:rPr>
          <w:i/>
        </w:rPr>
        <w:t>sammensetzung, Anzahl minderjähriger Kinder, Altersstruktur etc.)</w:t>
      </w:r>
      <w:r>
        <w:rPr>
          <w:i/>
        </w:rPr>
        <w:t xml:space="preserve">. </w:t>
      </w:r>
      <w:r w:rsidRPr="009A5238">
        <w:rPr>
          <w:i/>
        </w:rPr>
        <w:t>Dabei kann es dann etwa zur Entscheidung kommen, in Siedlungen mit einem bereits sehr hohen A</w:t>
      </w:r>
      <w:r w:rsidRPr="009A5238">
        <w:rPr>
          <w:i/>
        </w:rPr>
        <w:t>n</w:t>
      </w:r>
      <w:r w:rsidRPr="009A5238">
        <w:rPr>
          <w:i/>
        </w:rPr>
        <w:t xml:space="preserve">teil an Haushalten mit Migrationshintergrund bevorzugt Familien </w:t>
      </w:r>
      <w:r w:rsidR="009B5554">
        <w:rPr>
          <w:i/>
        </w:rPr>
        <w:t>ohne Migrationshi</w:t>
      </w:r>
      <w:r w:rsidR="009B5554">
        <w:rPr>
          <w:i/>
        </w:rPr>
        <w:t>n</w:t>
      </w:r>
      <w:r w:rsidR="009B5554">
        <w:rPr>
          <w:i/>
        </w:rPr>
        <w:t xml:space="preserve">tergrund </w:t>
      </w:r>
      <w:r w:rsidRPr="009A5238">
        <w:rPr>
          <w:i/>
        </w:rPr>
        <w:t>aufzunehmen; es kann aber auch die Überlegung den Ausschlag geben, eine bestimmte Dynamik in der Siedlung (ethnische Konflikte etc.) dadurch zu beeinflussen, dass die Wohnung an eine Familie vergeben wird, die in der entsprechenden ethn</w:t>
      </w:r>
      <w:r w:rsidRPr="009A5238">
        <w:rPr>
          <w:i/>
        </w:rPr>
        <w:t>i</w:t>
      </w:r>
      <w:r w:rsidRPr="009A5238">
        <w:rPr>
          <w:i/>
        </w:rPr>
        <w:t>schen Community voraussichtlich einen moderierenden / mediativen Einfluss nehmen könnte.</w:t>
      </w:r>
      <w:r>
        <w:rPr>
          <w:i/>
        </w:rPr>
        <w:t xml:space="preserve">“ </w:t>
      </w:r>
    </w:p>
    <w:p w:rsidR="009A5238" w:rsidRPr="009A5238" w:rsidRDefault="009A5238" w:rsidP="006C7666">
      <w:pPr>
        <w:ind w:left="708"/>
        <w:jc w:val="right"/>
        <w:rPr>
          <w:i/>
        </w:rPr>
      </w:pPr>
      <w:r>
        <w:rPr>
          <w:i/>
        </w:rPr>
        <w:t>(Interview Expertin, Bregenz)</w:t>
      </w:r>
      <w:r w:rsidR="00844CB0">
        <w:rPr>
          <w:i/>
        </w:rPr>
        <w:br/>
      </w:r>
    </w:p>
    <w:p w:rsidR="009A5238" w:rsidRDefault="00844CB0" w:rsidP="00844CB0">
      <w:r>
        <w:t>Aus Bregenz wurde uns zu diesem Themenbereich noch eine andere Problemstellung mitg</w:t>
      </w:r>
      <w:r>
        <w:t>e</w:t>
      </w:r>
      <w:r>
        <w:t>teilt, wonach in der aktuellen Vergabepraxis ein Aufnahmestop einer ethnischen Gruppe vo</w:t>
      </w:r>
      <w:r>
        <w:t>r</w:t>
      </w:r>
      <w:r>
        <w:t>genommen und eine übergeordnete Abklärung durch die zuständige Landesbehörde eingefo</w:t>
      </w:r>
      <w:r>
        <w:t>r</w:t>
      </w:r>
      <w:r>
        <w:t>dert wurde.</w:t>
      </w:r>
      <w:r>
        <w:br/>
      </w:r>
    </w:p>
    <w:p w:rsidR="00844CB0" w:rsidRPr="009139A3" w:rsidRDefault="009139A3" w:rsidP="009139A3">
      <w:pPr>
        <w:ind w:left="708"/>
        <w:rPr>
          <w:i/>
        </w:rPr>
      </w:pPr>
      <w:r w:rsidRPr="009139A3">
        <w:rPr>
          <w:i/>
        </w:rPr>
        <w:t>„</w:t>
      </w:r>
      <w:r w:rsidR="00844CB0" w:rsidRPr="009139A3">
        <w:rPr>
          <w:i/>
        </w:rPr>
        <w:t>Aktuell gibt es im Land Vorarlberg eine ausgesprochen ungleiche Verteilung von Fam</w:t>
      </w:r>
      <w:r w:rsidR="00844CB0" w:rsidRPr="009139A3">
        <w:rPr>
          <w:i/>
        </w:rPr>
        <w:t>i</w:t>
      </w:r>
      <w:r w:rsidR="00844CB0" w:rsidRPr="009139A3">
        <w:rPr>
          <w:i/>
        </w:rPr>
        <w:t>lien, die aus Tschetschenien stammen (zum Vergleich: etwa 500 Familien aus Tsche</w:t>
      </w:r>
      <w:r w:rsidR="00844CB0" w:rsidRPr="009139A3">
        <w:rPr>
          <w:i/>
        </w:rPr>
        <w:t>t</w:t>
      </w:r>
      <w:r w:rsidR="00844CB0" w:rsidRPr="009139A3">
        <w:rPr>
          <w:i/>
        </w:rPr>
        <w:t xml:space="preserve">schenien </w:t>
      </w:r>
      <w:r w:rsidRPr="009139A3">
        <w:rPr>
          <w:i/>
        </w:rPr>
        <w:t xml:space="preserve">leben </w:t>
      </w:r>
      <w:r w:rsidR="00844CB0" w:rsidRPr="009139A3">
        <w:rPr>
          <w:i/>
        </w:rPr>
        <w:t>im Stadtgebiet von Bregenz</w:t>
      </w:r>
      <w:r w:rsidRPr="009139A3">
        <w:rPr>
          <w:i/>
        </w:rPr>
        <w:t>; dem</w:t>
      </w:r>
      <w:r w:rsidR="00844CB0" w:rsidRPr="009139A3">
        <w:rPr>
          <w:i/>
        </w:rPr>
        <w:t xml:space="preserve">gegenüber </w:t>
      </w:r>
      <w:r w:rsidRPr="009139A3">
        <w:rPr>
          <w:i/>
        </w:rPr>
        <w:t>sind</w:t>
      </w:r>
      <w:r w:rsidR="00844CB0" w:rsidRPr="009139A3">
        <w:rPr>
          <w:i/>
        </w:rPr>
        <w:t xml:space="preserve"> in Dornbirn (um ein</w:t>
      </w:r>
      <w:r w:rsidR="00844CB0" w:rsidRPr="009139A3">
        <w:rPr>
          <w:i/>
        </w:rPr>
        <w:t>i</w:t>
      </w:r>
      <w:r w:rsidR="00844CB0" w:rsidRPr="009139A3">
        <w:rPr>
          <w:i/>
        </w:rPr>
        <w:t>ges größer als Bregenz) knapp 200 Familien mit tschetschenischem Hintergrund</w:t>
      </w:r>
      <w:r w:rsidRPr="009139A3">
        <w:rPr>
          <w:i/>
        </w:rPr>
        <w:t xml:space="preserve"> woh</w:t>
      </w:r>
      <w:r w:rsidRPr="009139A3">
        <w:rPr>
          <w:i/>
        </w:rPr>
        <w:t>n</w:t>
      </w:r>
      <w:r w:rsidRPr="009139A3">
        <w:rPr>
          <w:i/>
        </w:rPr>
        <w:t>haft,</w:t>
      </w:r>
      <w:r w:rsidR="00844CB0" w:rsidRPr="009139A3">
        <w:rPr>
          <w:i/>
        </w:rPr>
        <w:t xml:space="preserve"> in Feldkirch sind es gar nur knapp 100 </w:t>
      </w:r>
      <w:r w:rsidRPr="009139A3">
        <w:rPr>
          <w:i/>
        </w:rPr>
        <w:t xml:space="preserve">Familien). Die </w:t>
      </w:r>
      <w:r w:rsidR="00EA2676" w:rsidRPr="009139A3">
        <w:rPr>
          <w:i/>
        </w:rPr>
        <w:t xml:space="preserve">tschetschenischen </w:t>
      </w:r>
      <w:r w:rsidR="00844CB0" w:rsidRPr="009139A3">
        <w:rPr>
          <w:i/>
        </w:rPr>
        <w:t>Haushalte (kinderreich) wohnen überwiegend in schlecht ausgestatteten privaten Mietwohnu</w:t>
      </w:r>
      <w:r w:rsidR="00844CB0" w:rsidRPr="009139A3">
        <w:rPr>
          <w:i/>
        </w:rPr>
        <w:t>n</w:t>
      </w:r>
      <w:r w:rsidR="00844CB0" w:rsidRPr="009139A3">
        <w:rPr>
          <w:i/>
        </w:rPr>
        <w:lastRenderedPageBreak/>
        <w:t>gen, geballt in einem kleineren Stadtteil (Tendenz: Ghetto-Bildung, hoher Infrastru</w:t>
      </w:r>
      <w:r w:rsidR="00844CB0" w:rsidRPr="009139A3">
        <w:rPr>
          <w:i/>
        </w:rPr>
        <w:t>k</w:t>
      </w:r>
      <w:r w:rsidR="00844CB0" w:rsidRPr="009139A3">
        <w:rPr>
          <w:i/>
        </w:rPr>
        <w:t>turbedarf)</w:t>
      </w:r>
      <w:r w:rsidRPr="009139A3">
        <w:rPr>
          <w:i/>
        </w:rPr>
        <w:t xml:space="preserve">. Die für die Aufnahme in die Vergabeliste prioritäre </w:t>
      </w:r>
      <w:r w:rsidR="00844CB0" w:rsidRPr="009139A3">
        <w:rPr>
          <w:i/>
        </w:rPr>
        <w:t>Dringlichkeit der Woh</w:t>
      </w:r>
      <w:r w:rsidR="00844CB0" w:rsidRPr="009139A3">
        <w:rPr>
          <w:i/>
        </w:rPr>
        <w:t>n</w:t>
      </w:r>
      <w:r w:rsidR="00844CB0" w:rsidRPr="009139A3">
        <w:rPr>
          <w:i/>
        </w:rPr>
        <w:t>versorgung w</w:t>
      </w:r>
      <w:r w:rsidRPr="009139A3">
        <w:rPr>
          <w:i/>
        </w:rPr>
        <w:t>äre damit in jedem Fall gegeben.</w:t>
      </w:r>
      <w:r w:rsidR="00844CB0" w:rsidRPr="009139A3">
        <w:rPr>
          <w:i/>
        </w:rPr>
        <w:t xml:space="preserve"> </w:t>
      </w:r>
    </w:p>
    <w:p w:rsidR="00844CB0" w:rsidRPr="009139A3" w:rsidRDefault="009139A3" w:rsidP="009139A3">
      <w:pPr>
        <w:ind w:left="708"/>
        <w:rPr>
          <w:i/>
        </w:rPr>
      </w:pPr>
      <w:r>
        <w:rPr>
          <w:i/>
        </w:rPr>
        <w:t>Eine</w:t>
      </w:r>
      <w:r w:rsidRPr="009139A3">
        <w:rPr>
          <w:i/>
        </w:rPr>
        <w:t xml:space="preserve"> </w:t>
      </w:r>
      <w:r w:rsidR="00844CB0" w:rsidRPr="009139A3">
        <w:rPr>
          <w:i/>
        </w:rPr>
        <w:t xml:space="preserve">Vergabe von geförderten Wohnungen </w:t>
      </w:r>
      <w:r>
        <w:rPr>
          <w:i/>
        </w:rPr>
        <w:t>für eine tschetschenische Familie wird j</w:t>
      </w:r>
      <w:r>
        <w:rPr>
          <w:i/>
        </w:rPr>
        <w:t>e</w:t>
      </w:r>
      <w:r>
        <w:rPr>
          <w:i/>
        </w:rPr>
        <w:t xml:space="preserve">doch </w:t>
      </w:r>
      <w:r w:rsidR="00844CB0" w:rsidRPr="009139A3">
        <w:rPr>
          <w:i/>
        </w:rPr>
        <w:t xml:space="preserve">aktuell </w:t>
      </w:r>
      <w:r>
        <w:rPr>
          <w:i/>
        </w:rPr>
        <w:t>nicht vorgenommen</w:t>
      </w:r>
      <w:r w:rsidR="00844CB0" w:rsidRPr="009139A3">
        <w:rPr>
          <w:i/>
        </w:rPr>
        <w:t xml:space="preserve">, auch dann, wenn die objektiven Fakten sehr wohl </w:t>
      </w:r>
      <w:r>
        <w:rPr>
          <w:i/>
        </w:rPr>
        <w:t>da</w:t>
      </w:r>
      <w:r w:rsidR="00844CB0" w:rsidRPr="009139A3">
        <w:rPr>
          <w:i/>
        </w:rPr>
        <w:t>für sprechen würden. Begründet wird diese Vorgangsweise mit konkreten Erfahru</w:t>
      </w:r>
      <w:r w:rsidR="00844CB0" w:rsidRPr="009139A3">
        <w:rPr>
          <w:i/>
        </w:rPr>
        <w:t>n</w:t>
      </w:r>
      <w:r w:rsidR="00844CB0" w:rsidRPr="009139A3">
        <w:rPr>
          <w:i/>
        </w:rPr>
        <w:t xml:space="preserve">gen in Schulen und Kindergärten einzelner Stadtteile, die unter dem hohen Anteil </w:t>
      </w:r>
      <w:r>
        <w:rPr>
          <w:i/>
        </w:rPr>
        <w:t>vo</w:t>
      </w:r>
      <w:r w:rsidR="00844CB0" w:rsidRPr="009139A3">
        <w:rPr>
          <w:i/>
        </w:rPr>
        <w:t>n Flüchtlingskindern stöhnen. Zudem werden in diesen Stadtteilen Tendenzen der Cla</w:t>
      </w:r>
      <w:r w:rsidR="00844CB0" w:rsidRPr="009139A3">
        <w:rPr>
          <w:i/>
        </w:rPr>
        <w:t>n</w:t>
      </w:r>
      <w:r w:rsidR="00844CB0" w:rsidRPr="009139A3">
        <w:rPr>
          <w:i/>
        </w:rPr>
        <w:t>bildung nach ethnischer Zugehörigkeit beobachtet und Anzeichen für ethnisch unte</w:t>
      </w:r>
      <w:r w:rsidR="00844CB0" w:rsidRPr="009139A3">
        <w:rPr>
          <w:i/>
        </w:rPr>
        <w:t>r</w:t>
      </w:r>
      <w:r w:rsidR="00844CB0" w:rsidRPr="009139A3">
        <w:rPr>
          <w:i/>
        </w:rPr>
        <w:t>legte Spannungen in der örtlichen Gemeinschaft festgestellt.</w:t>
      </w:r>
    </w:p>
    <w:p w:rsidR="00844CB0" w:rsidRDefault="009139A3" w:rsidP="009139A3">
      <w:pPr>
        <w:tabs>
          <w:tab w:val="right" w:pos="9072"/>
        </w:tabs>
        <w:ind w:left="708"/>
        <w:rPr>
          <w:i/>
        </w:rPr>
      </w:pPr>
      <w:r w:rsidRPr="009139A3">
        <w:rPr>
          <w:i/>
        </w:rPr>
        <w:t xml:space="preserve">Die Stadt Bregenz hat beim Land </w:t>
      </w:r>
      <w:r w:rsidR="00EA2676">
        <w:rPr>
          <w:i/>
        </w:rPr>
        <w:t>Vorarlberg deshalb</w:t>
      </w:r>
      <w:r w:rsidR="00EA2676" w:rsidRPr="009139A3">
        <w:rPr>
          <w:i/>
        </w:rPr>
        <w:t xml:space="preserve"> </w:t>
      </w:r>
      <w:r w:rsidRPr="009139A3">
        <w:rPr>
          <w:i/>
        </w:rPr>
        <w:t>gezielte Maßnahmen zur fairen Verteilung von Flüchtlingsfamilien in den Vorarlberger Gemeinden eingefordert und entsprechende Verhandlungen darüber aufgenommen.</w:t>
      </w:r>
      <w:r>
        <w:rPr>
          <w:i/>
        </w:rPr>
        <w:t xml:space="preserve"> </w:t>
      </w:r>
      <w:r w:rsidR="00844CB0" w:rsidRPr="009139A3">
        <w:rPr>
          <w:i/>
        </w:rPr>
        <w:t>Bis eine übergeordnete polit</w:t>
      </w:r>
      <w:r w:rsidR="00844CB0" w:rsidRPr="009139A3">
        <w:rPr>
          <w:i/>
        </w:rPr>
        <w:t>i</w:t>
      </w:r>
      <w:r w:rsidR="00844CB0" w:rsidRPr="009139A3">
        <w:rPr>
          <w:i/>
        </w:rPr>
        <w:t xml:space="preserve">sche Regelung getroffen ist, sind in diesem Fall die administrativen Spielräume für </w:t>
      </w:r>
      <w:r w:rsidR="00EA2676">
        <w:rPr>
          <w:i/>
        </w:rPr>
        <w:t>eine Wohnungsvergabe</w:t>
      </w:r>
      <w:r w:rsidR="00844CB0" w:rsidRPr="009139A3">
        <w:rPr>
          <w:i/>
        </w:rPr>
        <w:t xml:space="preserve"> eher verstellt.</w:t>
      </w:r>
      <w:r>
        <w:rPr>
          <w:i/>
        </w:rPr>
        <w:t>“</w:t>
      </w:r>
      <w:r w:rsidR="00844CB0" w:rsidRPr="009139A3">
        <w:rPr>
          <w:i/>
        </w:rPr>
        <w:br/>
      </w:r>
      <w:r>
        <w:rPr>
          <w:i/>
        </w:rPr>
        <w:tab/>
        <w:t>(Interview Expertin, Bregenz)</w:t>
      </w:r>
      <w:r>
        <w:rPr>
          <w:i/>
        </w:rPr>
        <w:br/>
      </w:r>
    </w:p>
    <w:p w:rsidR="00C84E22" w:rsidRPr="009139A3" w:rsidRDefault="00C84E22" w:rsidP="00C84E22"/>
    <w:p w:rsidR="00906E32" w:rsidRDefault="002278F5">
      <w:pPr>
        <w:rPr>
          <w:u w:val="single"/>
          <w:lang w:val="de-AT"/>
        </w:rPr>
      </w:pPr>
      <w:r>
        <w:rPr>
          <w:u w:val="single"/>
          <w:lang w:val="de-AT"/>
        </w:rPr>
        <w:t>2.4</w:t>
      </w:r>
      <w:r w:rsidR="0018423F" w:rsidRPr="0018423F">
        <w:rPr>
          <w:u w:val="single"/>
          <w:lang w:val="de-AT"/>
        </w:rPr>
        <w:t>.3</w:t>
      </w:r>
      <w:r w:rsidR="0018423F" w:rsidRPr="0018423F">
        <w:rPr>
          <w:u w:val="single"/>
          <w:lang w:val="de-AT"/>
        </w:rPr>
        <w:tab/>
      </w:r>
      <w:r w:rsidR="00C84E22">
        <w:rPr>
          <w:u w:val="single"/>
          <w:lang w:val="de-AT"/>
        </w:rPr>
        <w:t xml:space="preserve">Ethnisierung von sozialen Spannungen </w:t>
      </w:r>
      <w:r w:rsidR="001F0115">
        <w:rPr>
          <w:u w:val="single"/>
          <w:lang w:val="de-AT"/>
        </w:rPr>
        <w:t>und</w:t>
      </w:r>
      <w:r w:rsidR="00C84E22">
        <w:rPr>
          <w:u w:val="single"/>
          <w:lang w:val="de-AT"/>
        </w:rPr>
        <w:t xml:space="preserve"> Konflikten</w:t>
      </w:r>
      <w:r w:rsidR="00906E32">
        <w:rPr>
          <w:u w:val="single"/>
          <w:lang w:val="de-AT"/>
        </w:rPr>
        <w:br/>
      </w:r>
    </w:p>
    <w:p w:rsidR="00906E32" w:rsidRDefault="00906E32">
      <w:r w:rsidRPr="00906E32">
        <w:t xml:space="preserve">In den </w:t>
      </w:r>
      <w:r>
        <w:t>Interviews und Gesprächsrunden mit ExpertInnen wurde wiederholt auf Wahrnehmu</w:t>
      </w:r>
      <w:r>
        <w:t>n</w:t>
      </w:r>
      <w:r>
        <w:t>gen hingewiesen, wonach sich die Grenzen von sozialen und ethnischen Motiven für Spannu</w:t>
      </w:r>
      <w:r>
        <w:t>n</w:t>
      </w:r>
      <w:r>
        <w:t xml:space="preserve">gen und Konflikten in Nachbarschaften / Siedlungen verwischen. Beispiel: jugendliche Gang wird auffällig </w:t>
      </w:r>
      <w:r w:rsidR="001F0115">
        <w:t>in Form von</w:t>
      </w:r>
      <w:r>
        <w:t xml:space="preserve"> Vandalismus, Lärm im öffentlichen Raum etc. Es handelt sich bei den Mitgliedern dieser Gang um MigrantInnen der zweiten Generation, die aktuell arbeitslos und l</w:t>
      </w:r>
      <w:r w:rsidR="001F0115">
        <w:t>etztlich auch ohne individuelle</w:t>
      </w:r>
      <w:r>
        <w:t xml:space="preserve"> Perspektiven sind. In der öffentlichen Meinung ist dieser Fall rasch erledigt: Hier werden die Probleme als ‚Ausländerprobleme‘ behandelt und entspr</w:t>
      </w:r>
      <w:r>
        <w:t>e</w:t>
      </w:r>
      <w:r>
        <w:t xml:space="preserve">chende fremdenrechtliche Maßnahmen </w:t>
      </w:r>
      <w:r w:rsidR="00767155">
        <w:t>und Interventionen eingefordert</w:t>
      </w:r>
      <w:r>
        <w:t>.</w:t>
      </w:r>
      <w:r w:rsidR="00767155">
        <w:t xml:space="preserve"> </w:t>
      </w:r>
    </w:p>
    <w:p w:rsidR="00906E32" w:rsidRDefault="00906E32">
      <w:r>
        <w:t>Eine differenziertere Betrachtung dieser Ausgangssituation würde wahrscheinlich zu einer konträren Beurteilung kommen und in Vorschlägen für völlig andere Maßnahmen und Inte</w:t>
      </w:r>
      <w:r>
        <w:t>r</w:t>
      </w:r>
      <w:r>
        <w:t>ventionsformen münden</w:t>
      </w:r>
      <w:r w:rsidR="00767155">
        <w:t>, sofern diese den Fallstricken einer sekundären Ethnisierung sozialer Problemlagen entgehen kann</w:t>
      </w:r>
      <w:r>
        <w:t xml:space="preserve">. </w:t>
      </w:r>
    </w:p>
    <w:p w:rsidR="00C84E22" w:rsidRDefault="00767155" w:rsidP="00C84E22">
      <w:pPr>
        <w:rPr>
          <w:lang w:val="de-AT"/>
        </w:rPr>
      </w:pPr>
      <w:r>
        <w:t xml:space="preserve">So wurde uns </w:t>
      </w:r>
      <w:r w:rsidR="001F0115">
        <w:t>von</w:t>
      </w:r>
      <w:r>
        <w:t xml:space="preserve"> eine</w:t>
      </w:r>
      <w:r w:rsidR="001F0115">
        <w:t>m</w:t>
      </w:r>
      <w:r>
        <w:t xml:space="preserve"> Gemeinwesenarbeit</w:t>
      </w:r>
      <w:r w:rsidR="001F0115">
        <w:t>sprojekt in Wien</w:t>
      </w:r>
      <w:r>
        <w:t xml:space="preserve"> berichtet, dass intern</w:t>
      </w:r>
      <w:r w:rsidR="00915107">
        <w:t>e</w:t>
      </w:r>
      <w:r>
        <w:t xml:space="preserve"> Vorso</w:t>
      </w:r>
      <w:r>
        <w:t>r</w:t>
      </w:r>
      <w:r>
        <w:t>gen in Bezug auf interkulturelle</w:t>
      </w:r>
      <w:r w:rsidR="00915107">
        <w:t>s</w:t>
      </w:r>
      <w:r>
        <w:t xml:space="preserve"> Konfliktmanagement </w:t>
      </w:r>
      <w:r w:rsidR="00915107">
        <w:t xml:space="preserve">(Methoden und Qualifikation) </w:t>
      </w:r>
      <w:r>
        <w:t xml:space="preserve">getroffen </w:t>
      </w:r>
      <w:r>
        <w:lastRenderedPageBreak/>
        <w:t xml:space="preserve">wurden, die sich mittlerweile auch bewährt hätten. In der konkreten </w:t>
      </w:r>
      <w:r w:rsidR="00906E32">
        <w:t>Praxis d</w:t>
      </w:r>
      <w:r>
        <w:t>ies</w:t>
      </w:r>
      <w:r w:rsidR="00906E32">
        <w:t>er Beratungs- u</w:t>
      </w:r>
      <w:r>
        <w:t>nd Betreuungseinrichtung</w:t>
      </w:r>
      <w:r w:rsidR="00906E32">
        <w:t xml:space="preserve"> </w:t>
      </w:r>
      <w:r>
        <w:t xml:space="preserve">musste jedoch </w:t>
      </w:r>
      <w:r w:rsidR="00906E32">
        <w:t>nur zu oft zu</w:t>
      </w:r>
      <w:r>
        <w:t>r</w:t>
      </w:r>
      <w:r w:rsidR="00906E32">
        <w:t xml:space="preserve"> </w:t>
      </w:r>
      <w:r>
        <w:t xml:space="preserve">Kenntnis genommen werden, dass einfache sozialarbeiterische Maßnahmen (Zugang zu Bildung und Erwerbstätigkeit, soziale Unterstützungsleistung, Kommunikation und Vernetzung etc.) ausreichen, um vordergründig ethnische Konfliktlagen zu bereinigen oder zumindest zu entschärfen. </w:t>
      </w:r>
      <w:r>
        <w:br/>
      </w:r>
    </w:p>
    <w:p w:rsidR="0018423F" w:rsidRPr="0018423F" w:rsidRDefault="001F0115">
      <w:pPr>
        <w:rPr>
          <w:u w:val="single"/>
          <w:lang w:val="de-AT"/>
        </w:rPr>
      </w:pPr>
      <w:r>
        <w:rPr>
          <w:u w:val="single"/>
          <w:lang w:val="de-AT"/>
        </w:rPr>
        <w:t>2.4</w:t>
      </w:r>
      <w:r w:rsidR="00C84E22">
        <w:rPr>
          <w:u w:val="single"/>
          <w:lang w:val="de-AT"/>
        </w:rPr>
        <w:t>.4</w:t>
      </w:r>
      <w:r w:rsidR="00C84E22">
        <w:rPr>
          <w:u w:val="single"/>
          <w:lang w:val="de-AT"/>
        </w:rPr>
        <w:tab/>
      </w:r>
      <w:r w:rsidR="0018423F" w:rsidRPr="0018423F">
        <w:rPr>
          <w:u w:val="single"/>
          <w:lang w:val="de-AT"/>
        </w:rPr>
        <w:t>Positive Diskriminierung – zulasten von Personen mit Migrationshintergrund?</w:t>
      </w:r>
      <w:r w:rsidR="00E40AD4">
        <w:rPr>
          <w:u w:val="single"/>
          <w:lang w:val="de-AT"/>
        </w:rPr>
        <w:br/>
      </w:r>
    </w:p>
    <w:p w:rsidR="00C95333" w:rsidRDefault="00C95333" w:rsidP="00C95333">
      <w:pPr>
        <w:rPr>
          <w:lang w:val="de-AT" w:eastAsia="de-AT"/>
        </w:rPr>
      </w:pPr>
      <w:r>
        <w:rPr>
          <w:lang w:val="de-AT" w:eastAsia="de-AT"/>
        </w:rPr>
        <w:t>In der Gesprächsrunde mit wohn- und integrationspolitischen ExpertInnen in Tirol wurden zentrale Fragen und Probleme in der spezifischen wohnpolitischen Konstellation in Tirol disk</w:t>
      </w:r>
      <w:r>
        <w:rPr>
          <w:lang w:val="de-AT" w:eastAsia="de-AT"/>
        </w:rPr>
        <w:t>u</w:t>
      </w:r>
      <w:r>
        <w:rPr>
          <w:lang w:val="de-AT" w:eastAsia="de-AT"/>
        </w:rPr>
        <w:t xml:space="preserve">tiert. Dabei kristallisierten sich folgende Begriffspaare als kritisch für die konkrete Vergabe von öffentlichen Wohnungen an Personen mit Migrationshintergrund heraus: </w:t>
      </w:r>
      <w:r>
        <w:rPr>
          <w:lang w:val="de-AT" w:eastAsia="de-AT"/>
        </w:rPr>
        <w:br/>
      </w:r>
    </w:p>
    <w:p w:rsidR="00C95333" w:rsidRDefault="00C95333" w:rsidP="00C95333">
      <w:pPr>
        <w:rPr>
          <w:lang w:val="de-AT" w:eastAsia="de-AT"/>
        </w:rPr>
      </w:pPr>
      <w:r>
        <w:rPr>
          <w:noProof/>
          <w:lang w:val="de-AT" w:eastAsia="de-AT"/>
        </w:rPr>
        <w:drawing>
          <wp:inline distT="0" distB="0" distL="0" distR="0">
            <wp:extent cx="5488940" cy="2143760"/>
            <wp:effectExtent l="19050" t="0" r="16510" b="0"/>
            <wp:docPr id="15"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r w:rsidR="00865424">
        <w:rPr>
          <w:lang w:val="de-AT" w:eastAsia="de-AT"/>
        </w:rPr>
        <w:br/>
      </w:r>
    </w:p>
    <w:p w:rsidR="00915107" w:rsidRDefault="00C95333" w:rsidP="00672CB8">
      <w:pPr>
        <w:rPr>
          <w:lang w:val="de-AT" w:eastAsia="de-AT"/>
        </w:rPr>
      </w:pPr>
      <w:r>
        <w:rPr>
          <w:lang w:val="de-AT" w:eastAsia="de-AT"/>
        </w:rPr>
        <w:t>In diesem Zusammenhang wurde ein Problem der Wahrnehmung und Rezeption deutlich, das insbesondere dann bedeutsam wird, wenn die Stimmung / das Image / die Einschätzung eines Gemeinwesens durch die öffentliche bzw. veröffentlichte Meinung kippt, wenn also ein Stad</w:t>
      </w:r>
      <w:r>
        <w:rPr>
          <w:lang w:val="de-AT" w:eastAsia="de-AT"/>
        </w:rPr>
        <w:t>t</w:t>
      </w:r>
      <w:r>
        <w:rPr>
          <w:lang w:val="de-AT" w:eastAsia="de-AT"/>
        </w:rPr>
        <w:t xml:space="preserve">teil bzw. eine Siedlung schlechte Zuschreibungen erhält. </w:t>
      </w:r>
    </w:p>
    <w:p w:rsidR="00672CB8" w:rsidRPr="001F0115" w:rsidRDefault="00672CB8" w:rsidP="001F0115">
      <w:pPr>
        <w:rPr>
          <w:lang w:val="de-AT" w:eastAsia="de-AT"/>
        </w:rPr>
      </w:pPr>
      <w:r>
        <w:rPr>
          <w:lang w:val="de-AT" w:eastAsia="de-AT"/>
        </w:rPr>
        <w:t>Darin wird ein Dilemma für die öffentliche Hand sowie für die relevanten Vergabestellen sich</w:t>
      </w:r>
      <w:r>
        <w:rPr>
          <w:lang w:val="de-AT" w:eastAsia="de-AT"/>
        </w:rPr>
        <w:t>t</w:t>
      </w:r>
      <w:r>
        <w:rPr>
          <w:lang w:val="de-AT" w:eastAsia="de-AT"/>
        </w:rPr>
        <w:t>bar:</w:t>
      </w:r>
      <w:r w:rsidR="001F0115">
        <w:rPr>
          <w:lang w:val="de-AT" w:eastAsia="de-AT"/>
        </w:rPr>
        <w:t xml:space="preserve"> </w:t>
      </w:r>
      <w:r w:rsidR="001F0115" w:rsidRPr="001F0115">
        <w:rPr>
          <w:lang w:val="de-AT" w:eastAsia="de-AT"/>
        </w:rPr>
        <w:t xml:space="preserve">Einerseits </w:t>
      </w:r>
      <w:r w:rsidRPr="001F0115">
        <w:rPr>
          <w:lang w:val="de-AT" w:eastAsia="de-AT"/>
        </w:rPr>
        <w:t>sind sie auf die Akzeptanz der Bevölkerung verwiesen, andererseits haben sie die Gleichbehandlungsnormen zu befolgen</w:t>
      </w:r>
      <w:r w:rsidR="001F0115">
        <w:rPr>
          <w:lang w:val="de-AT" w:eastAsia="de-AT"/>
        </w:rPr>
        <w:t>.</w:t>
      </w:r>
    </w:p>
    <w:p w:rsidR="00672CB8" w:rsidRDefault="00672CB8" w:rsidP="00672CB8">
      <w:pPr>
        <w:rPr>
          <w:lang w:val="de-AT" w:eastAsia="de-AT"/>
        </w:rPr>
      </w:pPr>
      <w:r>
        <w:rPr>
          <w:lang w:val="de-AT" w:eastAsia="de-AT"/>
        </w:rPr>
        <w:t>Wohnungsämter und –vergabestellen finden sich solcherart nur zu schnell in einer Sandwich-Position, in der es ihnen unmöglich wird, es allen recht zu tun. Dem steht ein politischer Wille gegenüber, demzufolge der Förderung von Wohneigentum die höchste Priorität eingeräumt wird. Weitere Parameter der wohnpolitischen Entwicklung sind ein hohes Preisniveau von g</w:t>
      </w:r>
      <w:r>
        <w:rPr>
          <w:lang w:val="de-AT" w:eastAsia="de-AT"/>
        </w:rPr>
        <w:t>e</w:t>
      </w:r>
      <w:r>
        <w:rPr>
          <w:lang w:val="de-AT" w:eastAsia="de-AT"/>
        </w:rPr>
        <w:lastRenderedPageBreak/>
        <w:t>förderten Mietwohnungen, das mit hohen Einkommensgrenzen für die Zugangsberechtigung zum geförderten Wohnraum und einem hohen Stellenwert, der den ökologischen Kriterien bei der Planung von neuen Wohnsiedlungen respektive bei der geförderten Renovierung des Al</w:t>
      </w:r>
      <w:r>
        <w:rPr>
          <w:lang w:val="de-AT" w:eastAsia="de-AT"/>
        </w:rPr>
        <w:t>t</w:t>
      </w:r>
      <w:r>
        <w:rPr>
          <w:lang w:val="de-AT" w:eastAsia="de-AT"/>
        </w:rPr>
        <w:t>wohnungsbestandes beigemessen wird, korrespondiert. Alles in allem führt dazu, dass sich die Wohnbauförderung im Bundesland Tirol zu einem hohen Anteil an der Zielgruppe von Mittel</w:t>
      </w:r>
      <w:r w:rsidR="00AA7B14">
        <w:rPr>
          <w:lang w:val="de-AT" w:eastAsia="de-AT"/>
        </w:rPr>
        <w:softHyphen/>
      </w:r>
      <w:r>
        <w:rPr>
          <w:lang w:val="de-AT" w:eastAsia="de-AT"/>
        </w:rPr>
        <w:t>standsfamilien ausrichtet. Für die Wohnversorgung von Haushalten mit einem geringeren Ei</w:t>
      </w:r>
      <w:r>
        <w:rPr>
          <w:lang w:val="de-AT" w:eastAsia="de-AT"/>
        </w:rPr>
        <w:t>n</w:t>
      </w:r>
      <w:r>
        <w:rPr>
          <w:lang w:val="de-AT" w:eastAsia="de-AT"/>
        </w:rPr>
        <w:t>kommen (z.B. aus Transferleistungen) bzw. mit Migrationshintergrund verbleib</w:t>
      </w:r>
      <w:r w:rsidR="001F0115">
        <w:rPr>
          <w:lang w:val="de-AT" w:eastAsia="de-AT"/>
        </w:rPr>
        <w:t>t dann letztlich nur ein kleiner</w:t>
      </w:r>
      <w:r>
        <w:rPr>
          <w:lang w:val="de-AT" w:eastAsia="de-AT"/>
        </w:rPr>
        <w:t xml:space="preserve"> </w:t>
      </w:r>
      <w:r w:rsidR="001F0115">
        <w:rPr>
          <w:lang w:val="de-AT" w:eastAsia="de-AT"/>
        </w:rPr>
        <w:t>Bestand</w:t>
      </w:r>
      <w:r>
        <w:rPr>
          <w:lang w:val="de-AT" w:eastAsia="de-AT"/>
        </w:rPr>
        <w:t xml:space="preserve"> an leistbaren Wohnungen. </w:t>
      </w:r>
      <w:r w:rsidR="001D0619">
        <w:rPr>
          <w:lang w:val="de-AT" w:eastAsia="de-AT"/>
        </w:rPr>
        <w:t>In diesem Segment ist mithin der Anteil von Haushalten mit Migrationshintergrund entsprechend hoch.</w:t>
      </w:r>
    </w:p>
    <w:p w:rsidR="00672CB8" w:rsidRDefault="00672CB8" w:rsidP="00672CB8">
      <w:pPr>
        <w:rPr>
          <w:lang w:val="de-AT" w:eastAsia="de-AT"/>
        </w:rPr>
      </w:pPr>
      <w:r>
        <w:rPr>
          <w:lang w:val="de-AT" w:eastAsia="de-AT"/>
        </w:rPr>
        <w:t xml:space="preserve">Die Tiroler Gemeinden gehen – insgesamt gesehen – ausgesprochen unterschiedlich mit </w:t>
      </w:r>
      <w:r w:rsidR="00865424">
        <w:rPr>
          <w:lang w:val="de-AT" w:eastAsia="de-AT"/>
        </w:rPr>
        <w:t>den damit zusammenhängenden Fragestellungen um</w:t>
      </w:r>
      <w:r w:rsidR="009B5554">
        <w:rPr>
          <w:lang w:val="de-AT" w:eastAsia="de-AT"/>
        </w:rPr>
        <w:t xml:space="preserve">. So </w:t>
      </w:r>
      <w:r w:rsidR="00F25087">
        <w:rPr>
          <w:lang w:val="de-AT" w:eastAsia="de-AT"/>
        </w:rPr>
        <w:t>werden aus</w:t>
      </w:r>
      <w:r w:rsidR="009B5554">
        <w:rPr>
          <w:lang w:val="de-AT" w:eastAsia="de-AT"/>
        </w:rPr>
        <w:t xml:space="preserve"> manchen Gemeinden</w:t>
      </w:r>
      <w:r w:rsidR="00F25087">
        <w:rPr>
          <w:lang w:val="de-AT" w:eastAsia="de-AT"/>
        </w:rPr>
        <w:t xml:space="preserve"> in Tirol folgende Strategien bzw. aktuelle Vorhaben berichtet</w:t>
      </w:r>
      <w:r w:rsidR="009B5554">
        <w:rPr>
          <w:rStyle w:val="Funotenzeichen"/>
          <w:lang w:val="de-AT" w:eastAsia="de-AT"/>
        </w:rPr>
        <w:footnoteReference w:id="18"/>
      </w:r>
      <w:r w:rsidR="001D0619">
        <w:rPr>
          <w:lang w:val="de-AT" w:eastAsia="de-AT"/>
        </w:rPr>
        <w:t>:</w:t>
      </w:r>
      <w:r w:rsidR="00865424">
        <w:rPr>
          <w:lang w:val="de-AT" w:eastAsia="de-AT"/>
        </w:rPr>
        <w:t xml:space="preserve"> </w:t>
      </w:r>
      <w:r>
        <w:rPr>
          <w:lang w:val="de-AT" w:eastAsia="de-AT"/>
        </w:rPr>
        <w:br/>
      </w:r>
    </w:p>
    <w:p w:rsidR="001D0619" w:rsidRPr="00EA2676" w:rsidRDefault="001D0619" w:rsidP="00B31556">
      <w:pPr>
        <w:pStyle w:val="Listenabsatz"/>
        <w:numPr>
          <w:ilvl w:val="0"/>
          <w:numId w:val="19"/>
        </w:numPr>
        <w:rPr>
          <w:lang w:val="de-AT" w:eastAsia="de-AT"/>
        </w:rPr>
      </w:pPr>
      <w:r w:rsidRPr="00EA2676">
        <w:rPr>
          <w:lang w:val="de-AT" w:eastAsia="de-AT"/>
        </w:rPr>
        <w:t xml:space="preserve">Einführung des Kriteriums von </w:t>
      </w:r>
      <w:r w:rsidRPr="001F0115">
        <w:rPr>
          <w:lang w:val="de-AT" w:eastAsia="de-AT"/>
        </w:rPr>
        <w:t>Deutschkenntnissen</w:t>
      </w:r>
      <w:r w:rsidRPr="00EA2676">
        <w:rPr>
          <w:lang w:val="de-AT" w:eastAsia="de-AT"/>
        </w:rPr>
        <w:t xml:space="preserve"> </w:t>
      </w:r>
      <w:r w:rsidR="00F25087">
        <w:rPr>
          <w:lang w:val="de-AT" w:eastAsia="de-AT"/>
        </w:rPr>
        <w:t>(Wörgl)</w:t>
      </w:r>
    </w:p>
    <w:p w:rsidR="001D0619" w:rsidRPr="00EA2676" w:rsidRDefault="001D0619" w:rsidP="00B31556">
      <w:pPr>
        <w:pStyle w:val="Listenabsatz"/>
        <w:numPr>
          <w:ilvl w:val="0"/>
          <w:numId w:val="19"/>
        </w:numPr>
        <w:rPr>
          <w:lang w:val="de-AT" w:eastAsia="de-AT"/>
        </w:rPr>
      </w:pPr>
      <w:r w:rsidRPr="001F0115">
        <w:rPr>
          <w:lang w:val="de-AT" w:eastAsia="de-AT"/>
        </w:rPr>
        <w:t>Deckelung des Anteils</w:t>
      </w:r>
      <w:r w:rsidRPr="00EA2676">
        <w:rPr>
          <w:lang w:val="de-AT" w:eastAsia="de-AT"/>
        </w:rPr>
        <w:t xml:space="preserve"> von MieterInnen mit z.B. türkischer Staatsbürgerschaft</w:t>
      </w:r>
    </w:p>
    <w:p w:rsidR="0018423F" w:rsidRPr="00EA2676" w:rsidRDefault="00C95333" w:rsidP="00B31556">
      <w:pPr>
        <w:pStyle w:val="Listenabsatz"/>
        <w:numPr>
          <w:ilvl w:val="0"/>
          <w:numId w:val="19"/>
        </w:numPr>
        <w:rPr>
          <w:lang w:val="de-AT"/>
        </w:rPr>
      </w:pPr>
      <w:r w:rsidRPr="00EA2676">
        <w:rPr>
          <w:lang w:val="de-AT" w:eastAsia="de-AT"/>
        </w:rPr>
        <w:t xml:space="preserve">In anderen Gemeinden wird die Einführung von </w:t>
      </w:r>
      <w:r w:rsidRPr="001F0115">
        <w:rPr>
          <w:lang w:val="de-AT" w:eastAsia="de-AT"/>
        </w:rPr>
        <w:t>Pluspunkten für ehrenamtliches Engagement</w:t>
      </w:r>
      <w:r w:rsidRPr="00EA2676">
        <w:rPr>
          <w:lang w:val="de-AT" w:eastAsia="de-AT"/>
        </w:rPr>
        <w:t xml:space="preserve"> überlegt. </w:t>
      </w:r>
      <w:r w:rsidR="001D0619" w:rsidRPr="00EA2676">
        <w:rPr>
          <w:lang w:val="de-AT" w:eastAsia="de-AT"/>
        </w:rPr>
        <w:t xml:space="preserve">Mitglieder der freiwilligen Feuerwehr etc. würden dann in der Warteliste vorgereiht. </w:t>
      </w:r>
      <w:r w:rsidRPr="00EA2676">
        <w:rPr>
          <w:lang w:val="de-AT" w:eastAsia="de-AT"/>
        </w:rPr>
        <w:t xml:space="preserve">Unklar ist hier </w:t>
      </w:r>
      <w:r w:rsidR="001D0619" w:rsidRPr="00EA2676">
        <w:rPr>
          <w:lang w:val="de-AT" w:eastAsia="de-AT"/>
        </w:rPr>
        <w:t>allerdings, wie diese Regelung</w:t>
      </w:r>
      <w:r w:rsidRPr="00EA2676">
        <w:rPr>
          <w:lang w:val="de-AT" w:eastAsia="de-AT"/>
        </w:rPr>
        <w:t xml:space="preserve"> transp</w:t>
      </w:r>
      <w:r w:rsidRPr="00EA2676">
        <w:rPr>
          <w:lang w:val="de-AT" w:eastAsia="de-AT"/>
        </w:rPr>
        <w:t>a</w:t>
      </w:r>
      <w:r w:rsidRPr="00EA2676">
        <w:rPr>
          <w:lang w:val="de-AT" w:eastAsia="de-AT"/>
        </w:rPr>
        <w:t>rent</w:t>
      </w:r>
      <w:r w:rsidR="001D0619" w:rsidRPr="00EA2676">
        <w:rPr>
          <w:lang w:val="de-AT" w:eastAsia="de-AT"/>
        </w:rPr>
        <w:t>,</w:t>
      </w:r>
      <w:r w:rsidRPr="00EA2676">
        <w:rPr>
          <w:lang w:val="de-AT" w:eastAsia="de-AT"/>
        </w:rPr>
        <w:t xml:space="preserve"> fair </w:t>
      </w:r>
      <w:r w:rsidR="001D0619" w:rsidRPr="00EA2676">
        <w:rPr>
          <w:lang w:val="de-AT" w:eastAsia="de-AT"/>
        </w:rPr>
        <w:t xml:space="preserve">und objektiv </w:t>
      </w:r>
      <w:r w:rsidRPr="00EA2676">
        <w:rPr>
          <w:lang w:val="de-AT" w:eastAsia="de-AT"/>
        </w:rPr>
        <w:t xml:space="preserve">gestaltet werden </w:t>
      </w:r>
      <w:r w:rsidR="001D0619" w:rsidRPr="00EA2676">
        <w:rPr>
          <w:lang w:val="de-AT" w:eastAsia="de-AT"/>
        </w:rPr>
        <w:t>kann</w:t>
      </w:r>
      <w:r w:rsidRPr="00EA2676">
        <w:rPr>
          <w:lang w:val="de-AT" w:eastAsia="de-AT"/>
        </w:rPr>
        <w:t xml:space="preserve">, ohne dass es dabei unter der Hand zu </w:t>
      </w:r>
      <w:r w:rsidR="001D0619" w:rsidRPr="00EA2676">
        <w:rPr>
          <w:lang w:val="de-AT" w:eastAsia="de-AT"/>
        </w:rPr>
        <w:t>Bevorzugung von InländerInnen</w:t>
      </w:r>
      <w:r w:rsidR="00EA2676">
        <w:rPr>
          <w:lang w:val="de-AT" w:eastAsia="de-AT"/>
        </w:rPr>
        <w:t xml:space="preserve"> und </w:t>
      </w:r>
      <w:r w:rsidR="004D6E6C">
        <w:rPr>
          <w:lang w:val="de-AT" w:eastAsia="de-AT"/>
        </w:rPr>
        <w:t xml:space="preserve">im </w:t>
      </w:r>
      <w:r w:rsidR="00F25087">
        <w:rPr>
          <w:lang w:val="de-AT" w:eastAsia="de-AT"/>
        </w:rPr>
        <w:t xml:space="preserve">Gegenzug </w:t>
      </w:r>
      <w:r w:rsidR="004D6E6C">
        <w:rPr>
          <w:lang w:val="de-AT" w:eastAsia="de-AT"/>
        </w:rPr>
        <w:t xml:space="preserve">zur </w:t>
      </w:r>
      <w:r w:rsidR="00EA2676">
        <w:rPr>
          <w:lang w:val="de-AT" w:eastAsia="de-AT"/>
        </w:rPr>
        <w:t>Benachteiligung von Nicht-ÖsterreicherInnen</w:t>
      </w:r>
      <w:r w:rsidRPr="00EA2676">
        <w:rPr>
          <w:lang w:val="de-AT" w:eastAsia="de-AT"/>
        </w:rPr>
        <w:t xml:space="preserve"> kommt.</w:t>
      </w:r>
      <w:r w:rsidR="001D0619" w:rsidRPr="00EA2676">
        <w:rPr>
          <w:lang w:val="de-AT" w:eastAsia="de-AT"/>
        </w:rPr>
        <w:br/>
      </w:r>
    </w:p>
    <w:p w:rsidR="0018423F" w:rsidRDefault="0018423F">
      <w:pPr>
        <w:rPr>
          <w:lang w:val="de-AT"/>
        </w:rPr>
      </w:pPr>
    </w:p>
    <w:p w:rsidR="00D87038" w:rsidRDefault="001F0115" w:rsidP="00E23216">
      <w:pPr>
        <w:pStyle w:val="berschrift3"/>
      </w:pPr>
      <w:r>
        <w:t>2.5</w:t>
      </w:r>
      <w:r>
        <w:tab/>
      </w:r>
      <w:r w:rsidR="009861C9" w:rsidRPr="00D87038">
        <w:t>S</w:t>
      </w:r>
      <w:r w:rsidR="00D87038" w:rsidRPr="00D87038">
        <w:t xml:space="preserve">pezielle Vorsorgen für die Wohnversorgung, Beratung und / oder </w:t>
      </w:r>
      <w:r w:rsidR="00AA7B14">
        <w:br/>
      </w:r>
      <w:r w:rsidR="00D87038" w:rsidRPr="00D87038">
        <w:t>Betreuung von Nicht-ÖsterreicherInnen</w:t>
      </w:r>
      <w:r w:rsidR="00AC722A">
        <w:t xml:space="preserve"> </w:t>
      </w:r>
    </w:p>
    <w:p w:rsidR="003519EA" w:rsidRDefault="003519EA" w:rsidP="003519EA">
      <w:pPr>
        <w:rPr>
          <w:lang w:val="de-AT"/>
        </w:rPr>
      </w:pPr>
      <w:r>
        <w:rPr>
          <w:lang w:val="de-AT"/>
        </w:rPr>
        <w:br/>
        <w:t>Für die Beratung / Betreuung von nicht-österreichischen WohnungswerberInnen werden u</w:t>
      </w:r>
      <w:r>
        <w:rPr>
          <w:lang w:val="de-AT"/>
        </w:rPr>
        <w:t>n</w:t>
      </w:r>
      <w:r>
        <w:rPr>
          <w:lang w:val="de-AT"/>
        </w:rPr>
        <w:t>ter</w:t>
      </w:r>
      <w:r w:rsidR="00A1406F">
        <w:rPr>
          <w:lang w:val="de-AT"/>
        </w:rPr>
        <w:t xml:space="preserve">schiedliche Vorsorgen getroffen. Bei der </w:t>
      </w:r>
      <w:r w:rsidR="00AA7B14">
        <w:rPr>
          <w:lang w:val="de-AT"/>
        </w:rPr>
        <w:t>in der Fragestellung</w:t>
      </w:r>
      <w:r w:rsidR="00A1406F">
        <w:rPr>
          <w:lang w:val="de-AT"/>
        </w:rPr>
        <w:t xml:space="preserve"> angebotenen Auswahl </w:t>
      </w:r>
      <w:r w:rsidR="00AA7B14">
        <w:rPr>
          <w:lang w:val="de-AT"/>
        </w:rPr>
        <w:t xml:space="preserve">an möglichen Vorsorgen </w:t>
      </w:r>
      <w:r w:rsidR="00A1406F">
        <w:rPr>
          <w:lang w:val="de-AT"/>
        </w:rPr>
        <w:t>erhält</w:t>
      </w:r>
      <w:r>
        <w:rPr>
          <w:lang w:val="de-AT"/>
        </w:rPr>
        <w:t xml:space="preserve"> die Kooperation mit externen Einrichtungen zur Beratung / Betreuung von MigrantInnen </w:t>
      </w:r>
      <w:r w:rsidR="00A1406F">
        <w:rPr>
          <w:lang w:val="de-AT"/>
        </w:rPr>
        <w:t>deutlich die höchste Zustimmung. Demgegenüber werden fremdsprachiges Informationsmaterial und / oder fremdsprachiges Personal nur von etwa j</w:t>
      </w:r>
      <w:r w:rsidR="00A1406F">
        <w:rPr>
          <w:lang w:val="de-AT"/>
        </w:rPr>
        <w:t>e</w:t>
      </w:r>
      <w:r w:rsidR="00A1406F">
        <w:rPr>
          <w:lang w:val="de-AT"/>
        </w:rPr>
        <w:t>der vierten Einrichtung bereit gestellt</w:t>
      </w:r>
      <w:r>
        <w:rPr>
          <w:lang w:val="de-AT"/>
        </w:rPr>
        <w:t xml:space="preserve">. </w:t>
      </w:r>
      <w:r w:rsidR="00A1406F">
        <w:rPr>
          <w:lang w:val="de-AT"/>
        </w:rPr>
        <w:t>Weitergehende Förderangebote, etwa Sprachförderung, kommen in diesem Ranking mit einem Wert von 23% deutlich am Ende.</w:t>
      </w:r>
    </w:p>
    <w:p w:rsidR="008D2223" w:rsidRPr="008D2223" w:rsidRDefault="007866AA" w:rsidP="003519EA">
      <w:pPr>
        <w:rPr>
          <w:rStyle w:val="SchwacherVerweis"/>
        </w:rPr>
      </w:pPr>
      <w:r>
        <w:rPr>
          <w:rStyle w:val="SchwacherVerweis"/>
        </w:rPr>
        <w:lastRenderedPageBreak/>
        <w:t>Grafik 14</w:t>
      </w:r>
      <w:r w:rsidR="008D2223" w:rsidRPr="008D2223">
        <w:rPr>
          <w:rStyle w:val="SchwacherVerweis"/>
        </w:rPr>
        <w:t>: Spezielle Vorsorgen für die Zielgruppe von Nicht-ÖsterreicherInnen</w:t>
      </w:r>
    </w:p>
    <w:p w:rsidR="00A76CC4" w:rsidRDefault="003519EA">
      <w:pPr>
        <w:rPr>
          <w:lang w:val="de-AT"/>
        </w:rPr>
      </w:pPr>
      <w:r w:rsidRPr="003519EA">
        <w:rPr>
          <w:noProof/>
          <w:lang w:val="de-AT" w:eastAsia="de-AT"/>
        </w:rPr>
        <w:drawing>
          <wp:inline distT="0" distB="0" distL="0" distR="0">
            <wp:extent cx="5657850" cy="3486151"/>
            <wp:effectExtent l="19050" t="0" r="19050" b="0"/>
            <wp:docPr id="23"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1406F" w:rsidRDefault="00A1406F">
      <w:pPr>
        <w:rPr>
          <w:lang w:val="de-AT"/>
        </w:rPr>
      </w:pPr>
    </w:p>
    <w:p w:rsidR="00E2105B" w:rsidRPr="00A1406F" w:rsidRDefault="007D7FBF" w:rsidP="00A1406F">
      <w:pPr>
        <w:pStyle w:val="Listenabsatz"/>
        <w:numPr>
          <w:ilvl w:val="2"/>
          <w:numId w:val="33"/>
        </w:numPr>
        <w:rPr>
          <w:u w:val="single"/>
          <w:lang w:val="de-AT"/>
        </w:rPr>
      </w:pPr>
      <w:r w:rsidRPr="00A1406F">
        <w:rPr>
          <w:u w:val="single"/>
          <w:lang w:val="de-AT"/>
        </w:rPr>
        <w:t>Unterschiedliche Vorsorgen nach Art der Einrichtung</w:t>
      </w:r>
      <w:r w:rsidR="00AA7B14">
        <w:rPr>
          <w:u w:val="single"/>
          <w:lang w:val="de-AT"/>
        </w:rPr>
        <w:br/>
      </w:r>
    </w:p>
    <w:p w:rsidR="00AA7B14" w:rsidRPr="00AA7B14" w:rsidRDefault="00AA7B14" w:rsidP="00AA7B14">
      <w:pPr>
        <w:rPr>
          <w:lang w:val="de-AT"/>
        </w:rPr>
      </w:pPr>
      <w:r w:rsidRPr="00AA7B14">
        <w:rPr>
          <w:lang w:val="de-AT"/>
        </w:rPr>
        <w:t>Die Vorsorgen für nicht-österreichische WohnungswerberInnen, die von den unterschiedlichen wohnungsmarktrelevanten Einrichtungen getroffen werden, unterscheiden sich wesentlich nach Art der Einrichtungen.</w:t>
      </w:r>
    </w:p>
    <w:p w:rsidR="00AA7B14" w:rsidRPr="00AA7B14" w:rsidRDefault="00AA7B14" w:rsidP="00AA7B14">
      <w:pPr>
        <w:rPr>
          <w:lang w:val="de-AT"/>
        </w:rPr>
      </w:pPr>
      <w:r w:rsidRPr="00AA7B14">
        <w:rPr>
          <w:lang w:val="de-AT"/>
        </w:rPr>
        <w:t>Spezielle Vorsorgen sind bei den Agenturen des Wohnungsmarktes im Unterschied zu den Beratungseinrichtungen offensichtlich eher nachrangig. Am Verbreitesten ist bei diesen Ei</w:t>
      </w:r>
      <w:r w:rsidRPr="00AA7B14">
        <w:rPr>
          <w:lang w:val="de-AT"/>
        </w:rPr>
        <w:t>n</w:t>
      </w:r>
      <w:r w:rsidRPr="00AA7B14">
        <w:rPr>
          <w:lang w:val="de-AT"/>
        </w:rPr>
        <w:t>richtungen die Kooperation mit externen Beratungseinrichtungen, die z.B. von jedem zweiten Wohnungsamt gewährleistet werden. Fremdsprachige Informationen oder MitarbeiterInnen sowie spezielle Fördermaßnahmen sind darüber hinaus nur im Ausnahmefall (durchschnittlich etwa 20%) vorgesehen</w:t>
      </w:r>
      <w:r>
        <w:rPr>
          <w:lang w:val="de-AT"/>
        </w:rPr>
        <w:t>.</w:t>
      </w:r>
      <w:r>
        <w:rPr>
          <w:lang w:val="de-AT"/>
        </w:rPr>
        <w:br/>
      </w:r>
    </w:p>
    <w:p w:rsidR="00AA7B14" w:rsidRDefault="00AA7B14">
      <w:pPr>
        <w:rPr>
          <w:rStyle w:val="SchwacherVerweis"/>
        </w:rPr>
      </w:pPr>
    </w:p>
    <w:p w:rsidR="00AA7B14" w:rsidRDefault="00AA7B14">
      <w:pPr>
        <w:spacing w:before="180" w:after="240" w:line="336" w:lineRule="auto"/>
        <w:jc w:val="center"/>
        <w:rPr>
          <w:rStyle w:val="SchwacherVerweis"/>
        </w:rPr>
      </w:pPr>
      <w:r>
        <w:rPr>
          <w:rStyle w:val="SchwacherVerweis"/>
        </w:rPr>
        <w:br w:type="page"/>
      </w:r>
    </w:p>
    <w:p w:rsidR="00C50017" w:rsidRPr="00C50017" w:rsidRDefault="00C50017">
      <w:pPr>
        <w:rPr>
          <w:rStyle w:val="SchwacherVerweis"/>
        </w:rPr>
      </w:pPr>
      <w:r w:rsidRPr="00C50017">
        <w:rPr>
          <w:rStyle w:val="SchwacherVerweis"/>
        </w:rPr>
        <w:lastRenderedPageBreak/>
        <w:t>Grafik</w:t>
      </w:r>
      <w:r w:rsidR="008D2223">
        <w:rPr>
          <w:rStyle w:val="SchwacherVerweis"/>
        </w:rPr>
        <w:t xml:space="preserve"> 1</w:t>
      </w:r>
      <w:r w:rsidR="007866AA">
        <w:rPr>
          <w:rStyle w:val="SchwacherVerweis"/>
        </w:rPr>
        <w:t>5</w:t>
      </w:r>
      <w:r w:rsidRPr="00C50017">
        <w:rPr>
          <w:rStyle w:val="SchwacherVerweis"/>
        </w:rPr>
        <w:t>: Spezielle Vorsorgen nach Art der Einrichtung</w:t>
      </w:r>
    </w:p>
    <w:p w:rsidR="003519EA" w:rsidRDefault="007E074D">
      <w:pPr>
        <w:rPr>
          <w:lang w:val="de-AT"/>
        </w:rPr>
      </w:pPr>
      <w:r w:rsidRPr="007E074D">
        <w:rPr>
          <w:noProof/>
          <w:lang w:val="de-AT" w:eastAsia="de-AT"/>
        </w:rPr>
        <w:drawing>
          <wp:inline distT="0" distB="0" distL="0" distR="0">
            <wp:extent cx="5618355" cy="3155323"/>
            <wp:effectExtent l="19050" t="0" r="20445" b="6977"/>
            <wp:docPr id="24"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008F747D">
        <w:rPr>
          <w:lang w:val="de-AT"/>
        </w:rPr>
        <w:br/>
      </w:r>
    </w:p>
    <w:p w:rsidR="008F747D" w:rsidRPr="006D0DB3" w:rsidRDefault="008F747D" w:rsidP="008F747D">
      <w:pPr>
        <w:rPr>
          <w:lang w:val="de-AT"/>
        </w:rPr>
      </w:pPr>
      <w:r w:rsidRPr="006D0DB3">
        <w:rPr>
          <w:lang w:val="de-AT"/>
        </w:rPr>
        <w:t>Im Unterschied zu den wohnungsmarktaktiven Einrichtungen erweisen sich die Beratungsste</w:t>
      </w:r>
      <w:r w:rsidRPr="006D0DB3">
        <w:rPr>
          <w:lang w:val="de-AT"/>
        </w:rPr>
        <w:t>l</w:t>
      </w:r>
      <w:r w:rsidRPr="006D0DB3">
        <w:rPr>
          <w:lang w:val="de-AT"/>
        </w:rPr>
        <w:t xml:space="preserve">len in hohem Maße </w:t>
      </w:r>
      <w:r w:rsidR="00AA7B14">
        <w:rPr>
          <w:lang w:val="de-AT"/>
        </w:rPr>
        <w:t xml:space="preserve">als </w:t>
      </w:r>
      <w:r>
        <w:rPr>
          <w:lang w:val="de-AT"/>
        </w:rPr>
        <w:t xml:space="preserve">kooperativ und </w:t>
      </w:r>
      <w:r w:rsidRPr="006D0DB3">
        <w:rPr>
          <w:lang w:val="de-AT"/>
        </w:rPr>
        <w:t>vernetzt.</w:t>
      </w:r>
      <w:r>
        <w:rPr>
          <w:lang w:val="de-AT"/>
        </w:rPr>
        <w:t xml:space="preserve"> Auch die weiteren integrationsspezifischen Vorsorgen wie fremdsprachiges Informationsmaterial und Personal sind in diesem Segment der wohnungsmarktrelevanten Agenturen in höherem Ausmaß gegeben als dies bei Wo</w:t>
      </w:r>
      <w:r>
        <w:rPr>
          <w:lang w:val="de-AT"/>
        </w:rPr>
        <w:t>h</w:t>
      </w:r>
      <w:r>
        <w:rPr>
          <w:lang w:val="de-AT"/>
        </w:rPr>
        <w:t>nungsämtern oder Bauträgern der Fall ist.</w:t>
      </w:r>
      <w:r w:rsidRPr="006D0DB3">
        <w:rPr>
          <w:lang w:val="de-AT"/>
        </w:rPr>
        <w:br/>
      </w:r>
    </w:p>
    <w:p w:rsidR="00D87038" w:rsidRPr="00E924A0" w:rsidRDefault="00181916">
      <w:pPr>
        <w:rPr>
          <w:rStyle w:val="SchwacherVerweis"/>
        </w:rPr>
      </w:pPr>
      <w:r w:rsidRPr="00E924A0">
        <w:rPr>
          <w:rStyle w:val="SchwacherVerweis"/>
        </w:rPr>
        <w:t xml:space="preserve">Einzelne </w:t>
      </w:r>
      <w:r w:rsidR="00D87038" w:rsidRPr="00E924A0">
        <w:rPr>
          <w:rStyle w:val="SchwacherVerweis"/>
        </w:rPr>
        <w:t>RespondentInnen führen weitere Vorsorgen an, und zwar:</w:t>
      </w:r>
    </w:p>
    <w:p w:rsidR="00D87038" w:rsidRPr="002D2432" w:rsidRDefault="00D87038" w:rsidP="00B31556">
      <w:pPr>
        <w:pStyle w:val="notranslate"/>
        <w:numPr>
          <w:ilvl w:val="0"/>
          <w:numId w:val="5"/>
        </w:numPr>
        <w:spacing w:after="60" w:afterAutospacing="0"/>
        <w:ind w:left="714" w:hanging="357"/>
        <w:rPr>
          <w:rFonts w:ascii="Tahoma" w:hAnsi="Tahoma" w:cs="Tahoma"/>
          <w:sz w:val="22"/>
        </w:rPr>
      </w:pPr>
      <w:r w:rsidRPr="002D2432">
        <w:rPr>
          <w:rFonts w:ascii="Tahoma" w:hAnsi="Tahoma" w:cs="Tahoma"/>
          <w:sz w:val="22"/>
        </w:rPr>
        <w:t>Interkulturelles Konfliktmanag</w:t>
      </w:r>
      <w:r w:rsidR="00E924A0" w:rsidRPr="002D2432">
        <w:rPr>
          <w:rFonts w:ascii="Tahoma" w:hAnsi="Tahoma" w:cs="Tahoma"/>
          <w:sz w:val="22"/>
        </w:rPr>
        <w:t>e</w:t>
      </w:r>
      <w:r w:rsidRPr="002D2432">
        <w:rPr>
          <w:rFonts w:ascii="Tahoma" w:hAnsi="Tahoma" w:cs="Tahoma"/>
          <w:sz w:val="22"/>
        </w:rPr>
        <w:t xml:space="preserve">ment </w:t>
      </w:r>
    </w:p>
    <w:p w:rsidR="00D87038" w:rsidRPr="002D2432" w:rsidRDefault="00D87038" w:rsidP="00B31556">
      <w:pPr>
        <w:pStyle w:val="notranslate"/>
        <w:numPr>
          <w:ilvl w:val="0"/>
          <w:numId w:val="5"/>
        </w:numPr>
        <w:spacing w:after="60" w:afterAutospacing="0"/>
        <w:ind w:left="714" w:hanging="357"/>
        <w:rPr>
          <w:rFonts w:ascii="Tahoma" w:hAnsi="Tahoma" w:cs="Tahoma"/>
          <w:sz w:val="22"/>
        </w:rPr>
      </w:pPr>
      <w:r w:rsidRPr="002D2432">
        <w:rPr>
          <w:rFonts w:ascii="Tahoma" w:hAnsi="Tahoma" w:cs="Tahoma"/>
          <w:sz w:val="22"/>
        </w:rPr>
        <w:t xml:space="preserve">MultiplikatorInnenschulungen </w:t>
      </w:r>
    </w:p>
    <w:p w:rsidR="00D87038" w:rsidRPr="002D2432" w:rsidRDefault="00D87038" w:rsidP="00B31556">
      <w:pPr>
        <w:pStyle w:val="notranslate"/>
        <w:numPr>
          <w:ilvl w:val="0"/>
          <w:numId w:val="5"/>
        </w:numPr>
        <w:spacing w:after="60" w:afterAutospacing="0"/>
        <w:ind w:left="714" w:hanging="357"/>
        <w:rPr>
          <w:rFonts w:ascii="Tahoma" w:hAnsi="Tahoma" w:cs="Tahoma"/>
          <w:sz w:val="22"/>
        </w:rPr>
      </w:pPr>
      <w:r w:rsidRPr="002D2432">
        <w:rPr>
          <w:rFonts w:ascii="Tahoma" w:hAnsi="Tahoma" w:cs="Tahoma"/>
          <w:sz w:val="22"/>
        </w:rPr>
        <w:t>Gemeinwesenarbeit - Veranstaltungen zur Förderung der Integration wie Straßenfest</w:t>
      </w:r>
    </w:p>
    <w:p w:rsidR="00181916" w:rsidRPr="002D2432" w:rsidRDefault="00181916" w:rsidP="00B31556">
      <w:pPr>
        <w:pStyle w:val="notranslate"/>
        <w:numPr>
          <w:ilvl w:val="0"/>
          <w:numId w:val="5"/>
        </w:numPr>
        <w:spacing w:after="60" w:afterAutospacing="0"/>
        <w:ind w:left="714" w:hanging="357"/>
        <w:rPr>
          <w:rFonts w:ascii="Tahoma" w:hAnsi="Tahoma" w:cs="Tahoma"/>
          <w:sz w:val="22"/>
        </w:rPr>
      </w:pPr>
      <w:r w:rsidRPr="002D2432">
        <w:rPr>
          <w:rFonts w:ascii="Tahoma" w:hAnsi="Tahoma" w:cs="Tahoma"/>
          <w:sz w:val="22"/>
        </w:rPr>
        <w:t xml:space="preserve">ÜbersetzerInnen </w:t>
      </w:r>
      <w:r w:rsidR="00D87038" w:rsidRPr="002D2432">
        <w:rPr>
          <w:rFonts w:ascii="Tahoma" w:hAnsi="Tahoma" w:cs="Tahoma"/>
          <w:sz w:val="22"/>
        </w:rPr>
        <w:t xml:space="preserve">bei </w:t>
      </w:r>
      <w:r w:rsidRPr="002D2432">
        <w:rPr>
          <w:rFonts w:ascii="Tahoma" w:hAnsi="Tahoma" w:cs="Tahoma"/>
          <w:sz w:val="22"/>
        </w:rPr>
        <w:t>Bedarf</w:t>
      </w:r>
    </w:p>
    <w:p w:rsidR="00D87038" w:rsidRPr="002D2432" w:rsidRDefault="00181916" w:rsidP="00B31556">
      <w:pPr>
        <w:pStyle w:val="notranslate"/>
        <w:numPr>
          <w:ilvl w:val="0"/>
          <w:numId w:val="5"/>
        </w:numPr>
        <w:spacing w:after="60" w:afterAutospacing="0"/>
        <w:ind w:left="714" w:hanging="357"/>
        <w:rPr>
          <w:rFonts w:ascii="Tahoma" w:hAnsi="Tahoma" w:cs="Tahoma"/>
          <w:sz w:val="22"/>
        </w:rPr>
      </w:pPr>
      <w:r w:rsidRPr="002D2432">
        <w:rPr>
          <w:rFonts w:ascii="Tahoma" w:hAnsi="Tahoma" w:cs="Tahoma"/>
          <w:sz w:val="22"/>
        </w:rPr>
        <w:t xml:space="preserve">Fortbildung </w:t>
      </w:r>
      <w:r w:rsidR="00D87038" w:rsidRPr="002D2432">
        <w:rPr>
          <w:rFonts w:ascii="Tahoma" w:hAnsi="Tahoma" w:cs="Tahoma"/>
          <w:sz w:val="22"/>
        </w:rPr>
        <w:t>der Mitarbeiterinnen</w:t>
      </w:r>
      <w:r w:rsidRPr="002D2432">
        <w:rPr>
          <w:rFonts w:ascii="Tahoma" w:hAnsi="Tahoma" w:cs="Tahoma"/>
          <w:sz w:val="22"/>
        </w:rPr>
        <w:t xml:space="preserve"> bzgl.</w:t>
      </w:r>
      <w:r w:rsidR="00D87038" w:rsidRPr="002D2432">
        <w:rPr>
          <w:rFonts w:ascii="Tahoma" w:hAnsi="Tahoma" w:cs="Tahoma"/>
          <w:sz w:val="22"/>
        </w:rPr>
        <w:t xml:space="preserve"> </w:t>
      </w:r>
      <w:r w:rsidRPr="002D2432">
        <w:rPr>
          <w:rFonts w:ascii="Tahoma" w:hAnsi="Tahoma" w:cs="Tahoma"/>
          <w:sz w:val="22"/>
        </w:rPr>
        <w:t xml:space="preserve">Fremdenrecht </w:t>
      </w:r>
      <w:r w:rsidR="00D87038" w:rsidRPr="002D2432">
        <w:rPr>
          <w:rFonts w:ascii="Tahoma" w:hAnsi="Tahoma" w:cs="Tahoma"/>
          <w:sz w:val="22"/>
        </w:rPr>
        <w:t>und Sozialhilfe</w:t>
      </w:r>
    </w:p>
    <w:p w:rsidR="00D87038" w:rsidRPr="002D2432" w:rsidRDefault="00D87038" w:rsidP="00B31556">
      <w:pPr>
        <w:pStyle w:val="notranslate"/>
        <w:numPr>
          <w:ilvl w:val="0"/>
          <w:numId w:val="5"/>
        </w:numPr>
        <w:spacing w:after="60" w:afterAutospacing="0"/>
        <w:ind w:left="714" w:hanging="357"/>
        <w:rPr>
          <w:rFonts w:ascii="Tahoma" w:hAnsi="Tahoma" w:cs="Tahoma"/>
          <w:sz w:val="22"/>
        </w:rPr>
      </w:pPr>
      <w:r w:rsidRPr="002D2432">
        <w:rPr>
          <w:rFonts w:ascii="Tahoma" w:hAnsi="Tahoma" w:cs="Tahoma"/>
          <w:sz w:val="22"/>
        </w:rPr>
        <w:t>Projektarbeiten, Vernetzung, Weitergabe von Informationsmaterial in versch. Sprachen (nicht speziell zugeschnitten auf das Thema "Wohnen")</w:t>
      </w:r>
    </w:p>
    <w:p w:rsidR="00181916" w:rsidRPr="002D2432" w:rsidRDefault="00D87038" w:rsidP="00B31556">
      <w:pPr>
        <w:pStyle w:val="notranslate"/>
        <w:numPr>
          <w:ilvl w:val="0"/>
          <w:numId w:val="5"/>
        </w:numPr>
        <w:spacing w:after="60" w:afterAutospacing="0"/>
        <w:ind w:left="714" w:hanging="357"/>
        <w:rPr>
          <w:rFonts w:ascii="Tahoma" w:hAnsi="Tahoma" w:cs="Tahoma"/>
          <w:sz w:val="22"/>
        </w:rPr>
      </w:pPr>
      <w:r w:rsidRPr="002D2432">
        <w:rPr>
          <w:rFonts w:ascii="Tahoma" w:hAnsi="Tahoma" w:cs="Tahoma"/>
          <w:sz w:val="22"/>
        </w:rPr>
        <w:t xml:space="preserve">Kooperation mit Dolmetschern, </w:t>
      </w:r>
    </w:p>
    <w:p w:rsidR="00D87038" w:rsidRPr="002D2432" w:rsidRDefault="00D87038" w:rsidP="00B31556">
      <w:pPr>
        <w:pStyle w:val="notranslate"/>
        <w:numPr>
          <w:ilvl w:val="0"/>
          <w:numId w:val="5"/>
        </w:numPr>
        <w:spacing w:after="60" w:afterAutospacing="0"/>
        <w:ind w:left="714" w:hanging="357"/>
        <w:rPr>
          <w:rFonts w:ascii="Tahoma" w:hAnsi="Tahoma" w:cs="Tahoma"/>
          <w:sz w:val="22"/>
        </w:rPr>
      </w:pPr>
      <w:r w:rsidRPr="002D2432">
        <w:rPr>
          <w:rFonts w:ascii="Tahoma" w:hAnsi="Tahoma" w:cs="Tahoma"/>
          <w:sz w:val="22"/>
        </w:rPr>
        <w:t>Organisation von Sprachkursen</w:t>
      </w:r>
    </w:p>
    <w:p w:rsidR="00D87038" w:rsidRPr="002D2432" w:rsidRDefault="00D87038" w:rsidP="00B31556">
      <w:pPr>
        <w:pStyle w:val="notranslate"/>
        <w:numPr>
          <w:ilvl w:val="0"/>
          <w:numId w:val="5"/>
        </w:numPr>
        <w:spacing w:after="60" w:afterAutospacing="0"/>
        <w:ind w:left="714" w:hanging="357"/>
        <w:rPr>
          <w:rFonts w:ascii="Tahoma" w:hAnsi="Tahoma" w:cs="Tahoma"/>
          <w:sz w:val="22"/>
        </w:rPr>
      </w:pPr>
      <w:r w:rsidRPr="002D2432">
        <w:rPr>
          <w:rFonts w:ascii="Tahoma" w:hAnsi="Tahoma" w:cs="Tahoma"/>
          <w:sz w:val="22"/>
        </w:rPr>
        <w:t>2010 wurde eine Studie zur Wohnungsvergabepraxis in ausgewählten Tiroler Gemei</w:t>
      </w:r>
      <w:r w:rsidRPr="002D2432">
        <w:rPr>
          <w:rFonts w:ascii="Tahoma" w:hAnsi="Tahoma" w:cs="Tahoma"/>
          <w:sz w:val="22"/>
        </w:rPr>
        <w:t>n</w:t>
      </w:r>
      <w:r w:rsidRPr="002D2432">
        <w:rPr>
          <w:rFonts w:ascii="Tahoma" w:hAnsi="Tahoma" w:cs="Tahoma"/>
          <w:sz w:val="22"/>
        </w:rPr>
        <w:t>den durchgeführt. Das Thema "Wohnsituation von MigrantInnen in Tirol" wurde im Z</w:t>
      </w:r>
      <w:r w:rsidRPr="002D2432">
        <w:rPr>
          <w:rFonts w:ascii="Tahoma" w:hAnsi="Tahoma" w:cs="Tahoma"/>
          <w:sz w:val="22"/>
        </w:rPr>
        <w:t>u</w:t>
      </w:r>
      <w:r w:rsidRPr="002D2432">
        <w:rPr>
          <w:rFonts w:ascii="Tahoma" w:hAnsi="Tahoma" w:cs="Tahoma"/>
          <w:sz w:val="22"/>
        </w:rPr>
        <w:t>ge eines EIF Projektes behandelt.</w:t>
      </w:r>
    </w:p>
    <w:p w:rsidR="00D87038" w:rsidRPr="002D2432" w:rsidRDefault="00D87038" w:rsidP="00B31556">
      <w:pPr>
        <w:pStyle w:val="notranslate"/>
        <w:numPr>
          <w:ilvl w:val="0"/>
          <w:numId w:val="5"/>
        </w:numPr>
        <w:spacing w:after="60" w:afterAutospacing="0"/>
        <w:ind w:left="714" w:hanging="357"/>
        <w:rPr>
          <w:rFonts w:ascii="Tahoma" w:hAnsi="Tahoma" w:cs="Tahoma"/>
          <w:sz w:val="22"/>
        </w:rPr>
      </w:pPr>
      <w:r w:rsidRPr="002D2432">
        <w:rPr>
          <w:rFonts w:ascii="Tahoma" w:hAnsi="Tahoma" w:cs="Tahoma"/>
          <w:sz w:val="22"/>
        </w:rPr>
        <w:t>vermute großen Nachholbedarf, neue Aktionsfelder, Kooperationen?</w:t>
      </w:r>
    </w:p>
    <w:p w:rsidR="00D87038" w:rsidRDefault="00D87038">
      <w:pPr>
        <w:rPr>
          <w:lang w:val="de-AT"/>
        </w:rPr>
      </w:pPr>
    </w:p>
    <w:p w:rsidR="006D0DB3" w:rsidRDefault="006D0DB3">
      <w:pPr>
        <w:rPr>
          <w:lang w:val="de-AT"/>
        </w:rPr>
      </w:pPr>
      <w:r>
        <w:rPr>
          <w:lang w:val="de-AT"/>
        </w:rPr>
        <w:lastRenderedPageBreak/>
        <w:t>Die RespondentInnen führen in ihren Anmerkungen eine ganze Reihe von ergänzenden Vo</w:t>
      </w:r>
      <w:r>
        <w:rPr>
          <w:lang w:val="de-AT"/>
        </w:rPr>
        <w:t>r</w:t>
      </w:r>
      <w:r>
        <w:rPr>
          <w:lang w:val="de-AT"/>
        </w:rPr>
        <w:t>sorgen und Maßnahmen an, die mit Fortbildungsangeboten für MitarbeiterInnen bzgl. Fre</w:t>
      </w:r>
      <w:r>
        <w:rPr>
          <w:lang w:val="de-AT"/>
        </w:rPr>
        <w:t>m</w:t>
      </w:r>
      <w:r>
        <w:rPr>
          <w:lang w:val="de-AT"/>
        </w:rPr>
        <w:t xml:space="preserve">denrecht </w:t>
      </w:r>
      <w:r w:rsidR="00143995">
        <w:rPr>
          <w:lang w:val="de-AT"/>
        </w:rPr>
        <w:t xml:space="preserve">und MultiplikatorInnenschulungen </w:t>
      </w:r>
      <w:r>
        <w:rPr>
          <w:lang w:val="de-AT"/>
        </w:rPr>
        <w:t xml:space="preserve">beginnen und </w:t>
      </w:r>
      <w:r w:rsidR="00143995">
        <w:rPr>
          <w:lang w:val="de-AT"/>
        </w:rPr>
        <w:t>bis hin zu interkulturellem Konflik</w:t>
      </w:r>
      <w:r w:rsidR="00143995">
        <w:rPr>
          <w:lang w:val="de-AT"/>
        </w:rPr>
        <w:t>t</w:t>
      </w:r>
      <w:r w:rsidR="00143995">
        <w:rPr>
          <w:lang w:val="de-AT"/>
        </w:rPr>
        <w:t xml:space="preserve">management und Angeboten der Gemeinwesenarbeit reichen. </w:t>
      </w:r>
      <w:r w:rsidR="00143995">
        <w:rPr>
          <w:lang w:val="de-AT"/>
        </w:rPr>
        <w:br/>
      </w:r>
    </w:p>
    <w:p w:rsidR="007D7FBF" w:rsidRPr="008F747D" w:rsidRDefault="007D7FBF" w:rsidP="008F747D">
      <w:pPr>
        <w:pStyle w:val="Listenabsatz"/>
        <w:numPr>
          <w:ilvl w:val="2"/>
          <w:numId w:val="33"/>
        </w:numPr>
        <w:rPr>
          <w:u w:val="single"/>
          <w:lang w:val="de-AT"/>
        </w:rPr>
      </w:pPr>
      <w:r w:rsidRPr="008F747D">
        <w:rPr>
          <w:u w:val="single"/>
          <w:lang w:val="de-AT"/>
        </w:rPr>
        <w:t>Regionale Unterschiede hinsichtlich spezieller Vorsorgen</w:t>
      </w:r>
      <w:r w:rsidR="006D0DB3" w:rsidRPr="008F747D">
        <w:rPr>
          <w:u w:val="single"/>
          <w:lang w:val="de-AT"/>
        </w:rPr>
        <w:br/>
      </w:r>
    </w:p>
    <w:p w:rsidR="007D7FBF" w:rsidRDefault="0077440E">
      <w:pPr>
        <w:rPr>
          <w:lang w:val="de-AT"/>
        </w:rPr>
      </w:pPr>
      <w:r>
        <w:rPr>
          <w:lang w:val="de-AT"/>
        </w:rPr>
        <w:t xml:space="preserve">In den Interviews und Gesprächsrunden mit ExpertInnen </w:t>
      </w:r>
      <w:r w:rsidR="00EA2676">
        <w:rPr>
          <w:lang w:val="de-AT"/>
        </w:rPr>
        <w:t>wurden</w:t>
      </w:r>
      <w:r>
        <w:rPr>
          <w:lang w:val="de-AT"/>
        </w:rPr>
        <w:t xml:space="preserve"> ergänzend zu diesen Erge</w:t>
      </w:r>
      <w:r>
        <w:rPr>
          <w:lang w:val="de-AT"/>
        </w:rPr>
        <w:t>b</w:t>
      </w:r>
      <w:r>
        <w:rPr>
          <w:lang w:val="de-AT"/>
        </w:rPr>
        <w:t>nissen einzelne regionale Modelle für zielgruppenspezifische Vorsorgen vorgestellt und disk</w:t>
      </w:r>
      <w:r>
        <w:rPr>
          <w:lang w:val="de-AT"/>
        </w:rPr>
        <w:t>u</w:t>
      </w:r>
      <w:r>
        <w:rPr>
          <w:lang w:val="de-AT"/>
        </w:rPr>
        <w:t xml:space="preserve">tiert. </w:t>
      </w:r>
      <w:r>
        <w:rPr>
          <w:lang w:val="de-AT"/>
        </w:rPr>
        <w:br/>
      </w:r>
    </w:p>
    <w:p w:rsidR="007D7FBF" w:rsidRPr="007D7FBF" w:rsidRDefault="007D7FBF">
      <w:pPr>
        <w:rPr>
          <w:u w:val="single"/>
          <w:lang w:val="de-AT"/>
        </w:rPr>
      </w:pPr>
      <w:r w:rsidRPr="007D7FBF">
        <w:rPr>
          <w:u w:val="single"/>
          <w:lang w:val="de-AT"/>
        </w:rPr>
        <w:t>Fallbeispiel Bregenz</w:t>
      </w:r>
    </w:p>
    <w:tbl>
      <w:tblPr>
        <w:tblStyle w:val="Tabellengitternetz"/>
        <w:tblW w:w="0" w:type="auto"/>
        <w:tblLook w:val="04A0"/>
      </w:tblPr>
      <w:tblGrid>
        <w:gridCol w:w="9288"/>
      </w:tblGrid>
      <w:tr w:rsidR="003B054A" w:rsidRPr="00DA5171" w:rsidTr="00C12F9D">
        <w:tc>
          <w:tcPr>
            <w:tcW w:w="9288" w:type="dxa"/>
          </w:tcPr>
          <w:p w:rsidR="00587957" w:rsidRDefault="006335E1" w:rsidP="00044AF0">
            <w:pPr>
              <w:spacing w:beforeLines="40" w:afterLines="40" w:line="240" w:lineRule="auto"/>
              <w:jc w:val="left"/>
              <w:rPr>
                <w:rStyle w:val="SchwacherVerweis"/>
                <w:i/>
                <w:sz w:val="20"/>
                <w:szCs w:val="24"/>
              </w:rPr>
            </w:pPr>
            <w:r w:rsidRPr="006335E1">
              <w:rPr>
                <w:rStyle w:val="SchwacherVerweis"/>
                <w:i/>
                <w:sz w:val="20"/>
              </w:rPr>
              <w:t>Kooperation mit externen Beratungsstellen</w:t>
            </w:r>
          </w:p>
          <w:p w:rsidR="00587957" w:rsidRDefault="003B054A" w:rsidP="00044AF0">
            <w:pPr>
              <w:spacing w:beforeLines="40" w:afterLines="40" w:line="240" w:lineRule="auto"/>
              <w:jc w:val="left"/>
              <w:rPr>
                <w:i/>
                <w:sz w:val="20"/>
                <w:szCs w:val="24"/>
              </w:rPr>
            </w:pPr>
            <w:r w:rsidRPr="003B054A">
              <w:rPr>
                <w:i/>
                <w:sz w:val="20"/>
              </w:rPr>
              <w:t>Externe Beratungsstellen haben die Möglichkeit, die Wohnungswerbung von KlientInnen zu unterstü</w:t>
            </w:r>
            <w:r w:rsidRPr="003B054A">
              <w:rPr>
                <w:i/>
                <w:sz w:val="20"/>
              </w:rPr>
              <w:t>t</w:t>
            </w:r>
            <w:r w:rsidRPr="003B054A">
              <w:rPr>
                <w:i/>
                <w:sz w:val="20"/>
              </w:rPr>
              <w:t>zen – durch Beratung, Empfehlung etc.; sie haben aber keine direkte Rolle</w:t>
            </w:r>
            <w:r>
              <w:rPr>
                <w:i/>
                <w:sz w:val="20"/>
              </w:rPr>
              <w:t xml:space="preserve"> in der Vergabe</w:t>
            </w:r>
            <w:r w:rsidRPr="003B054A">
              <w:rPr>
                <w:i/>
                <w:sz w:val="20"/>
              </w:rPr>
              <w:t xml:space="preserve">. </w:t>
            </w:r>
          </w:p>
          <w:p w:rsidR="001E30B4" w:rsidRDefault="003B054A" w:rsidP="00044AF0">
            <w:pPr>
              <w:spacing w:beforeLines="40" w:afterLines="40" w:line="240" w:lineRule="auto"/>
              <w:jc w:val="left"/>
              <w:rPr>
                <w:i/>
                <w:sz w:val="20"/>
                <w:szCs w:val="24"/>
              </w:rPr>
            </w:pPr>
            <w:r w:rsidRPr="003B054A">
              <w:rPr>
                <w:i/>
                <w:sz w:val="20"/>
              </w:rPr>
              <w:t>In Einzelfällen wird im Zuge der Wohnungsvergabe mit einer externen Einrichtung eine Vereinbarung über eine begleitende Betreuung getroffen; das ist aber nicht die Regel.</w:t>
            </w:r>
          </w:p>
          <w:p w:rsidR="001E30B4" w:rsidRDefault="006335E1" w:rsidP="00044AF0">
            <w:pPr>
              <w:spacing w:beforeLines="40" w:afterLines="40" w:line="240" w:lineRule="auto"/>
              <w:jc w:val="left"/>
              <w:rPr>
                <w:rStyle w:val="SchwacherVerweis"/>
                <w:i/>
                <w:sz w:val="20"/>
                <w:szCs w:val="24"/>
              </w:rPr>
            </w:pPr>
            <w:r w:rsidRPr="006335E1">
              <w:rPr>
                <w:rStyle w:val="SchwacherVerweis"/>
                <w:i/>
                <w:sz w:val="20"/>
              </w:rPr>
              <w:t>Interkulturelles Beratungsgremium</w:t>
            </w:r>
          </w:p>
          <w:p w:rsidR="001E30B4" w:rsidRDefault="006335E1" w:rsidP="00044AF0">
            <w:pPr>
              <w:spacing w:beforeLines="40" w:afterLines="40" w:line="240" w:lineRule="auto"/>
              <w:jc w:val="left"/>
              <w:rPr>
                <w:i/>
                <w:sz w:val="18"/>
                <w:szCs w:val="24"/>
              </w:rPr>
            </w:pPr>
            <w:r w:rsidRPr="006335E1">
              <w:rPr>
                <w:i/>
                <w:sz w:val="20"/>
              </w:rPr>
              <w:t>Individuelle Wünsche und Charakteristika des Haushalts der WohnungswerberIn einerseits und Ei</w:t>
            </w:r>
            <w:r w:rsidRPr="006335E1">
              <w:rPr>
                <w:i/>
                <w:sz w:val="20"/>
              </w:rPr>
              <w:t>n</w:t>
            </w:r>
            <w:r w:rsidRPr="006335E1">
              <w:rPr>
                <w:i/>
                <w:sz w:val="20"/>
              </w:rPr>
              <w:t>schätzungen zur Situation im engeren Wohnumfeld der zu vergebenden Wohnungen (soziale Kriterien wie sozialer und ethnischer Mix, Altersverteilung, Kinderhäufigkeit, Familienstruktur etc.) andererseits werden im administrativen Vergabeausschuss diskutiert und begründen die Empfehlung des Vergab</w:t>
            </w:r>
            <w:r w:rsidRPr="006335E1">
              <w:rPr>
                <w:i/>
                <w:sz w:val="20"/>
              </w:rPr>
              <w:t>e</w:t>
            </w:r>
            <w:r w:rsidRPr="006335E1">
              <w:rPr>
                <w:i/>
                <w:sz w:val="20"/>
              </w:rPr>
              <w:t xml:space="preserve">ausschusses, die dann </w:t>
            </w:r>
            <w:r w:rsidR="00702439">
              <w:rPr>
                <w:i/>
                <w:sz w:val="20"/>
              </w:rPr>
              <w:t>auf</w:t>
            </w:r>
            <w:r w:rsidRPr="006335E1">
              <w:rPr>
                <w:i/>
                <w:sz w:val="20"/>
              </w:rPr>
              <w:t xml:space="preserve"> der politischen Ebene (politischer Beirat und als letzte Entscheidungsinstanz der Bürgermeister) zur Entscheidung gebracht wird.</w:t>
            </w:r>
            <w:r>
              <w:rPr>
                <w:i/>
                <w:sz w:val="20"/>
              </w:rPr>
              <w:t xml:space="preserve"> In diesem </w:t>
            </w:r>
            <w:r w:rsidR="00702439">
              <w:rPr>
                <w:i/>
                <w:sz w:val="20"/>
              </w:rPr>
              <w:t xml:space="preserve">beratenden </w:t>
            </w:r>
            <w:r>
              <w:rPr>
                <w:i/>
                <w:sz w:val="20"/>
              </w:rPr>
              <w:t>Gremium arbeitet auch die Integrationsbeauftragte der Stadt mit.</w:t>
            </w:r>
          </w:p>
          <w:p w:rsidR="001E30B4" w:rsidRDefault="003B054A" w:rsidP="00044AF0">
            <w:pPr>
              <w:spacing w:beforeLines="40" w:afterLines="40" w:line="240" w:lineRule="auto"/>
              <w:jc w:val="right"/>
              <w:rPr>
                <w:i/>
                <w:sz w:val="20"/>
                <w:szCs w:val="24"/>
              </w:rPr>
            </w:pPr>
            <w:r>
              <w:rPr>
                <w:i/>
                <w:sz w:val="20"/>
              </w:rPr>
              <w:t>Auszug Interview Sozial-/Wohnungsverwaltung</w:t>
            </w:r>
          </w:p>
        </w:tc>
      </w:tr>
    </w:tbl>
    <w:p w:rsidR="007D7FBF" w:rsidRPr="003B054A" w:rsidRDefault="007D7FBF"/>
    <w:p w:rsidR="007D7FBF" w:rsidRPr="007D7FBF" w:rsidRDefault="007D7FBF">
      <w:pPr>
        <w:rPr>
          <w:u w:val="single"/>
          <w:lang w:val="de-AT"/>
        </w:rPr>
      </w:pPr>
      <w:r w:rsidRPr="007D7FBF">
        <w:rPr>
          <w:u w:val="single"/>
          <w:lang w:val="de-AT"/>
        </w:rPr>
        <w:t>Fallbeispiel Linz</w:t>
      </w:r>
      <w:r w:rsidR="007C1A91">
        <w:rPr>
          <w:u w:val="single"/>
          <w:lang w:val="de-AT"/>
        </w:rPr>
        <w:t>/ Oberösterreich</w:t>
      </w:r>
    </w:p>
    <w:tbl>
      <w:tblPr>
        <w:tblStyle w:val="Tabellengitternetz"/>
        <w:tblW w:w="0" w:type="auto"/>
        <w:tblLook w:val="04A0"/>
      </w:tblPr>
      <w:tblGrid>
        <w:gridCol w:w="9322"/>
      </w:tblGrid>
      <w:tr w:rsidR="003B054A" w:rsidRPr="003B054A" w:rsidTr="003B054A">
        <w:tc>
          <w:tcPr>
            <w:tcW w:w="9322" w:type="dxa"/>
          </w:tcPr>
          <w:p w:rsidR="00587957" w:rsidRDefault="00611CB6" w:rsidP="00044AF0">
            <w:pPr>
              <w:spacing w:beforeLines="40" w:afterLines="40" w:line="240" w:lineRule="auto"/>
              <w:jc w:val="left"/>
              <w:rPr>
                <w:i/>
                <w:sz w:val="20"/>
                <w:szCs w:val="26"/>
              </w:rPr>
            </w:pPr>
            <w:r>
              <w:rPr>
                <w:i/>
                <w:sz w:val="20"/>
                <w:szCs w:val="26"/>
              </w:rPr>
              <w:t>Die kommunale Wohnpolitik in Linz hebt sich insbesondere dadurch von anderen kommunalen Mode</w:t>
            </w:r>
            <w:r>
              <w:rPr>
                <w:i/>
                <w:sz w:val="20"/>
                <w:szCs w:val="26"/>
              </w:rPr>
              <w:t>l</w:t>
            </w:r>
            <w:r>
              <w:rPr>
                <w:i/>
                <w:sz w:val="20"/>
                <w:szCs w:val="26"/>
              </w:rPr>
              <w:t>len ab, dass der große Bestand von Gemeindewohnungen an einen gemeinnützigen Wohnbauträger, an dem die Stadt mehrheitlich beteiligt ist, ausgelagert wurde. Kernpunkt dieser Auslagerung ist eine soziale Zweckbindung, wonach diese Wohnungen wesentlich für die Bekämpfung von Armut und Au</w:t>
            </w:r>
            <w:r>
              <w:rPr>
                <w:i/>
                <w:sz w:val="20"/>
                <w:szCs w:val="26"/>
              </w:rPr>
              <w:t>s</w:t>
            </w:r>
            <w:r>
              <w:rPr>
                <w:i/>
                <w:sz w:val="20"/>
                <w:szCs w:val="26"/>
              </w:rPr>
              <w:t>grenzung einzusetzen sind. Im Rahmen einer e</w:t>
            </w:r>
            <w:r w:rsidRPr="00611CB6">
              <w:rPr>
                <w:i/>
                <w:sz w:val="20"/>
                <w:szCs w:val="26"/>
              </w:rPr>
              <w:t>nge</w:t>
            </w:r>
            <w:r>
              <w:rPr>
                <w:i/>
                <w:sz w:val="20"/>
                <w:szCs w:val="26"/>
              </w:rPr>
              <w:t>n</w:t>
            </w:r>
            <w:r w:rsidRPr="00611CB6">
              <w:rPr>
                <w:i/>
                <w:sz w:val="20"/>
                <w:szCs w:val="26"/>
              </w:rPr>
              <w:t xml:space="preserve"> Kooperation zwischen </w:t>
            </w:r>
            <w:r>
              <w:rPr>
                <w:i/>
                <w:sz w:val="20"/>
                <w:szCs w:val="26"/>
              </w:rPr>
              <w:t>dieser Genossenschaft</w:t>
            </w:r>
            <w:r w:rsidRPr="00611CB6">
              <w:rPr>
                <w:i/>
                <w:sz w:val="20"/>
                <w:szCs w:val="26"/>
              </w:rPr>
              <w:t xml:space="preserve"> und den Mitgliedsvereinen der Wohnplattform </w:t>
            </w:r>
            <w:r>
              <w:rPr>
                <w:i/>
                <w:sz w:val="20"/>
                <w:szCs w:val="26"/>
              </w:rPr>
              <w:t xml:space="preserve">übernehmen </w:t>
            </w:r>
            <w:r w:rsidRPr="00611CB6">
              <w:rPr>
                <w:i/>
                <w:sz w:val="20"/>
                <w:szCs w:val="26"/>
              </w:rPr>
              <w:t xml:space="preserve">die </w:t>
            </w:r>
            <w:r>
              <w:rPr>
                <w:i/>
                <w:sz w:val="20"/>
                <w:szCs w:val="26"/>
              </w:rPr>
              <w:t xml:space="preserve">Linzer </w:t>
            </w:r>
            <w:r w:rsidRPr="00611CB6">
              <w:rPr>
                <w:i/>
                <w:sz w:val="20"/>
                <w:szCs w:val="26"/>
              </w:rPr>
              <w:t xml:space="preserve">Betreuungseinrichtungen </w:t>
            </w:r>
            <w:r>
              <w:rPr>
                <w:i/>
                <w:sz w:val="20"/>
                <w:szCs w:val="26"/>
              </w:rPr>
              <w:t>die Begle</w:t>
            </w:r>
            <w:r>
              <w:rPr>
                <w:i/>
                <w:sz w:val="20"/>
                <w:szCs w:val="26"/>
              </w:rPr>
              <w:t>i</w:t>
            </w:r>
            <w:r>
              <w:rPr>
                <w:i/>
                <w:sz w:val="20"/>
                <w:szCs w:val="26"/>
              </w:rPr>
              <w:t xml:space="preserve">tung und Unterstützung der MieterInnen und </w:t>
            </w:r>
            <w:r w:rsidRPr="00611CB6">
              <w:rPr>
                <w:i/>
                <w:sz w:val="20"/>
                <w:szCs w:val="26"/>
              </w:rPr>
              <w:t xml:space="preserve">erhalten bei der Vergabe von Wohnungen </w:t>
            </w:r>
            <w:r>
              <w:rPr>
                <w:i/>
                <w:sz w:val="20"/>
                <w:szCs w:val="26"/>
              </w:rPr>
              <w:t>für die nac</w:t>
            </w:r>
            <w:r>
              <w:rPr>
                <w:i/>
                <w:sz w:val="20"/>
                <w:szCs w:val="26"/>
              </w:rPr>
              <w:t>h</w:t>
            </w:r>
            <w:r>
              <w:rPr>
                <w:i/>
                <w:sz w:val="20"/>
                <w:szCs w:val="26"/>
              </w:rPr>
              <w:t xml:space="preserve">gehende Wohnversorgung </w:t>
            </w:r>
            <w:r w:rsidRPr="00611CB6">
              <w:rPr>
                <w:i/>
                <w:sz w:val="20"/>
                <w:szCs w:val="26"/>
              </w:rPr>
              <w:t>eine Mitsprache- und Mitwirkungsmöglichkeit, z.B. beim Wechsel aus einer Wohnplattformwohnung in eine weiterführende eigenständige Wohnversorgung. Individuelle Bedür</w:t>
            </w:r>
            <w:r w:rsidRPr="00611CB6">
              <w:rPr>
                <w:i/>
                <w:sz w:val="20"/>
                <w:szCs w:val="26"/>
              </w:rPr>
              <w:t>f</w:t>
            </w:r>
            <w:r w:rsidRPr="00611CB6">
              <w:rPr>
                <w:i/>
                <w:sz w:val="20"/>
                <w:szCs w:val="26"/>
              </w:rPr>
              <w:t>nisse nach Größe, Lage und Kosten der Wohnung werden nach Möglichkeit berücksichtigt. In Ausna</w:t>
            </w:r>
            <w:r w:rsidRPr="00611CB6">
              <w:rPr>
                <w:i/>
                <w:sz w:val="20"/>
                <w:szCs w:val="26"/>
              </w:rPr>
              <w:t>h</w:t>
            </w:r>
            <w:r w:rsidRPr="00611CB6">
              <w:rPr>
                <w:i/>
                <w:sz w:val="20"/>
                <w:szCs w:val="26"/>
              </w:rPr>
              <w:t xml:space="preserve">mefällen ist es dabei auch möglich, dass der Mietvertrag direkt auf die MieterInnen umgeschrieben wird und </w:t>
            </w:r>
            <w:r>
              <w:rPr>
                <w:i/>
                <w:sz w:val="20"/>
                <w:szCs w:val="26"/>
              </w:rPr>
              <w:t xml:space="preserve">solcherart </w:t>
            </w:r>
            <w:r w:rsidRPr="00611CB6">
              <w:rPr>
                <w:i/>
                <w:sz w:val="20"/>
                <w:szCs w:val="26"/>
              </w:rPr>
              <w:t>eine weitere Übersiedlung</w:t>
            </w:r>
            <w:r w:rsidR="00A64A11">
              <w:rPr>
                <w:i/>
                <w:sz w:val="20"/>
                <w:szCs w:val="26"/>
              </w:rPr>
              <w:t xml:space="preserve"> vermieden werden kann</w:t>
            </w:r>
            <w:r w:rsidRPr="00611CB6">
              <w:rPr>
                <w:i/>
                <w:sz w:val="20"/>
                <w:szCs w:val="26"/>
              </w:rPr>
              <w:t>.</w:t>
            </w:r>
          </w:p>
          <w:p w:rsidR="00587957" w:rsidRDefault="00611CB6" w:rsidP="00044AF0">
            <w:pPr>
              <w:spacing w:beforeLines="40" w:afterLines="40" w:line="240" w:lineRule="auto"/>
              <w:jc w:val="right"/>
              <w:rPr>
                <w:i/>
                <w:szCs w:val="26"/>
              </w:rPr>
            </w:pPr>
            <w:r>
              <w:rPr>
                <w:i/>
                <w:sz w:val="20"/>
                <w:szCs w:val="26"/>
              </w:rPr>
              <w:t>Interview Wohnbetreuung</w:t>
            </w:r>
            <w:r w:rsidR="00A64A11">
              <w:rPr>
                <w:i/>
                <w:sz w:val="20"/>
                <w:szCs w:val="26"/>
              </w:rPr>
              <w:br/>
            </w:r>
          </w:p>
          <w:p w:rsidR="001E30B4" w:rsidRDefault="0077440E" w:rsidP="00044AF0">
            <w:pPr>
              <w:spacing w:beforeLines="40" w:afterLines="40" w:line="240" w:lineRule="auto"/>
              <w:jc w:val="left"/>
              <w:rPr>
                <w:i/>
                <w:sz w:val="20"/>
                <w:szCs w:val="26"/>
              </w:rPr>
            </w:pPr>
            <w:r>
              <w:rPr>
                <w:i/>
                <w:sz w:val="20"/>
                <w:szCs w:val="26"/>
              </w:rPr>
              <w:lastRenderedPageBreak/>
              <w:t xml:space="preserve">Um </w:t>
            </w:r>
            <w:r w:rsidR="00025202">
              <w:rPr>
                <w:i/>
                <w:sz w:val="20"/>
                <w:szCs w:val="26"/>
              </w:rPr>
              <w:t>Fra</w:t>
            </w:r>
            <w:r w:rsidR="00A64A11">
              <w:rPr>
                <w:i/>
                <w:sz w:val="20"/>
                <w:szCs w:val="26"/>
              </w:rPr>
              <w:t>gen des Zusammenlebens, z.B. sozialen und interkulturellen Konflikten</w:t>
            </w:r>
            <w:r w:rsidR="00025202">
              <w:rPr>
                <w:i/>
                <w:sz w:val="20"/>
                <w:szCs w:val="26"/>
              </w:rPr>
              <w:t xml:space="preserve"> </w:t>
            </w:r>
            <w:r w:rsidR="00A64A11">
              <w:rPr>
                <w:i/>
                <w:sz w:val="20"/>
                <w:szCs w:val="26"/>
              </w:rPr>
              <w:t>sowie</w:t>
            </w:r>
            <w:r w:rsidR="00025202">
              <w:rPr>
                <w:i/>
                <w:sz w:val="20"/>
                <w:szCs w:val="26"/>
              </w:rPr>
              <w:t xml:space="preserve"> Aufgaben des Konfliktmanagements </w:t>
            </w:r>
            <w:r>
              <w:rPr>
                <w:i/>
                <w:sz w:val="20"/>
                <w:szCs w:val="26"/>
              </w:rPr>
              <w:t xml:space="preserve">in Zukunft besser begegnen zu können, wurde aktuell ein </w:t>
            </w:r>
            <w:r w:rsidRPr="006335E1">
              <w:rPr>
                <w:rStyle w:val="SchwacherVerweis"/>
                <w:i/>
                <w:sz w:val="20"/>
              </w:rPr>
              <w:t>Pilotprojekt</w:t>
            </w:r>
            <w:r>
              <w:rPr>
                <w:i/>
                <w:sz w:val="20"/>
                <w:szCs w:val="26"/>
              </w:rPr>
              <w:t xml:space="preserve"> gesta</w:t>
            </w:r>
            <w:r>
              <w:rPr>
                <w:i/>
                <w:sz w:val="20"/>
                <w:szCs w:val="26"/>
              </w:rPr>
              <w:t>r</w:t>
            </w:r>
            <w:r>
              <w:rPr>
                <w:i/>
                <w:sz w:val="20"/>
                <w:szCs w:val="26"/>
              </w:rPr>
              <w:t>tet:</w:t>
            </w:r>
            <w:r w:rsidR="00915107">
              <w:rPr>
                <w:i/>
                <w:sz w:val="20"/>
                <w:szCs w:val="26"/>
              </w:rPr>
              <w:t xml:space="preserve"> </w:t>
            </w:r>
            <w:r w:rsidR="003B054A" w:rsidRPr="003B054A">
              <w:rPr>
                <w:i/>
                <w:sz w:val="20"/>
                <w:szCs w:val="26"/>
              </w:rPr>
              <w:t xml:space="preserve">In einer großen Wohnanlage </w:t>
            </w:r>
            <w:r w:rsidR="003B054A">
              <w:rPr>
                <w:i/>
                <w:sz w:val="20"/>
                <w:szCs w:val="26"/>
              </w:rPr>
              <w:t>ein</w:t>
            </w:r>
            <w:r w:rsidR="003B054A" w:rsidRPr="003B054A">
              <w:rPr>
                <w:i/>
                <w:sz w:val="20"/>
                <w:szCs w:val="26"/>
              </w:rPr>
              <w:t>es gemeinnützigen Bauträgers wohnen Menschen aus 25 Nati</w:t>
            </w:r>
            <w:r w:rsidR="003B054A" w:rsidRPr="003B054A">
              <w:rPr>
                <w:i/>
                <w:sz w:val="20"/>
                <w:szCs w:val="26"/>
              </w:rPr>
              <w:t>o</w:t>
            </w:r>
            <w:r w:rsidR="003B054A" w:rsidRPr="003B054A">
              <w:rPr>
                <w:i/>
                <w:sz w:val="20"/>
                <w:szCs w:val="26"/>
              </w:rPr>
              <w:t>nen. Die Anlage ist sozial sehr gut durchgemischt, das hat sich eher zufällig ergeben. Auf Grund des hohen Migrationsanteils wurde diese Anlage für das Projekt „hinschauen statt wegschauen“ ausg</w:t>
            </w:r>
            <w:r w:rsidR="003B054A" w:rsidRPr="003B054A">
              <w:rPr>
                <w:i/>
                <w:sz w:val="20"/>
                <w:szCs w:val="26"/>
              </w:rPr>
              <w:t>e</w:t>
            </w:r>
            <w:r w:rsidR="003B054A" w:rsidRPr="003B054A">
              <w:rPr>
                <w:i/>
                <w:sz w:val="20"/>
                <w:szCs w:val="26"/>
              </w:rPr>
              <w:t>wählt. Teil des Projektes ist eine Umfrage zur Zufriedenheit mit der Anlage und dem Wohnumfeld. Ziel ist es, gemeinsam mit einem externen Beratungsunternehmen eine Wohnumgebung zu schaffen, in der sich jede/r wohlfühlt. Unter anderem sollen gemeinsam mit den MieterInnen Regeln des Zusa</w:t>
            </w:r>
            <w:r w:rsidR="003B054A" w:rsidRPr="003B054A">
              <w:rPr>
                <w:i/>
                <w:sz w:val="20"/>
                <w:szCs w:val="26"/>
              </w:rPr>
              <w:t>m</w:t>
            </w:r>
            <w:r w:rsidR="003B054A" w:rsidRPr="003B054A">
              <w:rPr>
                <w:i/>
                <w:sz w:val="20"/>
                <w:szCs w:val="26"/>
              </w:rPr>
              <w:t>menlebens ausgearbeitet und umgesetzt werden.</w:t>
            </w:r>
          </w:p>
          <w:p w:rsidR="001E30B4" w:rsidRDefault="003B054A" w:rsidP="00044AF0">
            <w:pPr>
              <w:spacing w:beforeLines="40" w:afterLines="40" w:line="240" w:lineRule="auto"/>
              <w:jc w:val="left"/>
              <w:rPr>
                <w:i/>
                <w:sz w:val="20"/>
                <w:szCs w:val="26"/>
              </w:rPr>
            </w:pPr>
            <w:r w:rsidRPr="003B054A">
              <w:rPr>
                <w:i/>
                <w:sz w:val="20"/>
                <w:szCs w:val="26"/>
              </w:rPr>
              <w:t xml:space="preserve">Die Genossenschaft hat dem externen Träger </w:t>
            </w:r>
            <w:r w:rsidR="0077440E">
              <w:rPr>
                <w:i/>
                <w:sz w:val="20"/>
                <w:szCs w:val="26"/>
              </w:rPr>
              <w:t xml:space="preserve">für den Projektzeitraum </w:t>
            </w:r>
            <w:r w:rsidRPr="003B054A">
              <w:rPr>
                <w:i/>
                <w:sz w:val="20"/>
                <w:szCs w:val="26"/>
              </w:rPr>
              <w:t xml:space="preserve">Räume zur Verfügung gestellt, wo aktuelle Themen besprochen und </w:t>
            </w:r>
            <w:bookmarkStart w:id="0" w:name="OLE_LINK2"/>
            <w:r w:rsidR="00025202">
              <w:rPr>
                <w:i/>
                <w:sz w:val="20"/>
                <w:szCs w:val="26"/>
              </w:rPr>
              <w:t xml:space="preserve">allfällige </w:t>
            </w:r>
            <w:r w:rsidR="00025202" w:rsidRPr="003B054A">
              <w:rPr>
                <w:i/>
                <w:sz w:val="20"/>
                <w:szCs w:val="26"/>
              </w:rPr>
              <w:t>Probleme</w:t>
            </w:r>
            <w:bookmarkEnd w:id="0"/>
            <w:r w:rsidR="00025202" w:rsidRPr="003B054A">
              <w:rPr>
                <w:i/>
                <w:sz w:val="20"/>
                <w:szCs w:val="26"/>
              </w:rPr>
              <w:t xml:space="preserve"> </w:t>
            </w:r>
            <w:r w:rsidRPr="003B054A">
              <w:rPr>
                <w:i/>
                <w:sz w:val="20"/>
                <w:szCs w:val="26"/>
              </w:rPr>
              <w:t>direkt vor Ort gelöst werden können. Weiters werden hier auch Deutschkurse und Kinderbetreuung angeboten.</w:t>
            </w:r>
          </w:p>
          <w:p w:rsidR="001E30B4" w:rsidRDefault="003B054A" w:rsidP="00044AF0">
            <w:pPr>
              <w:spacing w:beforeLines="40" w:afterLines="40" w:line="240" w:lineRule="auto"/>
              <w:jc w:val="right"/>
              <w:rPr>
                <w:i/>
                <w:sz w:val="20"/>
                <w:szCs w:val="24"/>
                <w:lang w:val="de-AT"/>
              </w:rPr>
            </w:pPr>
            <w:r>
              <w:rPr>
                <w:i/>
                <w:sz w:val="20"/>
                <w:szCs w:val="26"/>
              </w:rPr>
              <w:t>Interview Bauträger</w:t>
            </w:r>
          </w:p>
        </w:tc>
      </w:tr>
    </w:tbl>
    <w:p w:rsidR="007D7FBF" w:rsidRDefault="007D7FBF">
      <w:pPr>
        <w:rPr>
          <w:lang w:val="de-AT"/>
        </w:rPr>
      </w:pPr>
    </w:p>
    <w:p w:rsidR="007D7FBF" w:rsidRPr="007D7FBF" w:rsidRDefault="007D7FBF">
      <w:pPr>
        <w:rPr>
          <w:u w:val="single"/>
          <w:lang w:val="de-AT"/>
        </w:rPr>
      </w:pPr>
      <w:r w:rsidRPr="007D7FBF">
        <w:rPr>
          <w:u w:val="single"/>
          <w:lang w:val="de-AT"/>
        </w:rPr>
        <w:t>Fallbeispiel Niederösterreich</w:t>
      </w:r>
    </w:p>
    <w:tbl>
      <w:tblPr>
        <w:tblStyle w:val="Tabellengitternetz"/>
        <w:tblW w:w="0" w:type="auto"/>
        <w:tblLook w:val="04A0"/>
      </w:tblPr>
      <w:tblGrid>
        <w:gridCol w:w="9288"/>
      </w:tblGrid>
      <w:tr w:rsidR="003B054A" w:rsidRPr="00DA5171" w:rsidTr="00C12F9D">
        <w:tc>
          <w:tcPr>
            <w:tcW w:w="9288" w:type="dxa"/>
          </w:tcPr>
          <w:p w:rsidR="00587957" w:rsidRDefault="00BA0DD5" w:rsidP="00044AF0">
            <w:pPr>
              <w:spacing w:beforeLines="40" w:afterLines="40" w:line="240" w:lineRule="auto"/>
              <w:jc w:val="left"/>
              <w:rPr>
                <w:rFonts w:cs="Tahoma"/>
                <w:i/>
                <w:szCs w:val="24"/>
              </w:rPr>
            </w:pPr>
            <w:r w:rsidRPr="00BA0DD5">
              <w:rPr>
                <w:rFonts w:cs="Tahoma"/>
                <w:i/>
                <w:sz w:val="20"/>
              </w:rPr>
              <w:t xml:space="preserve">Der Verein Wohnen sucht gemeinsam mit WohnungswerberInnen, die auf sich alleine gestellt </w:t>
            </w:r>
            <w:r>
              <w:rPr>
                <w:rFonts w:cs="Tahoma"/>
                <w:i/>
                <w:sz w:val="20"/>
              </w:rPr>
              <w:t xml:space="preserve">an den Einstiegskosten für </w:t>
            </w:r>
            <w:r w:rsidRPr="00BA0DD5">
              <w:rPr>
                <w:rFonts w:cs="Tahoma"/>
                <w:i/>
                <w:sz w:val="20"/>
              </w:rPr>
              <w:t xml:space="preserve">den Bezug einer geförderten Mietwohnung </w:t>
            </w:r>
            <w:r>
              <w:rPr>
                <w:rFonts w:cs="Tahoma"/>
                <w:i/>
                <w:sz w:val="20"/>
              </w:rPr>
              <w:t>scheitern würd</w:t>
            </w:r>
            <w:r w:rsidRPr="00BA0DD5">
              <w:rPr>
                <w:rFonts w:cs="Tahoma"/>
                <w:i/>
                <w:sz w:val="20"/>
              </w:rPr>
              <w:t>en, eine geeignete Wohnung und mietet diese an. Mit Genossenschaft und den betroffenen BewohnerInnen wird in der Folge ein Benutzungsvertrag abgeschlossen und eine leistbare Finanzierungsregelung getroffen. Wenn nach ein bis drei Jahren alles gut eingespielt ist (Einkommenssituation stabil, Miete etc. beglichen und keine größeren Konflikte mit der Nachbarschaft etc.) wird der Mietvertrag überschrieben und der Ve</w:t>
            </w:r>
            <w:r w:rsidRPr="00BA0DD5">
              <w:rPr>
                <w:rFonts w:cs="Tahoma"/>
                <w:i/>
                <w:sz w:val="20"/>
              </w:rPr>
              <w:t>r</w:t>
            </w:r>
            <w:r w:rsidRPr="00BA0DD5">
              <w:rPr>
                <w:rFonts w:cs="Tahoma"/>
                <w:i/>
                <w:sz w:val="20"/>
              </w:rPr>
              <w:t>ein macht sich auf die Suche nach einer neuen Wohnung. Die Wohnassistenz ist ein praktisches Be</w:t>
            </w:r>
            <w:r w:rsidRPr="00BA0DD5">
              <w:rPr>
                <w:rFonts w:cs="Tahoma"/>
                <w:i/>
                <w:sz w:val="20"/>
              </w:rPr>
              <w:t>i</w:t>
            </w:r>
            <w:r w:rsidRPr="00BA0DD5">
              <w:rPr>
                <w:rFonts w:cs="Tahoma"/>
                <w:i/>
                <w:sz w:val="20"/>
              </w:rPr>
              <w:t>spiel dafür, wie in Kooperation mit gemeinnützigen Bauträgern die Zugangsschwelle für Armutshau</w:t>
            </w:r>
            <w:r w:rsidRPr="00BA0DD5">
              <w:rPr>
                <w:rFonts w:cs="Tahoma"/>
                <w:i/>
                <w:sz w:val="20"/>
              </w:rPr>
              <w:t>s</w:t>
            </w:r>
            <w:r w:rsidRPr="00BA0DD5">
              <w:rPr>
                <w:rFonts w:cs="Tahoma"/>
                <w:i/>
                <w:sz w:val="20"/>
              </w:rPr>
              <w:t>halte nachhaltig abgebaut werden kann.</w:t>
            </w:r>
          </w:p>
          <w:p w:rsidR="00587957" w:rsidRDefault="00C65A30" w:rsidP="00044AF0">
            <w:pPr>
              <w:spacing w:beforeLines="40" w:afterLines="40" w:line="240" w:lineRule="auto"/>
              <w:jc w:val="right"/>
              <w:rPr>
                <w:rFonts w:cs="Tahoma"/>
                <w:i/>
                <w:sz w:val="20"/>
                <w:szCs w:val="24"/>
              </w:rPr>
            </w:pPr>
            <w:r>
              <w:rPr>
                <w:rFonts w:cs="Tahoma"/>
                <w:i/>
                <w:sz w:val="20"/>
              </w:rPr>
              <w:t>Interview Wohnbetreuung</w:t>
            </w:r>
          </w:p>
          <w:p w:rsidR="001E30B4" w:rsidRDefault="003B054A" w:rsidP="00044AF0">
            <w:pPr>
              <w:spacing w:beforeLines="40" w:afterLines="40" w:line="240" w:lineRule="auto"/>
              <w:jc w:val="left"/>
              <w:rPr>
                <w:rFonts w:cs="Tahoma"/>
                <w:i/>
                <w:sz w:val="20"/>
                <w:szCs w:val="24"/>
              </w:rPr>
            </w:pPr>
            <w:r w:rsidRPr="003B054A">
              <w:rPr>
                <w:rFonts w:cs="Tahoma"/>
                <w:i/>
                <w:sz w:val="20"/>
              </w:rPr>
              <w:t xml:space="preserve">Für die Abdeckung von sozialen Bedürfnissen im Wohnbereich </w:t>
            </w:r>
            <w:r w:rsidR="00C65A30">
              <w:rPr>
                <w:rFonts w:cs="Tahoma"/>
                <w:i/>
                <w:sz w:val="20"/>
              </w:rPr>
              <w:t>arbeiten die gemeinnützigen Wohnba</w:t>
            </w:r>
            <w:r w:rsidR="00C65A30">
              <w:rPr>
                <w:rFonts w:cs="Tahoma"/>
                <w:i/>
                <w:sz w:val="20"/>
              </w:rPr>
              <w:t>u</w:t>
            </w:r>
            <w:r w:rsidR="00C65A30">
              <w:rPr>
                <w:rFonts w:cs="Tahoma"/>
                <w:i/>
                <w:sz w:val="20"/>
              </w:rPr>
              <w:t>träger</w:t>
            </w:r>
            <w:r w:rsidRPr="003B054A">
              <w:rPr>
                <w:rFonts w:cs="Tahoma"/>
                <w:i/>
                <w:sz w:val="20"/>
              </w:rPr>
              <w:t xml:space="preserve"> mit externen Trägern, z.B. dem Verein Wohnen, zusammen.</w:t>
            </w:r>
          </w:p>
          <w:p w:rsidR="003B054A" w:rsidRDefault="003B054A" w:rsidP="00C12F9D">
            <w:pPr>
              <w:spacing w:line="240" w:lineRule="auto"/>
              <w:jc w:val="left"/>
              <w:rPr>
                <w:rFonts w:cs="Tahoma"/>
                <w:i/>
                <w:sz w:val="20"/>
              </w:rPr>
            </w:pPr>
            <w:r w:rsidRPr="00595702">
              <w:rPr>
                <w:rFonts w:cs="Tahoma"/>
                <w:i/>
                <w:sz w:val="20"/>
                <w:u w:val="single"/>
              </w:rPr>
              <w:t>Aktion bei Mietschulden und Mahnwesen:</w:t>
            </w:r>
            <w:r w:rsidRPr="003B054A">
              <w:rPr>
                <w:rFonts w:cs="Tahoma"/>
                <w:b/>
                <w:i/>
                <w:sz w:val="20"/>
              </w:rPr>
              <w:t xml:space="preserve"> </w:t>
            </w:r>
            <w:r w:rsidRPr="003B054A">
              <w:rPr>
                <w:rFonts w:cs="Tahoma"/>
                <w:i/>
                <w:sz w:val="20"/>
              </w:rPr>
              <w:t>Wenn Mietschulden vorliegen, erhalten die MieterInnen bei der 2. Mahnung eine schriftliche Empfehlung, sich an den Verein Wohnen zu wenden, damit eine Schuldnerberatung gemacht werden kann.</w:t>
            </w:r>
          </w:p>
          <w:p w:rsidR="003B054A" w:rsidRPr="003B054A" w:rsidRDefault="003B054A" w:rsidP="003B054A">
            <w:pPr>
              <w:spacing w:line="240" w:lineRule="auto"/>
              <w:jc w:val="right"/>
              <w:rPr>
                <w:rFonts w:cs="Tahoma"/>
                <w:b/>
                <w:i/>
                <w:sz w:val="20"/>
              </w:rPr>
            </w:pPr>
            <w:r>
              <w:rPr>
                <w:rFonts w:cs="Tahoma"/>
                <w:i/>
                <w:sz w:val="20"/>
              </w:rPr>
              <w:t>Protokoll Gesprächsrunde mit ExpertInnen</w:t>
            </w:r>
          </w:p>
        </w:tc>
      </w:tr>
    </w:tbl>
    <w:p w:rsidR="0077440E" w:rsidRDefault="0077440E">
      <w:pPr>
        <w:rPr>
          <w:u w:val="single"/>
          <w:lang w:val="de-AT"/>
        </w:rPr>
      </w:pPr>
    </w:p>
    <w:p w:rsidR="007D7FBF" w:rsidRPr="007D7FBF" w:rsidRDefault="007D7FBF">
      <w:pPr>
        <w:rPr>
          <w:u w:val="single"/>
          <w:lang w:val="de-AT"/>
        </w:rPr>
      </w:pPr>
      <w:r w:rsidRPr="007D7FBF">
        <w:rPr>
          <w:u w:val="single"/>
          <w:lang w:val="de-AT"/>
        </w:rPr>
        <w:t>Fallbeispiel Tirol</w:t>
      </w:r>
    </w:p>
    <w:tbl>
      <w:tblPr>
        <w:tblStyle w:val="Tabellengitternetz"/>
        <w:tblW w:w="0" w:type="auto"/>
        <w:tblLook w:val="04A0"/>
      </w:tblPr>
      <w:tblGrid>
        <w:gridCol w:w="9288"/>
      </w:tblGrid>
      <w:tr w:rsidR="003B054A" w:rsidRPr="00DA5171" w:rsidTr="00C12F9D">
        <w:tc>
          <w:tcPr>
            <w:tcW w:w="9288" w:type="dxa"/>
          </w:tcPr>
          <w:p w:rsidR="003B054A" w:rsidRDefault="003B054A" w:rsidP="003B054A">
            <w:pPr>
              <w:spacing w:before="40" w:after="40" w:line="240" w:lineRule="auto"/>
              <w:jc w:val="left"/>
              <w:rPr>
                <w:i/>
                <w:sz w:val="20"/>
              </w:rPr>
            </w:pPr>
            <w:r w:rsidRPr="003B054A">
              <w:rPr>
                <w:i/>
                <w:sz w:val="20"/>
              </w:rPr>
              <w:t xml:space="preserve">Entscheidungen über </w:t>
            </w:r>
            <w:r w:rsidRPr="00702439">
              <w:rPr>
                <w:rStyle w:val="SchwacherVerweis"/>
                <w:i/>
                <w:sz w:val="20"/>
              </w:rPr>
              <w:t>begleitende Maßnahmen</w:t>
            </w:r>
            <w:r w:rsidRPr="003B054A">
              <w:rPr>
                <w:i/>
                <w:sz w:val="20"/>
              </w:rPr>
              <w:t>, z.B. zur Förderung von Integration, Maßnahmen zur Einzugsbegleitung bei Neubauten etc., sind Aufgabe der Politik (Wohnservice – in Kooperation mit Integrationsressort und Stadtplanung); dementsprechend werden dann auch externe Kooperationen realisiert</w:t>
            </w:r>
            <w:r w:rsidR="00AE6979">
              <w:rPr>
                <w:i/>
                <w:sz w:val="20"/>
              </w:rPr>
              <w:t>.</w:t>
            </w:r>
          </w:p>
          <w:p w:rsidR="003B054A" w:rsidRPr="003B054A" w:rsidRDefault="003B054A" w:rsidP="003B054A">
            <w:pPr>
              <w:spacing w:before="40" w:after="40" w:line="240" w:lineRule="auto"/>
              <w:jc w:val="right"/>
              <w:rPr>
                <w:rFonts w:cs="Tahoma"/>
                <w:b/>
                <w:i/>
                <w:sz w:val="20"/>
              </w:rPr>
            </w:pPr>
            <w:r>
              <w:rPr>
                <w:i/>
                <w:sz w:val="20"/>
              </w:rPr>
              <w:t>Interview Wohnungsvergabestelle</w:t>
            </w:r>
          </w:p>
        </w:tc>
      </w:tr>
    </w:tbl>
    <w:p w:rsidR="007D7FBF" w:rsidRPr="003B054A" w:rsidRDefault="007D7FBF"/>
    <w:p w:rsidR="007D7FBF" w:rsidRPr="007D7FBF" w:rsidRDefault="007D7FBF">
      <w:pPr>
        <w:rPr>
          <w:u w:val="single"/>
          <w:lang w:val="de-AT"/>
        </w:rPr>
      </w:pPr>
      <w:r w:rsidRPr="007D7FBF">
        <w:rPr>
          <w:u w:val="single"/>
          <w:lang w:val="de-AT"/>
        </w:rPr>
        <w:t>Fallbeispiel Wien</w:t>
      </w:r>
    </w:p>
    <w:tbl>
      <w:tblPr>
        <w:tblStyle w:val="Tabellengitternetz"/>
        <w:tblW w:w="0" w:type="auto"/>
        <w:tblLook w:val="04A0"/>
      </w:tblPr>
      <w:tblGrid>
        <w:gridCol w:w="9288"/>
      </w:tblGrid>
      <w:tr w:rsidR="003B054A" w:rsidRPr="00DA5171" w:rsidTr="00C12F9D">
        <w:tc>
          <w:tcPr>
            <w:tcW w:w="9288" w:type="dxa"/>
          </w:tcPr>
          <w:p w:rsidR="00587957" w:rsidRDefault="003B054A" w:rsidP="00044AF0">
            <w:pPr>
              <w:spacing w:beforeLines="40" w:afterLines="40" w:line="240" w:lineRule="auto"/>
              <w:jc w:val="left"/>
              <w:rPr>
                <w:i/>
                <w:sz w:val="20"/>
                <w:szCs w:val="24"/>
                <w:lang w:val="de-AT"/>
              </w:rPr>
            </w:pPr>
            <w:r w:rsidRPr="003B054A">
              <w:rPr>
                <w:i/>
                <w:sz w:val="20"/>
                <w:lang w:val="de-AT"/>
              </w:rPr>
              <w:t xml:space="preserve">Es gibt unterschiedliche Vorstellungen von Wohnen, daher ist </w:t>
            </w:r>
            <w:r w:rsidR="00A55D05">
              <w:rPr>
                <w:rStyle w:val="SchwacherVerweis"/>
                <w:i/>
                <w:sz w:val="20"/>
              </w:rPr>
              <w:t>Begleitung bei der Besied</w:t>
            </w:r>
            <w:r w:rsidRPr="00787223">
              <w:rPr>
                <w:rStyle w:val="SchwacherVerweis"/>
                <w:i/>
                <w:sz w:val="20"/>
              </w:rPr>
              <w:t>lung</w:t>
            </w:r>
            <w:r w:rsidRPr="003B054A">
              <w:rPr>
                <w:i/>
                <w:sz w:val="20"/>
                <w:lang w:val="de-AT"/>
              </w:rPr>
              <w:t xml:space="preserve"> erforde</w:t>
            </w:r>
            <w:r w:rsidRPr="003B054A">
              <w:rPr>
                <w:i/>
                <w:sz w:val="20"/>
                <w:lang w:val="de-AT"/>
              </w:rPr>
              <w:t>r</w:t>
            </w:r>
            <w:r w:rsidRPr="003B054A">
              <w:rPr>
                <w:i/>
                <w:sz w:val="20"/>
                <w:lang w:val="de-AT"/>
              </w:rPr>
              <w:t>lich</w:t>
            </w:r>
            <w:r w:rsidR="008E218D">
              <w:rPr>
                <w:i/>
                <w:sz w:val="20"/>
                <w:lang w:val="de-AT"/>
              </w:rPr>
              <w:t xml:space="preserve">. </w:t>
            </w:r>
            <w:r w:rsidRPr="003B054A">
              <w:rPr>
                <w:i/>
                <w:sz w:val="20"/>
                <w:lang w:val="de-AT"/>
              </w:rPr>
              <w:t>Durch Wegfall der HausbesorgerInnen sind Ansprechpersonen weggefallen, dadurch ist ein Vak</w:t>
            </w:r>
            <w:r w:rsidRPr="003B054A">
              <w:rPr>
                <w:i/>
                <w:sz w:val="20"/>
                <w:lang w:val="de-AT"/>
              </w:rPr>
              <w:t>u</w:t>
            </w:r>
            <w:r w:rsidRPr="003B054A">
              <w:rPr>
                <w:i/>
                <w:sz w:val="20"/>
                <w:lang w:val="de-AT"/>
              </w:rPr>
              <w:t>um entstanden, das noch nicht gefüllt wurde</w:t>
            </w:r>
          </w:p>
          <w:p w:rsidR="00587957" w:rsidRDefault="003B054A" w:rsidP="00044AF0">
            <w:pPr>
              <w:spacing w:beforeLines="40" w:afterLines="40" w:line="240" w:lineRule="auto"/>
              <w:jc w:val="right"/>
              <w:rPr>
                <w:i/>
                <w:sz w:val="20"/>
                <w:szCs w:val="24"/>
                <w:lang w:val="de-AT"/>
              </w:rPr>
            </w:pPr>
            <w:r>
              <w:rPr>
                <w:i/>
                <w:sz w:val="20"/>
                <w:lang w:val="de-AT"/>
              </w:rPr>
              <w:t>Interview Wohnungsvergabestelle</w:t>
            </w:r>
          </w:p>
          <w:p w:rsidR="001E30B4" w:rsidRDefault="008E218D" w:rsidP="00044AF0">
            <w:pPr>
              <w:spacing w:beforeLines="40" w:afterLines="40" w:line="240" w:lineRule="auto"/>
              <w:jc w:val="left"/>
              <w:rPr>
                <w:i/>
                <w:sz w:val="20"/>
                <w:szCs w:val="24"/>
                <w:lang w:val="de-AT"/>
              </w:rPr>
            </w:pPr>
            <w:r>
              <w:rPr>
                <w:i/>
                <w:sz w:val="20"/>
                <w:szCs w:val="24"/>
                <w:lang w:val="de-AT"/>
              </w:rPr>
              <w:t>Im Rahmen der Gemeinwesenarbeit werden in Zusammenarbeit mit den BewohnerInnen vielfältige Nachbarschafts-Projekte durchgeführt. Allen gemeinsam ist das Ziel, das Miteinander und das Ve</w:t>
            </w:r>
            <w:r>
              <w:rPr>
                <w:i/>
                <w:sz w:val="20"/>
                <w:szCs w:val="24"/>
                <w:lang w:val="de-AT"/>
              </w:rPr>
              <w:t>r</w:t>
            </w:r>
            <w:r>
              <w:rPr>
                <w:i/>
                <w:sz w:val="20"/>
                <w:szCs w:val="24"/>
                <w:lang w:val="de-AT"/>
              </w:rPr>
              <w:lastRenderedPageBreak/>
              <w:t xml:space="preserve">ständnis füreinander im Wiener Gemeindebau zu stärken und den Dialog zu fördern. Durch den Abbau von Gesprächsschwellen und durch einen verbesserten Austausch zwischen den MieterInnen sollen nachbarschaftliche Konflikte erst gar nicht entstehen. </w:t>
            </w:r>
          </w:p>
          <w:p w:rsidR="001E30B4" w:rsidRDefault="008E218D" w:rsidP="00044AF0">
            <w:pPr>
              <w:spacing w:beforeLines="40" w:afterLines="40" w:line="240" w:lineRule="auto"/>
              <w:jc w:val="left"/>
              <w:rPr>
                <w:i/>
                <w:sz w:val="20"/>
                <w:szCs w:val="24"/>
                <w:lang w:val="de-AT"/>
              </w:rPr>
            </w:pPr>
            <w:r>
              <w:rPr>
                <w:i/>
                <w:sz w:val="20"/>
                <w:szCs w:val="24"/>
                <w:lang w:val="de-AT"/>
              </w:rPr>
              <w:t>Diese Maßnahmen zielen darauf ab, die Eigeninitiative und Selbstorganisierung von BewohnerInnen zu fördern und die Entwicklung eigener Konfliktlösungskompetenzen der MieterInnen zu unterstützen.</w:t>
            </w:r>
          </w:p>
          <w:p w:rsidR="001E30B4" w:rsidRDefault="008E218D" w:rsidP="00044AF0">
            <w:pPr>
              <w:spacing w:beforeLines="40" w:afterLines="40" w:line="240" w:lineRule="auto"/>
              <w:jc w:val="right"/>
              <w:rPr>
                <w:i/>
                <w:sz w:val="20"/>
                <w:szCs w:val="24"/>
                <w:lang w:val="de-AT"/>
              </w:rPr>
            </w:pPr>
            <w:r>
              <w:rPr>
                <w:i/>
                <w:sz w:val="20"/>
                <w:szCs w:val="24"/>
                <w:lang w:val="de-AT"/>
              </w:rPr>
              <w:t>Interview Betreuungseinrichtung</w:t>
            </w:r>
          </w:p>
          <w:p w:rsidR="001E30B4" w:rsidRDefault="006335E1" w:rsidP="00044AF0">
            <w:pPr>
              <w:spacing w:beforeLines="40" w:afterLines="40" w:line="240" w:lineRule="auto"/>
              <w:jc w:val="left"/>
              <w:rPr>
                <w:i/>
                <w:sz w:val="20"/>
                <w:szCs w:val="24"/>
              </w:rPr>
            </w:pPr>
            <w:r w:rsidRPr="00787223">
              <w:rPr>
                <w:rStyle w:val="SchwacherVerweis"/>
                <w:i/>
                <w:sz w:val="20"/>
              </w:rPr>
              <w:t>Strategieworkshop zu ‚diversity‘</w:t>
            </w:r>
            <w:r w:rsidR="00AE6979">
              <w:rPr>
                <w:rStyle w:val="SchwacherVerweis"/>
                <w:i/>
                <w:sz w:val="20"/>
              </w:rPr>
              <w:t>:</w:t>
            </w:r>
            <w:r w:rsidRPr="00787223">
              <w:rPr>
                <w:rStyle w:val="SchwacherVerweis"/>
                <w:i/>
                <w:sz w:val="20"/>
              </w:rPr>
              <w:t xml:space="preserve"> </w:t>
            </w:r>
            <w:r w:rsidRPr="006335E1">
              <w:rPr>
                <w:i/>
                <w:sz w:val="20"/>
              </w:rPr>
              <w:t xml:space="preserve">Seit ca. 1,5 Jahren steht bei uns das große Thema </w:t>
            </w:r>
            <w:r w:rsidRPr="00595702">
              <w:rPr>
                <w:i/>
                <w:sz w:val="20"/>
              </w:rPr>
              <w:t>Diversity</w:t>
            </w:r>
            <w:r w:rsidRPr="006335E1">
              <w:rPr>
                <w:i/>
                <w:sz w:val="20"/>
              </w:rPr>
              <w:t xml:space="preserve"> an. Und da geht es auch um Ethnie, es haben sich die Teams mit dem Thema beschäftigt und wir haben he</w:t>
            </w:r>
            <w:r w:rsidRPr="006335E1">
              <w:rPr>
                <w:i/>
                <w:sz w:val="20"/>
              </w:rPr>
              <w:t>r</w:t>
            </w:r>
            <w:r w:rsidRPr="006335E1">
              <w:rPr>
                <w:i/>
                <w:sz w:val="20"/>
              </w:rPr>
              <w:t xml:space="preserve">ausgefunden, dass wir das im Team </w:t>
            </w:r>
            <w:r>
              <w:rPr>
                <w:i/>
                <w:sz w:val="20"/>
              </w:rPr>
              <w:t>bereits</w:t>
            </w:r>
            <w:r w:rsidRPr="006335E1">
              <w:rPr>
                <w:i/>
                <w:sz w:val="20"/>
              </w:rPr>
              <w:t xml:space="preserve"> leben. Wir haben MitarbeiterInnen aus Serbien, Kroatien und Bosnien, wir haben türkische Mitarbeiter, Schwule und Heteros, Männer und Frauen</w:t>
            </w:r>
            <w:bookmarkStart w:id="1" w:name="_GoBack"/>
            <w:bookmarkEnd w:id="1"/>
            <w:r w:rsidRPr="006335E1">
              <w:rPr>
                <w:i/>
                <w:sz w:val="20"/>
              </w:rPr>
              <w:t xml:space="preserve"> </w:t>
            </w:r>
            <w:r>
              <w:rPr>
                <w:i/>
                <w:sz w:val="20"/>
              </w:rPr>
              <w:t>–</w:t>
            </w:r>
            <w:r w:rsidRPr="006335E1">
              <w:rPr>
                <w:i/>
                <w:sz w:val="20"/>
              </w:rPr>
              <w:t xml:space="preserve"> </w:t>
            </w:r>
            <w:r>
              <w:rPr>
                <w:i/>
                <w:sz w:val="20"/>
              </w:rPr>
              <w:t>unsere Teams sind</w:t>
            </w:r>
            <w:r w:rsidRPr="006335E1">
              <w:rPr>
                <w:i/>
                <w:sz w:val="20"/>
              </w:rPr>
              <w:t xml:space="preserve"> eigentlich bunt gemischt. Das Kriterium ist aber nicht der </w:t>
            </w:r>
            <w:r>
              <w:rPr>
                <w:i/>
                <w:sz w:val="20"/>
              </w:rPr>
              <w:t xml:space="preserve">je individuelle </w:t>
            </w:r>
            <w:r w:rsidRPr="006335E1">
              <w:rPr>
                <w:i/>
                <w:sz w:val="20"/>
              </w:rPr>
              <w:t xml:space="preserve">Hintergrund </w:t>
            </w:r>
            <w:r>
              <w:rPr>
                <w:i/>
                <w:sz w:val="20"/>
              </w:rPr>
              <w:t xml:space="preserve">der MitarbeiterInnen </w:t>
            </w:r>
            <w:r w:rsidRPr="006335E1">
              <w:rPr>
                <w:i/>
                <w:sz w:val="20"/>
              </w:rPr>
              <w:t>sondern die Skills, die gerade gebraucht werden.</w:t>
            </w:r>
          </w:p>
          <w:p w:rsidR="001E30B4" w:rsidRDefault="006335E1" w:rsidP="00044AF0">
            <w:pPr>
              <w:spacing w:beforeLines="40" w:afterLines="40" w:line="240" w:lineRule="auto"/>
              <w:jc w:val="right"/>
              <w:rPr>
                <w:i/>
                <w:sz w:val="20"/>
                <w:szCs w:val="24"/>
                <w:lang w:val="de-AT"/>
              </w:rPr>
            </w:pPr>
            <w:r>
              <w:rPr>
                <w:i/>
                <w:sz w:val="20"/>
                <w:lang w:val="de-AT"/>
              </w:rPr>
              <w:t>Interview Beratungseinrichtung</w:t>
            </w:r>
          </w:p>
        </w:tc>
      </w:tr>
    </w:tbl>
    <w:p w:rsidR="006335E1" w:rsidRDefault="006335E1">
      <w:pPr>
        <w:spacing w:before="180" w:after="240" w:line="336" w:lineRule="auto"/>
        <w:jc w:val="center"/>
        <w:rPr>
          <w:rFonts w:eastAsiaTheme="majorEastAsia" w:cstheme="majorBidi"/>
          <w:b/>
          <w:bCs/>
          <w:color w:val="4F81BD" w:themeColor="accent1"/>
          <w:lang w:val="de-AT"/>
        </w:rPr>
      </w:pPr>
    </w:p>
    <w:p w:rsidR="00D93A70" w:rsidRDefault="00025202" w:rsidP="00025202">
      <w:pPr>
        <w:pStyle w:val="berschrift3"/>
      </w:pPr>
      <w:r>
        <w:t>2.6</w:t>
      </w:r>
      <w:r>
        <w:tab/>
      </w:r>
      <w:r w:rsidR="00BE6806">
        <w:t xml:space="preserve">Vergaberelevante </w:t>
      </w:r>
      <w:r w:rsidR="002D36A8" w:rsidRPr="002D36A8">
        <w:t>Aspekte der aktuellen Wohn- und Lebenssituation der WohnungswerberInnen</w:t>
      </w:r>
      <w:r>
        <w:br/>
      </w:r>
    </w:p>
    <w:p w:rsidR="00ED53AD" w:rsidRDefault="00702439" w:rsidP="00D93A70">
      <w:pPr>
        <w:rPr>
          <w:lang w:val="de-AT"/>
        </w:rPr>
      </w:pPr>
      <w:r>
        <w:rPr>
          <w:lang w:val="de-AT"/>
        </w:rPr>
        <w:t>Bei der Wohnungsvergabe wird, nach Einschätzung der überwiegenden Mehrheit der Respo</w:t>
      </w:r>
      <w:r>
        <w:rPr>
          <w:lang w:val="de-AT"/>
        </w:rPr>
        <w:t>n</w:t>
      </w:r>
      <w:r>
        <w:rPr>
          <w:lang w:val="de-AT"/>
        </w:rPr>
        <w:t>dentInnen, auf zentrale Einschränkungen und Gefährdungen der Wohn- und Lebensqualität der WohnungswerberInnen in hohem Ausmaß Bezug genommen.</w:t>
      </w:r>
      <w:r w:rsidR="003439E0">
        <w:rPr>
          <w:lang w:val="de-AT"/>
        </w:rPr>
        <w:t xml:space="preserve"> Das betrifft insbesondere gesundheitsgefährdenden Substandard und Überbelag. Detto wird in der Entscheidung über eine Wohnungsvergabe in der Mehrheit der erfassten Einrichtungen auch auf die Höhe des Haushaltseinkommens Bezug genommen. </w:t>
      </w:r>
      <w:r>
        <w:rPr>
          <w:lang w:val="de-AT"/>
        </w:rPr>
        <w:br/>
      </w:r>
    </w:p>
    <w:p w:rsidR="00595702" w:rsidRDefault="00595702" w:rsidP="00595702">
      <w:pPr>
        <w:rPr>
          <w:lang w:val="de-AT"/>
        </w:rPr>
      </w:pPr>
      <w:r>
        <w:rPr>
          <w:lang w:val="de-AT"/>
        </w:rPr>
        <w:t>Akute Wohnungslosigkeit sowie drohender Wohnungsverlust durch laufende Delogierungsve</w:t>
      </w:r>
      <w:r>
        <w:rPr>
          <w:lang w:val="de-AT"/>
        </w:rPr>
        <w:t>r</w:t>
      </w:r>
      <w:r>
        <w:rPr>
          <w:lang w:val="de-AT"/>
        </w:rPr>
        <w:t>fahren sind weitere Gesichtspunkte, die für die Wohnungsvergabe in der Mehrheit der beteili</w:t>
      </w:r>
      <w:r>
        <w:rPr>
          <w:lang w:val="de-AT"/>
        </w:rPr>
        <w:t>g</w:t>
      </w:r>
      <w:r>
        <w:rPr>
          <w:lang w:val="de-AT"/>
        </w:rPr>
        <w:t>ten Einrichtungen von Belang sind. Demgegenüber werden überhöhte Mietaufwände im akt</w:t>
      </w:r>
      <w:r>
        <w:rPr>
          <w:lang w:val="de-AT"/>
        </w:rPr>
        <w:t>u</w:t>
      </w:r>
      <w:r>
        <w:rPr>
          <w:lang w:val="de-AT"/>
        </w:rPr>
        <w:t>ellen Wohnverhältnis tendenziell nachrangig in die Entscheidungsfindung aufgenommen (37%).</w:t>
      </w:r>
      <w:r>
        <w:rPr>
          <w:lang w:val="de-AT"/>
        </w:rPr>
        <w:br/>
      </w:r>
    </w:p>
    <w:p w:rsidR="00595702" w:rsidRDefault="00595702">
      <w:pPr>
        <w:spacing w:before="180" w:after="240" w:line="336" w:lineRule="auto"/>
        <w:jc w:val="center"/>
        <w:rPr>
          <w:rStyle w:val="SchwacherVerweis"/>
        </w:rPr>
      </w:pPr>
      <w:r>
        <w:rPr>
          <w:rStyle w:val="SchwacherVerweis"/>
        </w:rPr>
        <w:br w:type="page"/>
      </w:r>
    </w:p>
    <w:p w:rsidR="008D2223" w:rsidRPr="008D2223" w:rsidRDefault="007866AA" w:rsidP="00D93A70">
      <w:pPr>
        <w:rPr>
          <w:rStyle w:val="SchwacherVerweis"/>
        </w:rPr>
      </w:pPr>
      <w:r>
        <w:rPr>
          <w:rStyle w:val="SchwacherVerweis"/>
        </w:rPr>
        <w:lastRenderedPageBreak/>
        <w:t>Grafik 16</w:t>
      </w:r>
      <w:r w:rsidR="008D2223">
        <w:rPr>
          <w:rStyle w:val="SchwacherVerweis"/>
        </w:rPr>
        <w:t>: Berücksichtigung der aktuellen Wohn- und Lebenssituation</w:t>
      </w:r>
    </w:p>
    <w:p w:rsidR="000C3D81" w:rsidRDefault="000C3D81" w:rsidP="00D93A70">
      <w:pPr>
        <w:rPr>
          <w:lang w:val="de-AT"/>
        </w:rPr>
      </w:pPr>
      <w:r w:rsidRPr="000C3D81">
        <w:rPr>
          <w:noProof/>
          <w:lang w:val="de-AT" w:eastAsia="de-AT"/>
        </w:rPr>
        <w:drawing>
          <wp:inline distT="0" distB="0" distL="0" distR="0">
            <wp:extent cx="5760720" cy="3526496"/>
            <wp:effectExtent l="19050" t="0" r="11430" b="0"/>
            <wp:docPr id="25"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02439" w:rsidRDefault="000C3D81" w:rsidP="00D93A70">
      <w:pPr>
        <w:rPr>
          <w:lang w:val="de-AT"/>
        </w:rPr>
      </w:pPr>
      <w:r>
        <w:rPr>
          <w:lang w:val="de-AT"/>
        </w:rPr>
        <w:br/>
      </w:r>
      <w:r w:rsidR="00702439">
        <w:rPr>
          <w:lang w:val="de-AT"/>
        </w:rPr>
        <w:t xml:space="preserve">Im Vergleich der verschiedenen Einrichtungsarten ergibt sich ein differenziertes Bild. So legen </w:t>
      </w:r>
      <w:r w:rsidR="00C63F08">
        <w:rPr>
          <w:lang w:val="de-AT"/>
        </w:rPr>
        <w:t>insbesondere</w:t>
      </w:r>
      <w:r w:rsidR="00702439">
        <w:rPr>
          <w:lang w:val="de-AT"/>
        </w:rPr>
        <w:t xml:space="preserve"> Wohnungsämter und gemeinnützige Bauträger besonderes Augenmerk auf die qualitativen Aspekte der Wohn- und Lebenssituation der WohnungswerberInnen. Private Ba</w:t>
      </w:r>
      <w:r w:rsidR="00702439">
        <w:rPr>
          <w:lang w:val="de-AT"/>
        </w:rPr>
        <w:t>u</w:t>
      </w:r>
      <w:r w:rsidR="00702439">
        <w:rPr>
          <w:lang w:val="de-AT"/>
        </w:rPr>
        <w:t>träger und Beratungseinrichtungen legen auf diese Aspekte offensichtlich weniger Wert.</w:t>
      </w:r>
      <w:r w:rsidR="00702439">
        <w:rPr>
          <w:lang w:val="de-AT"/>
        </w:rPr>
        <w:br/>
      </w:r>
    </w:p>
    <w:p w:rsidR="00595702" w:rsidRDefault="00595702">
      <w:pPr>
        <w:spacing w:before="180" w:after="240" w:line="336" w:lineRule="auto"/>
        <w:jc w:val="center"/>
        <w:rPr>
          <w:rStyle w:val="SchwacherVerweis"/>
        </w:rPr>
      </w:pPr>
      <w:r>
        <w:rPr>
          <w:rStyle w:val="SchwacherVerweis"/>
        </w:rPr>
        <w:br w:type="page"/>
      </w:r>
    </w:p>
    <w:p w:rsidR="008D2223" w:rsidRPr="008D2223" w:rsidRDefault="007866AA" w:rsidP="00D93A70">
      <w:pPr>
        <w:rPr>
          <w:rStyle w:val="SchwacherVerweis"/>
        </w:rPr>
      </w:pPr>
      <w:r>
        <w:rPr>
          <w:rStyle w:val="SchwacherVerweis"/>
        </w:rPr>
        <w:lastRenderedPageBreak/>
        <w:t>Grafik 17</w:t>
      </w:r>
      <w:r w:rsidR="008D2223" w:rsidRPr="008D2223">
        <w:rPr>
          <w:rStyle w:val="SchwacherVerweis"/>
        </w:rPr>
        <w:t xml:space="preserve">: </w:t>
      </w:r>
      <w:r w:rsidR="008D2223">
        <w:rPr>
          <w:rStyle w:val="SchwacherVerweis"/>
        </w:rPr>
        <w:t>Berücksichtigung der Wohn- und Lebenssituation nach Art der Einrichtungen</w:t>
      </w:r>
    </w:p>
    <w:p w:rsidR="00EC3F49" w:rsidRDefault="00EC3F49" w:rsidP="00D93A70">
      <w:pPr>
        <w:rPr>
          <w:lang w:val="de-AT"/>
        </w:rPr>
      </w:pPr>
      <w:r w:rsidRPr="00EC3F49">
        <w:rPr>
          <w:noProof/>
          <w:lang w:val="de-AT" w:eastAsia="de-AT"/>
        </w:rPr>
        <w:drawing>
          <wp:inline distT="0" distB="0" distL="0" distR="0">
            <wp:extent cx="5760720" cy="4043406"/>
            <wp:effectExtent l="19050" t="0" r="11430" b="0"/>
            <wp:docPr id="26"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77FFC" w:rsidRDefault="00EC3F49">
      <w:pPr>
        <w:rPr>
          <w:lang w:val="de-AT"/>
        </w:rPr>
      </w:pPr>
      <w:r>
        <w:rPr>
          <w:lang w:val="de-AT"/>
        </w:rPr>
        <w:br/>
      </w:r>
      <w:r w:rsidR="00181916">
        <w:rPr>
          <w:lang w:val="de-AT"/>
        </w:rPr>
        <w:t>Mehrere</w:t>
      </w:r>
      <w:r w:rsidR="00421758">
        <w:rPr>
          <w:lang w:val="de-AT"/>
        </w:rPr>
        <w:t xml:space="preserve"> RespondentInnen führen weitere Aspekte an, </w:t>
      </w:r>
      <w:r>
        <w:rPr>
          <w:lang w:val="de-AT"/>
        </w:rPr>
        <w:t xml:space="preserve">die sie ihrer Entscheidung über eine Wohnungsvergabe zugrunde legen; </w:t>
      </w:r>
      <w:r w:rsidR="00421758">
        <w:rPr>
          <w:lang w:val="de-AT"/>
        </w:rPr>
        <w:t>und zwar:</w:t>
      </w:r>
    </w:p>
    <w:p w:rsidR="00421758" w:rsidRPr="00512BF6" w:rsidRDefault="00EC3F49" w:rsidP="00B31556">
      <w:pPr>
        <w:pStyle w:val="notranslate"/>
        <w:numPr>
          <w:ilvl w:val="0"/>
          <w:numId w:val="6"/>
        </w:numPr>
        <w:spacing w:after="60" w:afterAutospacing="0"/>
        <w:ind w:left="714" w:hanging="357"/>
        <w:rPr>
          <w:rFonts w:ascii="Tahoma" w:hAnsi="Tahoma" w:cs="Tahoma"/>
          <w:sz w:val="22"/>
        </w:rPr>
      </w:pPr>
      <w:r w:rsidRPr="00512BF6">
        <w:rPr>
          <w:rFonts w:ascii="Tahoma" w:hAnsi="Tahoma" w:cs="Tahoma"/>
          <w:sz w:val="22"/>
        </w:rPr>
        <w:t xml:space="preserve">Wenn </w:t>
      </w:r>
      <w:r w:rsidR="00421758" w:rsidRPr="00512BF6">
        <w:rPr>
          <w:rFonts w:ascii="Tahoma" w:hAnsi="Tahoma" w:cs="Tahoma"/>
          <w:sz w:val="22"/>
        </w:rPr>
        <w:t>die Kriterien berücksichtigt werden, so ist das nicht immer zum Wohle der Wo</w:t>
      </w:r>
      <w:r w:rsidR="00421758" w:rsidRPr="00512BF6">
        <w:rPr>
          <w:rFonts w:ascii="Tahoma" w:hAnsi="Tahoma" w:cs="Tahoma"/>
          <w:sz w:val="22"/>
        </w:rPr>
        <w:t>h</w:t>
      </w:r>
      <w:r w:rsidR="00421758" w:rsidRPr="00512BF6">
        <w:rPr>
          <w:rFonts w:ascii="Tahoma" w:hAnsi="Tahoma" w:cs="Tahoma"/>
          <w:sz w:val="22"/>
        </w:rPr>
        <w:t>nungswerber!</w:t>
      </w:r>
    </w:p>
    <w:p w:rsidR="00421758" w:rsidRPr="00512BF6" w:rsidRDefault="00EC3F49" w:rsidP="00B31556">
      <w:pPr>
        <w:pStyle w:val="notranslate"/>
        <w:numPr>
          <w:ilvl w:val="0"/>
          <w:numId w:val="6"/>
        </w:numPr>
        <w:spacing w:after="60" w:afterAutospacing="0"/>
        <w:ind w:left="714" w:hanging="357"/>
        <w:rPr>
          <w:rFonts w:ascii="Tahoma" w:hAnsi="Tahoma" w:cs="Tahoma"/>
          <w:sz w:val="22"/>
        </w:rPr>
      </w:pPr>
      <w:r w:rsidRPr="00512BF6">
        <w:rPr>
          <w:rFonts w:ascii="Tahoma" w:hAnsi="Tahoma" w:cs="Tahoma"/>
          <w:sz w:val="22"/>
        </w:rPr>
        <w:t xml:space="preserve">Bei </w:t>
      </w:r>
      <w:r w:rsidR="00421758" w:rsidRPr="00512BF6">
        <w:rPr>
          <w:rFonts w:ascii="Tahoma" w:hAnsi="Tahoma" w:cs="Tahoma"/>
          <w:sz w:val="22"/>
        </w:rPr>
        <w:t>uns gibt es eine Warteliste und diese wird gereiht nach Datum abgearbeitet.</w:t>
      </w:r>
    </w:p>
    <w:p w:rsidR="00421758" w:rsidRPr="00512BF6" w:rsidRDefault="00421758" w:rsidP="00B31556">
      <w:pPr>
        <w:pStyle w:val="notranslate"/>
        <w:numPr>
          <w:ilvl w:val="0"/>
          <w:numId w:val="6"/>
        </w:numPr>
        <w:spacing w:after="60" w:afterAutospacing="0"/>
        <w:ind w:left="714" w:hanging="357"/>
        <w:rPr>
          <w:rFonts w:ascii="Tahoma" w:hAnsi="Tahoma" w:cs="Tahoma"/>
          <w:sz w:val="22"/>
        </w:rPr>
      </w:pPr>
      <w:r w:rsidRPr="00512BF6">
        <w:rPr>
          <w:rFonts w:ascii="Tahoma" w:hAnsi="Tahoma" w:cs="Tahoma"/>
          <w:sz w:val="22"/>
        </w:rPr>
        <w:t>Gemäß der Wohnungsvergaberichtlinie werden diese Kriterien vermehrt berücksichtigt - das ist keine Aussage über die Praxis der Wohnungsvergabe.</w:t>
      </w:r>
    </w:p>
    <w:p w:rsidR="00181916" w:rsidRPr="00512BF6" w:rsidRDefault="00EC3F49" w:rsidP="00B31556">
      <w:pPr>
        <w:pStyle w:val="notranslate"/>
        <w:numPr>
          <w:ilvl w:val="0"/>
          <w:numId w:val="6"/>
        </w:numPr>
        <w:spacing w:after="60" w:afterAutospacing="0"/>
        <w:ind w:left="714" w:hanging="357"/>
        <w:rPr>
          <w:rFonts w:ascii="Tahoma" w:hAnsi="Tahoma" w:cs="Tahoma"/>
          <w:sz w:val="22"/>
        </w:rPr>
      </w:pPr>
      <w:r w:rsidRPr="00512BF6">
        <w:rPr>
          <w:rFonts w:ascii="Tahoma" w:hAnsi="Tahoma" w:cs="Tahoma"/>
          <w:sz w:val="22"/>
        </w:rPr>
        <w:t xml:space="preserve">Im </w:t>
      </w:r>
      <w:r w:rsidR="00421758" w:rsidRPr="00512BF6">
        <w:rPr>
          <w:rFonts w:ascii="Tahoma" w:hAnsi="Tahoma" w:cs="Tahoma"/>
          <w:sz w:val="22"/>
        </w:rPr>
        <w:t xml:space="preserve">Wohnungsbestand der Stadt Wien </w:t>
      </w:r>
      <w:r w:rsidRPr="00512BF6">
        <w:rPr>
          <w:rFonts w:ascii="Tahoma" w:hAnsi="Tahoma" w:cs="Tahoma"/>
          <w:sz w:val="22"/>
        </w:rPr>
        <w:t>gibt es einen speziellen Zugang für akut Wo</w:t>
      </w:r>
      <w:r w:rsidRPr="00512BF6">
        <w:rPr>
          <w:rFonts w:ascii="Tahoma" w:hAnsi="Tahoma" w:cs="Tahoma"/>
          <w:sz w:val="22"/>
        </w:rPr>
        <w:t>h</w:t>
      </w:r>
      <w:r w:rsidRPr="00512BF6">
        <w:rPr>
          <w:rFonts w:ascii="Tahoma" w:hAnsi="Tahoma" w:cs="Tahoma"/>
          <w:sz w:val="22"/>
        </w:rPr>
        <w:t>nungslose</w:t>
      </w:r>
      <w:r w:rsidR="00421758" w:rsidRPr="00512BF6">
        <w:rPr>
          <w:rFonts w:ascii="Tahoma" w:hAnsi="Tahoma" w:cs="Tahoma"/>
          <w:sz w:val="22"/>
        </w:rPr>
        <w:t xml:space="preserve"> </w:t>
      </w:r>
    </w:p>
    <w:p w:rsidR="00421758" w:rsidRPr="00512BF6" w:rsidRDefault="00EC3F49" w:rsidP="00B31556">
      <w:pPr>
        <w:pStyle w:val="notranslate"/>
        <w:numPr>
          <w:ilvl w:val="0"/>
          <w:numId w:val="6"/>
        </w:numPr>
        <w:spacing w:after="60" w:afterAutospacing="0"/>
        <w:ind w:left="714" w:hanging="357"/>
        <w:rPr>
          <w:rFonts w:ascii="Tahoma" w:hAnsi="Tahoma" w:cs="Tahoma"/>
          <w:sz w:val="22"/>
        </w:rPr>
      </w:pPr>
      <w:r w:rsidRPr="00512BF6">
        <w:rPr>
          <w:rFonts w:ascii="Tahoma" w:hAnsi="Tahoma" w:cs="Tahoma"/>
          <w:sz w:val="22"/>
        </w:rPr>
        <w:t xml:space="preserve">bei drohender Wohnungslosigkeit gibt es </w:t>
      </w:r>
      <w:r w:rsidR="00421758" w:rsidRPr="00512BF6">
        <w:rPr>
          <w:rFonts w:ascii="Tahoma" w:hAnsi="Tahoma" w:cs="Tahoma"/>
          <w:sz w:val="22"/>
        </w:rPr>
        <w:t xml:space="preserve">meines Wissens nur </w:t>
      </w:r>
      <w:r w:rsidRPr="00512BF6">
        <w:rPr>
          <w:rFonts w:ascii="Tahoma" w:hAnsi="Tahoma" w:cs="Tahoma"/>
          <w:sz w:val="22"/>
        </w:rPr>
        <w:t>eine Vermittlungsmö</w:t>
      </w:r>
      <w:r w:rsidRPr="00512BF6">
        <w:rPr>
          <w:rFonts w:ascii="Tahoma" w:hAnsi="Tahoma" w:cs="Tahoma"/>
          <w:sz w:val="22"/>
        </w:rPr>
        <w:t>g</w:t>
      </w:r>
      <w:r w:rsidRPr="00512BF6">
        <w:rPr>
          <w:rFonts w:ascii="Tahoma" w:hAnsi="Tahoma" w:cs="Tahoma"/>
          <w:sz w:val="22"/>
        </w:rPr>
        <w:t xml:space="preserve">lichkeit </w:t>
      </w:r>
      <w:r w:rsidR="00421758" w:rsidRPr="00512BF6">
        <w:rPr>
          <w:rFonts w:ascii="Tahoma" w:hAnsi="Tahoma" w:cs="Tahoma"/>
          <w:sz w:val="22"/>
        </w:rPr>
        <w:t xml:space="preserve">über spezielle </w:t>
      </w:r>
      <w:r w:rsidRPr="00512BF6">
        <w:rPr>
          <w:rFonts w:ascii="Tahoma" w:hAnsi="Tahoma" w:cs="Tahoma"/>
          <w:sz w:val="22"/>
        </w:rPr>
        <w:t>Vergabes</w:t>
      </w:r>
      <w:r w:rsidR="00421758" w:rsidRPr="00512BF6">
        <w:rPr>
          <w:rFonts w:ascii="Tahoma" w:hAnsi="Tahoma" w:cs="Tahoma"/>
          <w:sz w:val="22"/>
        </w:rPr>
        <w:t>chienen.</w:t>
      </w:r>
      <w:r w:rsidR="00915107">
        <w:rPr>
          <w:rFonts w:ascii="Tahoma" w:hAnsi="Tahoma" w:cs="Tahoma"/>
          <w:sz w:val="22"/>
        </w:rPr>
        <w:br/>
      </w:r>
    </w:p>
    <w:p w:rsidR="00E40AD4" w:rsidRDefault="00E40AD4">
      <w:pPr>
        <w:rPr>
          <w:lang w:val="de-AT"/>
        </w:rPr>
      </w:pPr>
    </w:p>
    <w:p w:rsidR="00595702" w:rsidRDefault="00595702">
      <w:pPr>
        <w:spacing w:before="180" w:after="240" w:line="336" w:lineRule="auto"/>
        <w:jc w:val="center"/>
        <w:rPr>
          <w:rFonts w:eastAsiaTheme="majorEastAsia" w:cstheme="majorBidi"/>
          <w:b/>
          <w:bCs/>
          <w:color w:val="4F81BD" w:themeColor="accent1"/>
          <w:lang w:val="de-AT"/>
        </w:rPr>
      </w:pPr>
      <w:r>
        <w:br w:type="page"/>
      </w:r>
    </w:p>
    <w:p w:rsidR="009A730C" w:rsidRDefault="004D2C69" w:rsidP="00E23216">
      <w:pPr>
        <w:pStyle w:val="berschrift3"/>
      </w:pPr>
      <w:r>
        <w:lastRenderedPageBreak/>
        <w:t xml:space="preserve">2.7 </w:t>
      </w:r>
      <w:r>
        <w:tab/>
      </w:r>
      <w:r w:rsidR="009A730C">
        <w:t>Gültigkeit der Vergabekriterien</w:t>
      </w:r>
      <w:r w:rsidR="0084134B">
        <w:t xml:space="preserve"> </w:t>
      </w:r>
      <w:r w:rsidR="00DF5841">
        <w:t xml:space="preserve">für </w:t>
      </w:r>
      <w:r w:rsidR="00CE446F">
        <w:t>unterschiedliche Wohnungsm</w:t>
      </w:r>
      <w:r w:rsidR="00DF5841">
        <w:t>arktse</w:t>
      </w:r>
      <w:r w:rsidR="00DF5841">
        <w:t>g</w:t>
      </w:r>
      <w:r w:rsidR="00DF5841">
        <w:t xml:space="preserve">mente </w:t>
      </w:r>
    </w:p>
    <w:p w:rsidR="00450B7C" w:rsidRDefault="00450B7C" w:rsidP="00450B7C">
      <w:pPr>
        <w:rPr>
          <w:lang w:val="de-AT"/>
        </w:rPr>
      </w:pPr>
      <w:r>
        <w:rPr>
          <w:lang w:val="de-AT"/>
        </w:rPr>
        <w:br/>
        <w:t>Die Vergabekriterien für geförderte Mietwohnungen sind für andere Segmente des öffentlichen Wohnraums nur teilweise gültig. Offensichtlich gibt es in diesen Bereichen des Wohnung</w:t>
      </w:r>
      <w:r>
        <w:rPr>
          <w:lang w:val="de-AT"/>
        </w:rPr>
        <w:t>s</w:t>
      </w:r>
      <w:r>
        <w:rPr>
          <w:lang w:val="de-AT"/>
        </w:rPr>
        <w:t>marktes Spielraum für besondere Bedarfe, Zielgruppen und Versorgungsintentionen.</w:t>
      </w:r>
      <w:r>
        <w:rPr>
          <w:lang w:val="de-AT"/>
        </w:rPr>
        <w:br/>
      </w:r>
    </w:p>
    <w:p w:rsidR="008D2223" w:rsidRPr="008D2223" w:rsidRDefault="008D2223" w:rsidP="00450B7C">
      <w:pPr>
        <w:rPr>
          <w:rStyle w:val="SchwacherVerweis"/>
        </w:rPr>
      </w:pPr>
      <w:r>
        <w:rPr>
          <w:rStyle w:val="SchwacherVerweis"/>
        </w:rPr>
        <w:t>Grafik 1</w:t>
      </w:r>
      <w:r w:rsidR="007866AA">
        <w:rPr>
          <w:rStyle w:val="SchwacherVerweis"/>
        </w:rPr>
        <w:t>8</w:t>
      </w:r>
      <w:r>
        <w:rPr>
          <w:rStyle w:val="SchwacherVerweis"/>
        </w:rPr>
        <w:t xml:space="preserve">: </w:t>
      </w:r>
      <w:r w:rsidR="007866AA">
        <w:rPr>
          <w:rStyle w:val="SchwacherVerweis"/>
        </w:rPr>
        <w:t>Gültigkeit der Vergabekriterien nach Wohnungstypen</w:t>
      </w:r>
    </w:p>
    <w:p w:rsidR="00512BF6" w:rsidRDefault="00450B7C" w:rsidP="00512BF6">
      <w:pPr>
        <w:rPr>
          <w:lang w:val="de-AT"/>
        </w:rPr>
      </w:pPr>
      <w:r w:rsidRPr="00450B7C">
        <w:rPr>
          <w:noProof/>
          <w:lang w:val="de-AT" w:eastAsia="de-AT"/>
        </w:rPr>
        <w:drawing>
          <wp:inline distT="0" distB="0" distL="0" distR="0">
            <wp:extent cx="5400675" cy="3276600"/>
            <wp:effectExtent l="19050" t="0" r="9525" b="0"/>
            <wp:docPr id="27"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3439E0" w:rsidRDefault="00450B7C" w:rsidP="00512BF6">
      <w:pPr>
        <w:rPr>
          <w:lang w:val="de-AT"/>
        </w:rPr>
      </w:pPr>
      <w:r>
        <w:rPr>
          <w:lang w:val="de-AT"/>
        </w:rPr>
        <w:br/>
      </w:r>
      <w:r w:rsidR="003439E0">
        <w:rPr>
          <w:lang w:val="de-AT"/>
        </w:rPr>
        <w:t xml:space="preserve">Während </w:t>
      </w:r>
      <w:r w:rsidR="004D2C69">
        <w:rPr>
          <w:lang w:val="de-AT"/>
        </w:rPr>
        <w:t>die Wiedervergabe</w:t>
      </w:r>
      <w:r w:rsidR="003439E0">
        <w:rPr>
          <w:lang w:val="de-AT"/>
        </w:rPr>
        <w:t xml:space="preserve"> von sanierten und standardverbesserten Wohnungen bei der Mehrheit der erfassten Einrichtungen (52%) nach analogen Richtlinien </w:t>
      </w:r>
      <w:r w:rsidR="00E06282">
        <w:rPr>
          <w:lang w:val="de-AT"/>
        </w:rPr>
        <w:t>und Kriterien vorg</w:t>
      </w:r>
      <w:r w:rsidR="00E06282">
        <w:rPr>
          <w:lang w:val="de-AT"/>
        </w:rPr>
        <w:t>e</w:t>
      </w:r>
      <w:r w:rsidR="00E06282">
        <w:rPr>
          <w:lang w:val="de-AT"/>
        </w:rPr>
        <w:t>nommen</w:t>
      </w:r>
      <w:r w:rsidR="004D2C69">
        <w:rPr>
          <w:lang w:val="de-AT"/>
        </w:rPr>
        <w:t xml:space="preserve"> wird</w:t>
      </w:r>
      <w:r w:rsidR="006D221D">
        <w:rPr>
          <w:lang w:val="de-AT"/>
        </w:rPr>
        <w:t xml:space="preserve"> </w:t>
      </w:r>
      <w:r w:rsidR="00E06282">
        <w:rPr>
          <w:lang w:val="de-AT"/>
        </w:rPr>
        <w:t xml:space="preserve">wie </w:t>
      </w:r>
      <w:r w:rsidR="004D2C69">
        <w:rPr>
          <w:lang w:val="de-AT"/>
        </w:rPr>
        <w:t>die Neuvergabe</w:t>
      </w:r>
      <w:r w:rsidR="00E06282">
        <w:rPr>
          <w:lang w:val="de-AT"/>
        </w:rPr>
        <w:t xml:space="preserve"> von geförderten Wohnungen, unterliegt die Vergabe von ausfinanzierten Wohnungen sowie von Substandardwohnungen </w:t>
      </w:r>
      <w:r w:rsidR="00F13A17">
        <w:rPr>
          <w:lang w:val="de-AT"/>
        </w:rPr>
        <w:t xml:space="preserve">offensichtlich </w:t>
      </w:r>
      <w:r w:rsidR="00E06282">
        <w:rPr>
          <w:lang w:val="de-AT"/>
        </w:rPr>
        <w:t>zu hohen Ante</w:t>
      </w:r>
      <w:r w:rsidR="00E06282">
        <w:rPr>
          <w:lang w:val="de-AT"/>
        </w:rPr>
        <w:t>i</w:t>
      </w:r>
      <w:r w:rsidR="00E06282">
        <w:rPr>
          <w:lang w:val="de-AT"/>
        </w:rPr>
        <w:t>len anderen Regelwerken</w:t>
      </w:r>
      <w:r w:rsidR="00F13A17">
        <w:rPr>
          <w:lang w:val="de-AT"/>
        </w:rPr>
        <w:t xml:space="preserve">. </w:t>
      </w:r>
    </w:p>
    <w:p w:rsidR="00F13A17" w:rsidRDefault="006D221D" w:rsidP="00512BF6">
      <w:pPr>
        <w:rPr>
          <w:lang w:val="de-AT"/>
        </w:rPr>
      </w:pPr>
      <w:r>
        <w:rPr>
          <w:lang w:val="de-AT"/>
        </w:rPr>
        <w:t xml:space="preserve">Die </w:t>
      </w:r>
      <w:r w:rsidR="00F13A17">
        <w:rPr>
          <w:lang w:val="de-AT"/>
        </w:rPr>
        <w:t xml:space="preserve">Vergabe von Eigentumswohnungen sowie </w:t>
      </w:r>
      <w:r>
        <w:rPr>
          <w:lang w:val="de-AT"/>
        </w:rPr>
        <w:t xml:space="preserve">von </w:t>
      </w:r>
      <w:r w:rsidR="00F13A17">
        <w:rPr>
          <w:lang w:val="de-AT"/>
        </w:rPr>
        <w:t xml:space="preserve">Wohnungen mit anderen Vertragsformen </w:t>
      </w:r>
      <w:r>
        <w:rPr>
          <w:lang w:val="de-AT"/>
        </w:rPr>
        <w:t xml:space="preserve">ist </w:t>
      </w:r>
      <w:r w:rsidR="00F13A17">
        <w:rPr>
          <w:lang w:val="de-AT"/>
        </w:rPr>
        <w:t>nur zu einem ausgesprochen geringen Anteil an die Vergaberegeln und Kriterien des geförde</w:t>
      </w:r>
      <w:r w:rsidR="00F13A17">
        <w:rPr>
          <w:lang w:val="de-AT"/>
        </w:rPr>
        <w:t>r</w:t>
      </w:r>
      <w:r w:rsidR="00F13A17">
        <w:rPr>
          <w:lang w:val="de-AT"/>
        </w:rPr>
        <w:t>ten Mietwohnungsbaus gebunden (jeweils 19%)</w:t>
      </w:r>
      <w:r>
        <w:rPr>
          <w:lang w:val="de-AT"/>
        </w:rPr>
        <w:t>.</w:t>
      </w:r>
      <w:r w:rsidR="00F13A17">
        <w:rPr>
          <w:lang w:val="de-AT"/>
        </w:rPr>
        <w:t xml:space="preserve"> </w:t>
      </w:r>
      <w:r>
        <w:rPr>
          <w:lang w:val="de-AT"/>
        </w:rPr>
        <w:t xml:space="preserve">Dies ist </w:t>
      </w:r>
      <w:r w:rsidR="00F13A17">
        <w:rPr>
          <w:lang w:val="de-AT"/>
        </w:rPr>
        <w:t>be</w:t>
      </w:r>
      <w:r>
        <w:rPr>
          <w:lang w:val="de-AT"/>
        </w:rPr>
        <w:t>i</w:t>
      </w:r>
      <w:r w:rsidR="00F13A17">
        <w:rPr>
          <w:lang w:val="de-AT"/>
        </w:rPr>
        <w:t xml:space="preserve"> der Vergabe von Miet-Kauf-Wohnungen </w:t>
      </w:r>
      <w:r>
        <w:rPr>
          <w:lang w:val="de-AT"/>
        </w:rPr>
        <w:t>deutlich häufiger der Fall</w:t>
      </w:r>
      <w:r w:rsidR="00F13A17">
        <w:rPr>
          <w:lang w:val="de-AT"/>
        </w:rPr>
        <w:t xml:space="preserve"> </w:t>
      </w:r>
      <w:r>
        <w:rPr>
          <w:lang w:val="de-AT"/>
        </w:rPr>
        <w:t>(</w:t>
      </w:r>
      <w:r w:rsidR="00F13A17">
        <w:rPr>
          <w:lang w:val="de-AT"/>
        </w:rPr>
        <w:t>33%</w:t>
      </w:r>
      <w:r>
        <w:rPr>
          <w:lang w:val="de-AT"/>
        </w:rPr>
        <w:t>)</w:t>
      </w:r>
      <w:r w:rsidR="00F13A17">
        <w:rPr>
          <w:lang w:val="de-AT"/>
        </w:rPr>
        <w:t>.</w:t>
      </w:r>
      <w:r w:rsidR="00595702">
        <w:rPr>
          <w:lang w:val="de-AT"/>
        </w:rPr>
        <w:br/>
      </w:r>
    </w:p>
    <w:p w:rsidR="00450B7C" w:rsidRDefault="00450B7C" w:rsidP="00512BF6">
      <w:pPr>
        <w:rPr>
          <w:lang w:val="de-AT"/>
        </w:rPr>
      </w:pPr>
      <w:r>
        <w:rPr>
          <w:lang w:val="de-AT"/>
        </w:rPr>
        <w:lastRenderedPageBreak/>
        <w:t xml:space="preserve">Im Vergleich der unterschiedlichen Einrichtungen zeigen sich auch </w:t>
      </w:r>
      <w:r w:rsidR="00F13A17">
        <w:rPr>
          <w:lang w:val="de-AT"/>
        </w:rPr>
        <w:t>bezüglich der vergaberel</w:t>
      </w:r>
      <w:r w:rsidR="00F13A17">
        <w:rPr>
          <w:lang w:val="de-AT"/>
        </w:rPr>
        <w:t>e</w:t>
      </w:r>
      <w:r w:rsidR="00F13A17">
        <w:rPr>
          <w:lang w:val="de-AT"/>
        </w:rPr>
        <w:t>vanten Regeln und Kriterien</w:t>
      </w:r>
      <w:r>
        <w:rPr>
          <w:lang w:val="de-AT"/>
        </w:rPr>
        <w:t xml:space="preserve"> wesentliche Unterschiede, ob und inwieweit diese ergänzende</w:t>
      </w:r>
      <w:r w:rsidR="00F13A17">
        <w:rPr>
          <w:lang w:val="de-AT"/>
        </w:rPr>
        <w:t>n bzw. alternativen</w:t>
      </w:r>
      <w:r>
        <w:rPr>
          <w:lang w:val="de-AT"/>
        </w:rPr>
        <w:t xml:space="preserve"> </w:t>
      </w:r>
      <w:r w:rsidR="00F13A17">
        <w:rPr>
          <w:lang w:val="de-AT"/>
        </w:rPr>
        <w:t>Entscheid</w:t>
      </w:r>
      <w:r>
        <w:rPr>
          <w:lang w:val="de-AT"/>
        </w:rPr>
        <w:t>ungs</w:t>
      </w:r>
      <w:r w:rsidR="00F13A17">
        <w:rPr>
          <w:lang w:val="de-AT"/>
        </w:rPr>
        <w:t>kriterien</w:t>
      </w:r>
      <w:r>
        <w:rPr>
          <w:lang w:val="de-AT"/>
        </w:rPr>
        <w:t xml:space="preserve"> </w:t>
      </w:r>
      <w:r w:rsidR="00F13A17">
        <w:rPr>
          <w:lang w:val="de-AT"/>
        </w:rPr>
        <w:t>unterliegen</w:t>
      </w:r>
      <w:r>
        <w:rPr>
          <w:lang w:val="de-AT"/>
        </w:rPr>
        <w:t>.</w:t>
      </w:r>
    </w:p>
    <w:p w:rsidR="00595702" w:rsidRDefault="00595702" w:rsidP="00512BF6">
      <w:pPr>
        <w:rPr>
          <w:lang w:val="de-AT"/>
        </w:rPr>
      </w:pPr>
    </w:p>
    <w:p w:rsidR="007866AA" w:rsidRPr="007866AA" w:rsidRDefault="007866AA" w:rsidP="00512BF6">
      <w:pPr>
        <w:rPr>
          <w:rStyle w:val="SchwacherVerweis"/>
        </w:rPr>
      </w:pPr>
      <w:r>
        <w:rPr>
          <w:rStyle w:val="SchwacherVerweis"/>
        </w:rPr>
        <w:t>Grafik 19: Gültigkeit der Vergabekriterien nach Wohnungstypen / Einrichtungsarten</w:t>
      </w:r>
    </w:p>
    <w:p w:rsidR="00450B7C" w:rsidRPr="00512BF6" w:rsidRDefault="0031053A" w:rsidP="00512BF6">
      <w:pPr>
        <w:rPr>
          <w:lang w:val="de-AT"/>
        </w:rPr>
      </w:pPr>
      <w:r w:rsidRPr="0031053A">
        <w:rPr>
          <w:noProof/>
          <w:lang w:val="de-AT" w:eastAsia="de-AT"/>
        </w:rPr>
        <w:drawing>
          <wp:inline distT="0" distB="0" distL="0" distR="0">
            <wp:extent cx="5760720" cy="4161609"/>
            <wp:effectExtent l="19050" t="0" r="11430" b="0"/>
            <wp:docPr id="28"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F13A17" w:rsidRDefault="0031053A">
      <w:pPr>
        <w:rPr>
          <w:lang w:val="de-AT"/>
        </w:rPr>
      </w:pPr>
      <w:r>
        <w:rPr>
          <w:lang w:val="de-AT"/>
        </w:rPr>
        <w:br/>
        <w:t xml:space="preserve">Insbesondere Wohnungsämter und gemeinnützige Bauträger </w:t>
      </w:r>
      <w:r w:rsidR="00204B47">
        <w:rPr>
          <w:lang w:val="de-AT"/>
        </w:rPr>
        <w:t xml:space="preserve">betonen </w:t>
      </w:r>
      <w:r>
        <w:rPr>
          <w:lang w:val="de-AT"/>
        </w:rPr>
        <w:t>zu hohen Anteilen</w:t>
      </w:r>
      <w:r w:rsidR="00204B47">
        <w:rPr>
          <w:lang w:val="de-AT"/>
        </w:rPr>
        <w:t>, dass</w:t>
      </w:r>
      <w:r>
        <w:rPr>
          <w:lang w:val="de-AT"/>
        </w:rPr>
        <w:t xml:space="preserve"> auch für die </w:t>
      </w:r>
      <w:r w:rsidR="00F13A17">
        <w:rPr>
          <w:lang w:val="de-AT"/>
        </w:rPr>
        <w:t>unterschiedlichen</w:t>
      </w:r>
      <w:r>
        <w:rPr>
          <w:lang w:val="de-AT"/>
        </w:rPr>
        <w:t xml:space="preserve"> Wohnungsmarktsegmente </w:t>
      </w:r>
      <w:r w:rsidR="00F13A17">
        <w:rPr>
          <w:lang w:val="de-AT"/>
        </w:rPr>
        <w:t xml:space="preserve">der sanierten bzw. ausfinanzierten Wohnungen </w:t>
      </w:r>
      <w:r>
        <w:rPr>
          <w:lang w:val="de-AT"/>
        </w:rPr>
        <w:t xml:space="preserve">die Vergaberegeln für </w:t>
      </w:r>
      <w:r w:rsidR="00AD331A">
        <w:rPr>
          <w:lang w:val="de-AT"/>
        </w:rPr>
        <w:t xml:space="preserve">den geförderten Mietwohnungsneubau </w:t>
      </w:r>
      <w:r w:rsidR="00204B47">
        <w:rPr>
          <w:lang w:val="de-AT"/>
        </w:rPr>
        <w:t>gelten</w:t>
      </w:r>
      <w:r w:rsidR="00AD331A">
        <w:rPr>
          <w:lang w:val="de-AT"/>
        </w:rPr>
        <w:t xml:space="preserve">. </w:t>
      </w:r>
      <w:r w:rsidR="00204B47">
        <w:rPr>
          <w:lang w:val="de-AT"/>
        </w:rPr>
        <w:t>Diese R</w:t>
      </w:r>
      <w:r w:rsidR="00204B47">
        <w:rPr>
          <w:lang w:val="de-AT"/>
        </w:rPr>
        <w:t>e</w:t>
      </w:r>
      <w:r w:rsidR="00204B47">
        <w:rPr>
          <w:lang w:val="de-AT"/>
        </w:rPr>
        <w:t xml:space="preserve">geln gelten auch </w:t>
      </w:r>
      <w:r w:rsidR="00F13A17">
        <w:rPr>
          <w:lang w:val="de-AT"/>
        </w:rPr>
        <w:t xml:space="preserve">bei der Vergabe von Substandardwohnungen sowie von Miet-Kauf-Wohnungen in hohem Ausmaß. </w:t>
      </w:r>
    </w:p>
    <w:p w:rsidR="009A730C" w:rsidRDefault="00F13A17" w:rsidP="00CC51B8">
      <w:pPr>
        <w:rPr>
          <w:lang w:val="de-AT"/>
        </w:rPr>
      </w:pPr>
      <w:r>
        <w:rPr>
          <w:lang w:val="de-AT"/>
        </w:rPr>
        <w:t xml:space="preserve">Demgegenüber sind private Bauträger offensichtlich in deutlich geringerem Ausmaß an die regulären Vergaberegeln und –kriterien gebunden, können demnach </w:t>
      </w:r>
      <w:r w:rsidR="00CC51B8">
        <w:rPr>
          <w:lang w:val="de-AT"/>
        </w:rPr>
        <w:t xml:space="preserve">insbesondere </w:t>
      </w:r>
      <w:r w:rsidR="00AD331A">
        <w:rPr>
          <w:lang w:val="de-AT"/>
        </w:rPr>
        <w:t>hinsichtlich der ausfinanzierten und der Substandardwohnungen aus dem Altbestand erhebliche Spielrä</w:t>
      </w:r>
      <w:r w:rsidR="00AD331A">
        <w:rPr>
          <w:lang w:val="de-AT"/>
        </w:rPr>
        <w:t>u</w:t>
      </w:r>
      <w:r w:rsidR="00AD331A">
        <w:rPr>
          <w:lang w:val="de-AT"/>
        </w:rPr>
        <w:t>me für alternative Versorgungsansätze</w:t>
      </w:r>
      <w:r w:rsidR="00CC51B8">
        <w:rPr>
          <w:lang w:val="de-AT"/>
        </w:rPr>
        <w:t xml:space="preserve"> realisieren</w:t>
      </w:r>
      <w:r w:rsidR="00AD331A">
        <w:rPr>
          <w:lang w:val="de-AT"/>
        </w:rPr>
        <w:t>.</w:t>
      </w:r>
      <w:r w:rsidR="00AD331A">
        <w:rPr>
          <w:lang w:val="de-AT"/>
        </w:rPr>
        <w:br/>
      </w:r>
    </w:p>
    <w:p w:rsidR="00595702" w:rsidRDefault="00595702">
      <w:pPr>
        <w:spacing w:before="180" w:after="240" w:line="336" w:lineRule="auto"/>
        <w:jc w:val="center"/>
        <w:rPr>
          <w:rStyle w:val="SchwacherVerweis"/>
        </w:rPr>
      </w:pPr>
      <w:r>
        <w:rPr>
          <w:rStyle w:val="SchwacherVerweis"/>
        </w:rPr>
        <w:br w:type="page"/>
      </w:r>
    </w:p>
    <w:p w:rsidR="009A730C" w:rsidRPr="00A65CF8" w:rsidRDefault="00AD331A">
      <w:pPr>
        <w:rPr>
          <w:rStyle w:val="SchwacherVerweis"/>
        </w:rPr>
      </w:pPr>
      <w:r>
        <w:rPr>
          <w:rStyle w:val="SchwacherVerweis"/>
        </w:rPr>
        <w:lastRenderedPageBreak/>
        <w:t>Ergänzend dazu</w:t>
      </w:r>
      <w:r w:rsidR="009A730C" w:rsidRPr="00A65CF8">
        <w:rPr>
          <w:rStyle w:val="SchwacherVerweis"/>
        </w:rPr>
        <w:t xml:space="preserve"> </w:t>
      </w:r>
      <w:r w:rsidR="00A65CF8">
        <w:rPr>
          <w:rStyle w:val="SchwacherVerweis"/>
        </w:rPr>
        <w:t>merken einige</w:t>
      </w:r>
      <w:r w:rsidR="009A730C" w:rsidRPr="00A65CF8">
        <w:rPr>
          <w:rStyle w:val="SchwacherVerweis"/>
        </w:rPr>
        <w:t xml:space="preserve"> RespondentInnen </w:t>
      </w:r>
      <w:r w:rsidR="00A65CF8">
        <w:rPr>
          <w:rStyle w:val="SchwacherVerweis"/>
        </w:rPr>
        <w:t>an</w:t>
      </w:r>
      <w:r w:rsidR="009A730C" w:rsidRPr="00A65CF8">
        <w:rPr>
          <w:rStyle w:val="SchwacherVerweis"/>
        </w:rPr>
        <w:t>:</w:t>
      </w:r>
    </w:p>
    <w:p w:rsidR="009A730C" w:rsidRDefault="009A730C" w:rsidP="00AD331A">
      <w:pPr>
        <w:pStyle w:val="Aufzhlungszeichen"/>
        <w:spacing w:after="60" w:line="240" w:lineRule="auto"/>
        <w:ind w:left="357" w:hanging="357"/>
        <w:contextualSpacing w:val="0"/>
      </w:pPr>
      <w:r>
        <w:t xml:space="preserve">ausfinanzierte </w:t>
      </w:r>
      <w:r w:rsidR="00AE3A51">
        <w:t>–</w:t>
      </w:r>
      <w:r>
        <w:t xml:space="preserve"> nach Logik der Vergabestellen Substandard </w:t>
      </w:r>
      <w:r w:rsidR="00AD331A">
        <w:t>–</w:t>
      </w:r>
      <w:r>
        <w:t xml:space="preserve"> </w:t>
      </w:r>
      <w:r w:rsidR="00AD331A">
        <w:t xml:space="preserve">werden </w:t>
      </w:r>
      <w:r>
        <w:t>eher für besonders belastete Haushalte</w:t>
      </w:r>
      <w:r w:rsidR="00AD331A">
        <w:t xml:space="preserve"> eingesetzt</w:t>
      </w:r>
    </w:p>
    <w:p w:rsidR="009A730C" w:rsidRDefault="00AD331A" w:rsidP="00AD331A">
      <w:pPr>
        <w:pStyle w:val="Aufzhlungszeichen"/>
        <w:spacing w:after="60" w:line="240" w:lineRule="auto"/>
        <w:ind w:left="357" w:hanging="357"/>
        <w:contextualSpacing w:val="0"/>
      </w:pPr>
      <w:r>
        <w:t xml:space="preserve">Für </w:t>
      </w:r>
      <w:r w:rsidR="009A730C">
        <w:t>Startwohnungen des Österr</w:t>
      </w:r>
      <w:r>
        <w:t>eichischen</w:t>
      </w:r>
      <w:r w:rsidR="009A730C">
        <w:t xml:space="preserve"> Integrationsfonds </w:t>
      </w:r>
      <w:r>
        <w:t>ist, anders als in den norm</w:t>
      </w:r>
      <w:r>
        <w:t>a</w:t>
      </w:r>
      <w:r>
        <w:t xml:space="preserve">len Vergaberegeln vorgesehen, ein </w:t>
      </w:r>
      <w:r w:rsidR="009A730C">
        <w:t>Arbeitsverhältnis nötig</w:t>
      </w:r>
    </w:p>
    <w:p w:rsidR="009A730C" w:rsidRDefault="009A730C" w:rsidP="00AD331A">
      <w:pPr>
        <w:pStyle w:val="Aufzhlungszeichen"/>
        <w:spacing w:after="60" w:line="240" w:lineRule="auto"/>
        <w:ind w:left="357" w:hanging="357"/>
        <w:contextualSpacing w:val="0"/>
      </w:pPr>
      <w:r>
        <w:t>Die Vergaberichtlinien gelten lediglich für Gemeindewohnungen (Miete)</w:t>
      </w:r>
    </w:p>
    <w:p w:rsidR="009A730C" w:rsidRDefault="009A730C" w:rsidP="00AD331A">
      <w:pPr>
        <w:pStyle w:val="Aufzhlungszeichen"/>
        <w:spacing w:after="60" w:line="240" w:lineRule="auto"/>
        <w:ind w:left="357" w:hanging="357"/>
        <w:contextualSpacing w:val="0"/>
      </w:pPr>
      <w:r>
        <w:t>Wir verfügen über keine Substandardwohnungen, Eigentumswohnungen werden von E</w:t>
      </w:r>
      <w:r>
        <w:t>i</w:t>
      </w:r>
      <w:r>
        <w:t>gentümern selbst weitergegeben.</w:t>
      </w:r>
    </w:p>
    <w:p w:rsidR="009A730C" w:rsidRDefault="00A65CF8" w:rsidP="00AD331A">
      <w:pPr>
        <w:pStyle w:val="Aufzhlungszeichen"/>
        <w:spacing w:after="60" w:line="240" w:lineRule="auto"/>
        <w:ind w:left="357" w:hanging="357"/>
        <w:contextualSpacing w:val="0"/>
      </w:pPr>
      <w:r>
        <w:t>Untermietvert</w:t>
      </w:r>
      <w:r w:rsidR="00AD331A">
        <w:t>r</w:t>
      </w:r>
      <w:r>
        <w:t xml:space="preserve">ag </w:t>
      </w:r>
      <w:r w:rsidR="009A730C">
        <w:t xml:space="preserve">mit </w:t>
      </w:r>
      <w:r>
        <w:t>Betreuungsvereinbarung</w:t>
      </w:r>
      <w:r w:rsidR="009A730C">
        <w:t xml:space="preserve">. nur 9 </w:t>
      </w:r>
      <w:r>
        <w:t>Wohnungen</w:t>
      </w:r>
    </w:p>
    <w:p w:rsidR="009A730C" w:rsidRDefault="009A730C" w:rsidP="00AD331A">
      <w:pPr>
        <w:pStyle w:val="Aufzhlungszeichen"/>
        <w:spacing w:after="60" w:line="240" w:lineRule="auto"/>
        <w:ind w:left="357" w:hanging="357"/>
        <w:contextualSpacing w:val="0"/>
      </w:pPr>
      <w:r>
        <w:t>die Wohnverhältnisse (in Bezug auf evtl. Mängel in der dzt. Whg) und evtl. Räumungste</w:t>
      </w:r>
      <w:r>
        <w:t>r</w:t>
      </w:r>
      <w:r>
        <w:t xml:space="preserve">mine kommen bei EigentumswohnungswerberInnen nicht zu tragen: Räumungstermine oft kurzfristig </w:t>
      </w:r>
      <w:r w:rsidR="00AE3A51">
        <w:t>–</w:t>
      </w:r>
      <w:r>
        <w:t xml:space="preserve"> zeitl</w:t>
      </w:r>
      <w:r w:rsidR="00AE3A51">
        <w:t>icher</w:t>
      </w:r>
      <w:r>
        <w:t xml:space="preserve"> Rahmen bis zur Versorgung mit Eigentums-Wohnung </w:t>
      </w:r>
      <w:r w:rsidR="00AE3A51">
        <w:t xml:space="preserve">ist </w:t>
      </w:r>
      <w:r>
        <w:t xml:space="preserve">aber </w:t>
      </w:r>
      <w:r w:rsidR="00AE3A51">
        <w:t xml:space="preserve">eher </w:t>
      </w:r>
      <w:r>
        <w:t>langfristig</w:t>
      </w:r>
    </w:p>
    <w:p w:rsidR="009A730C" w:rsidRDefault="009A730C" w:rsidP="00AD331A">
      <w:pPr>
        <w:pStyle w:val="Aufzhlungszeichen"/>
        <w:spacing w:after="60" w:line="240" w:lineRule="auto"/>
        <w:ind w:left="357" w:hanging="357"/>
        <w:contextualSpacing w:val="0"/>
      </w:pPr>
      <w:r>
        <w:t>Gemeinde hat keine Eigentumswohnungen, Miet-Kauf-Wohnungen und andere Vertrag</w:t>
      </w:r>
      <w:r>
        <w:t>s</w:t>
      </w:r>
      <w:r>
        <w:t xml:space="preserve">formen </w:t>
      </w:r>
      <w:r w:rsidR="00A65CF8">
        <w:t>treffen</w:t>
      </w:r>
      <w:r>
        <w:t xml:space="preserve"> daher gar nicht zu, weil wir diese nicht anbieten können.</w:t>
      </w:r>
    </w:p>
    <w:p w:rsidR="00AD331A" w:rsidRDefault="009A730C" w:rsidP="00AD331A">
      <w:pPr>
        <w:pStyle w:val="Aufzhlungszeichen"/>
        <w:spacing w:after="60" w:line="240" w:lineRule="auto"/>
        <w:ind w:left="357" w:hanging="357"/>
        <w:contextualSpacing w:val="0"/>
      </w:pPr>
      <w:r>
        <w:t xml:space="preserve">betreute </w:t>
      </w:r>
      <w:r w:rsidR="00A65CF8">
        <w:t>Übergangswohnungen</w:t>
      </w:r>
      <w:r>
        <w:t xml:space="preserve">: </w:t>
      </w:r>
      <w:r w:rsidR="00A65CF8">
        <w:t xml:space="preserve">Einhaltung </w:t>
      </w:r>
      <w:r>
        <w:t xml:space="preserve">der individuellen </w:t>
      </w:r>
      <w:r w:rsidR="00A65CF8">
        <w:t xml:space="preserve">Betreuungsvereinbarungen </w:t>
      </w:r>
      <w:r>
        <w:t xml:space="preserve">bindend </w:t>
      </w:r>
    </w:p>
    <w:p w:rsidR="009A730C" w:rsidRDefault="009A730C" w:rsidP="00AD331A">
      <w:pPr>
        <w:pStyle w:val="Aufzhlungszeichen"/>
        <w:spacing w:after="60" w:line="240" w:lineRule="auto"/>
        <w:ind w:left="357" w:hanging="357"/>
        <w:contextualSpacing w:val="0"/>
      </w:pPr>
      <w:r>
        <w:t>"</w:t>
      </w:r>
      <w:r w:rsidR="00A65CF8">
        <w:t>Finalwohnungen</w:t>
      </w:r>
      <w:r>
        <w:t xml:space="preserve">": spezielle </w:t>
      </w:r>
      <w:r w:rsidR="00A65CF8">
        <w:t xml:space="preserve">Anspruchsvoraussetzungen </w:t>
      </w:r>
      <w:r>
        <w:t xml:space="preserve">für </w:t>
      </w:r>
      <w:r w:rsidR="00A65CF8">
        <w:t xml:space="preserve">Gemeindewohnungen </w:t>
      </w:r>
      <w:r>
        <w:t xml:space="preserve">u.a. geförderte </w:t>
      </w:r>
      <w:r w:rsidR="00A65CF8">
        <w:t>Wohnungen</w:t>
      </w:r>
    </w:p>
    <w:p w:rsidR="009A730C" w:rsidRDefault="009A730C" w:rsidP="00AD331A">
      <w:pPr>
        <w:pStyle w:val="Aufzhlungszeichen"/>
        <w:spacing w:after="60" w:line="240" w:lineRule="auto"/>
        <w:ind w:left="357" w:hanging="357"/>
        <w:contextualSpacing w:val="0"/>
      </w:pPr>
      <w:r>
        <w:t>Die Richtlinien gelten für Wohnungen, die im Zuge der Objektförderung nach dem Woh</w:t>
      </w:r>
      <w:r>
        <w:t>n</w:t>
      </w:r>
      <w:r>
        <w:t xml:space="preserve">bauförderungsgesetz errichtet wurden </w:t>
      </w:r>
      <w:r w:rsidR="00515F12">
        <w:t>–</w:t>
      </w:r>
      <w:r>
        <w:t xml:space="preserve"> zumeist von gemeinnützigen Bauträgern, die die Vergabe der Wohnungen zum Großteil an die Bauortgemeinde abgeben.</w:t>
      </w:r>
    </w:p>
    <w:p w:rsidR="009A730C" w:rsidRDefault="009A730C" w:rsidP="00AD331A">
      <w:pPr>
        <w:pStyle w:val="Aufzhlungszeichen"/>
        <w:spacing w:after="60" w:line="240" w:lineRule="auto"/>
        <w:ind w:left="357" w:hanging="357"/>
        <w:contextualSpacing w:val="0"/>
      </w:pPr>
      <w:r>
        <w:t>Substandardwohnungen sind im privaten Hausbesitz, Regelunge</w:t>
      </w:r>
      <w:r w:rsidR="00A65CF8">
        <w:t>n nach MRG, keine 'Ve</w:t>
      </w:r>
      <w:r w:rsidR="00A65CF8">
        <w:t>r</w:t>
      </w:r>
      <w:r w:rsidR="00A65CF8">
        <w:t>gabericht</w:t>
      </w:r>
      <w:r>
        <w:t>linien'</w:t>
      </w:r>
      <w:r w:rsidR="00AE3A51">
        <w:br/>
      </w:r>
    </w:p>
    <w:p w:rsidR="00D911AD" w:rsidRDefault="00AE3A51">
      <w:pPr>
        <w:rPr>
          <w:lang w:val="de-AT"/>
        </w:rPr>
      </w:pPr>
      <w:r>
        <w:rPr>
          <w:lang w:val="de-AT"/>
        </w:rPr>
        <w:t>Zusammenfassend kann festgestellt werden, dass die regulären Vergaberegeln und die eing</w:t>
      </w:r>
      <w:r>
        <w:rPr>
          <w:lang w:val="de-AT"/>
        </w:rPr>
        <w:t>e</w:t>
      </w:r>
      <w:r>
        <w:rPr>
          <w:lang w:val="de-AT"/>
        </w:rPr>
        <w:t>setzten Kriterien zur Entscheidungsfindung insbesondere für den Bereich von ‚objektgeförde</w:t>
      </w:r>
      <w:r>
        <w:rPr>
          <w:lang w:val="de-AT"/>
        </w:rPr>
        <w:t>r</w:t>
      </w:r>
      <w:r>
        <w:rPr>
          <w:lang w:val="de-AT"/>
        </w:rPr>
        <w:t xml:space="preserve">ten Mietwohnungen‘ sowie für Gemeindewohnungen gelten, während </w:t>
      </w:r>
      <w:r w:rsidR="00D911AD">
        <w:rPr>
          <w:lang w:val="de-AT"/>
        </w:rPr>
        <w:t xml:space="preserve">Wohnungen mit </w:t>
      </w:r>
      <w:r>
        <w:rPr>
          <w:lang w:val="de-AT"/>
        </w:rPr>
        <w:t>and</w:t>
      </w:r>
      <w:r>
        <w:rPr>
          <w:lang w:val="de-AT"/>
        </w:rPr>
        <w:t>e</w:t>
      </w:r>
      <w:r>
        <w:rPr>
          <w:lang w:val="de-AT"/>
        </w:rPr>
        <w:t>re</w:t>
      </w:r>
      <w:r w:rsidR="00D911AD">
        <w:rPr>
          <w:lang w:val="de-AT"/>
        </w:rPr>
        <w:t>n</w:t>
      </w:r>
      <w:r>
        <w:rPr>
          <w:lang w:val="de-AT"/>
        </w:rPr>
        <w:t xml:space="preserve"> Vertragsformen, z.B. betreute Wohnungen sowie Wohnungen des Integrationsfonds, z.T. nach gänzlich anderen Vorgaben und Voraussetzungen vergeben werden</w:t>
      </w:r>
      <w:r w:rsidR="00D911AD">
        <w:rPr>
          <w:lang w:val="de-AT"/>
        </w:rPr>
        <w:t>:</w:t>
      </w:r>
      <w:r>
        <w:rPr>
          <w:lang w:val="de-AT"/>
        </w:rPr>
        <w:t xml:space="preserve"> </w:t>
      </w:r>
      <w:r w:rsidR="00D911AD">
        <w:rPr>
          <w:lang w:val="de-AT"/>
        </w:rPr>
        <w:t>Hier finden sich z.B. folgende Extra-Kriterien:</w:t>
      </w:r>
    </w:p>
    <w:p w:rsidR="00D911AD" w:rsidRDefault="00D911AD" w:rsidP="00B31556">
      <w:pPr>
        <w:pStyle w:val="Listenabsatz"/>
        <w:numPr>
          <w:ilvl w:val="0"/>
          <w:numId w:val="20"/>
        </w:numPr>
        <w:rPr>
          <w:lang w:val="de-AT"/>
        </w:rPr>
      </w:pPr>
      <w:r w:rsidRPr="00D911AD">
        <w:rPr>
          <w:lang w:val="de-AT"/>
        </w:rPr>
        <w:t xml:space="preserve">Bindung an individuelle Betreuungsvereinbarungen </w:t>
      </w:r>
    </w:p>
    <w:p w:rsidR="009A730C" w:rsidRPr="00D911AD" w:rsidRDefault="00D911AD" w:rsidP="00B31556">
      <w:pPr>
        <w:pStyle w:val="Listenabsatz"/>
        <w:numPr>
          <w:ilvl w:val="0"/>
          <w:numId w:val="20"/>
        </w:numPr>
        <w:rPr>
          <w:lang w:val="de-AT"/>
        </w:rPr>
      </w:pPr>
      <w:r w:rsidRPr="00D911AD">
        <w:rPr>
          <w:lang w:val="de-AT"/>
        </w:rPr>
        <w:t>Voraussetzung eines aufrechten Beschäftigungsverhältnisses</w:t>
      </w:r>
    </w:p>
    <w:p w:rsidR="00006438" w:rsidRDefault="00006438">
      <w:pPr>
        <w:spacing w:before="180" w:after="240" w:line="336" w:lineRule="auto"/>
        <w:jc w:val="center"/>
        <w:rPr>
          <w:lang w:val="de-AT"/>
        </w:rPr>
      </w:pPr>
      <w:r>
        <w:rPr>
          <w:lang w:val="de-AT"/>
        </w:rPr>
        <w:br w:type="page"/>
      </w:r>
    </w:p>
    <w:p w:rsidR="00515F12" w:rsidRDefault="00515F12">
      <w:pPr>
        <w:rPr>
          <w:lang w:val="de-AT"/>
        </w:rPr>
      </w:pPr>
      <w:r>
        <w:rPr>
          <w:lang w:val="de-AT"/>
        </w:rPr>
        <w:lastRenderedPageBreak/>
        <w:t>Es sind mithin allem voran kommunale Wohnungsämter mit einem mehr / minder großen B</w:t>
      </w:r>
      <w:r>
        <w:rPr>
          <w:lang w:val="de-AT"/>
        </w:rPr>
        <w:t>e</w:t>
      </w:r>
      <w:r>
        <w:rPr>
          <w:lang w:val="de-AT"/>
        </w:rPr>
        <w:t>stand an Gemeindewohnungen sowie gemeinnützige Bauträger mit einem Schwerpunkt auf die Errichtung von geförderten Mietwohnungen, die zu wesentlichen Anteilen an Vergaber</w:t>
      </w:r>
      <w:r>
        <w:rPr>
          <w:lang w:val="de-AT"/>
        </w:rPr>
        <w:t>e</w:t>
      </w:r>
      <w:r>
        <w:rPr>
          <w:lang w:val="de-AT"/>
        </w:rPr>
        <w:t>geln und Vorgaben gebunden sind. Demgegenüber gelten für private Bauträger sowie für jene Beratungseinrichtungen, die im Kontext ihrer Tätigkeitsschwerpunkte auch mit wohnung</w:t>
      </w:r>
      <w:r>
        <w:rPr>
          <w:lang w:val="de-AT"/>
        </w:rPr>
        <w:t>s</w:t>
      </w:r>
      <w:r>
        <w:rPr>
          <w:lang w:val="de-AT"/>
        </w:rPr>
        <w:t>marktrelevanten Agenden betraut sind, alternative und / oder ergänzende Vorgaben.</w:t>
      </w:r>
      <w:r>
        <w:rPr>
          <w:lang w:val="de-AT"/>
        </w:rPr>
        <w:br/>
      </w:r>
    </w:p>
    <w:p w:rsidR="000471CF" w:rsidRDefault="000471CF">
      <w:pPr>
        <w:rPr>
          <w:lang w:val="de-AT"/>
        </w:rPr>
      </w:pPr>
      <w:r>
        <w:rPr>
          <w:lang w:val="de-AT"/>
        </w:rPr>
        <w:t>Die nachstehenden Auszüge aus Interviews oder Gesprächsrunden mit ExpertInnen werfen Schlaglichter auf die großen Unterschiede in den Vergaberegularien bzw. den eingesetzten Kriterien, welche die konkrete Vergabe von Wohnungen an WohnungswerberInnen mit sowie ohne Migrationshintergrund beeinflussen.</w:t>
      </w:r>
    </w:p>
    <w:p w:rsidR="000471CF" w:rsidRDefault="000471CF">
      <w:pPr>
        <w:rPr>
          <w:lang w:val="de-AT"/>
        </w:rPr>
      </w:pPr>
    </w:p>
    <w:p w:rsidR="00515F12" w:rsidRDefault="00515F12" w:rsidP="000471CF">
      <w:pPr>
        <w:pBdr>
          <w:top w:val="single" w:sz="4" w:space="1" w:color="auto"/>
          <w:left w:val="single" w:sz="4" w:space="4" w:color="auto"/>
          <w:bottom w:val="single" w:sz="4" w:space="1" w:color="auto"/>
          <w:right w:val="single" w:sz="4" w:space="4" w:color="auto"/>
        </w:pBdr>
        <w:spacing w:before="60" w:after="60" w:line="240" w:lineRule="auto"/>
        <w:ind w:left="567"/>
        <w:rPr>
          <w:i/>
          <w:sz w:val="20"/>
        </w:rPr>
      </w:pPr>
      <w:r w:rsidRPr="00515F12">
        <w:rPr>
          <w:i/>
          <w:sz w:val="20"/>
        </w:rPr>
        <w:t>In Summe werden ca. 80% der Wohnungsvergaben strikt nach der Punktereihung vorgeno</w:t>
      </w:r>
      <w:r w:rsidRPr="00515F12">
        <w:rPr>
          <w:i/>
          <w:sz w:val="20"/>
        </w:rPr>
        <w:t>m</w:t>
      </w:r>
      <w:r w:rsidRPr="00515F12">
        <w:rPr>
          <w:i/>
          <w:sz w:val="20"/>
        </w:rPr>
        <w:t>men, bei etwa 20% spielen Interessensabwägungen im öffentlichen Interesse (in Hinblick auf Stadtplanung, Siedlungsstruktur, positive Diskriminierung etc.) eine Rolle. Diese Interessensa</w:t>
      </w:r>
      <w:r w:rsidRPr="00515F12">
        <w:rPr>
          <w:i/>
          <w:sz w:val="20"/>
        </w:rPr>
        <w:t>b</w:t>
      </w:r>
      <w:r w:rsidRPr="00515F12">
        <w:rPr>
          <w:i/>
          <w:sz w:val="20"/>
        </w:rPr>
        <w:t>wägungen erfolgen dann unter Berücksichtigung des aktuellen Verteilungsstandes in einzelnen Siedlungen / Hausgemeinschaft (ethnische Zusammensetzung, Anzahl minderjähriger Kinder, A</w:t>
      </w:r>
      <w:r w:rsidRPr="00515F12">
        <w:rPr>
          <w:i/>
          <w:sz w:val="20"/>
        </w:rPr>
        <w:t>l</w:t>
      </w:r>
      <w:r w:rsidRPr="00515F12">
        <w:rPr>
          <w:i/>
          <w:sz w:val="20"/>
        </w:rPr>
        <w:t>tersstruktur etc.)</w:t>
      </w:r>
    </w:p>
    <w:p w:rsidR="00515F12" w:rsidRPr="00515F12" w:rsidRDefault="00515F12" w:rsidP="000471CF">
      <w:pPr>
        <w:pBdr>
          <w:top w:val="single" w:sz="4" w:space="1" w:color="auto"/>
          <w:left w:val="single" w:sz="4" w:space="4" w:color="auto"/>
          <w:bottom w:val="single" w:sz="4" w:space="1" w:color="auto"/>
          <w:right w:val="single" w:sz="4" w:space="4" w:color="auto"/>
        </w:pBdr>
        <w:spacing w:before="60" w:after="60" w:line="240" w:lineRule="auto"/>
        <w:ind w:left="567"/>
        <w:jc w:val="right"/>
        <w:rPr>
          <w:i/>
          <w:sz w:val="20"/>
        </w:rPr>
      </w:pPr>
      <w:r>
        <w:rPr>
          <w:i/>
          <w:sz w:val="20"/>
        </w:rPr>
        <w:t>Interview Sozial- und Wohnungsverwaltung, Bregenz</w:t>
      </w:r>
    </w:p>
    <w:p w:rsidR="00AE3A51" w:rsidRDefault="00AE3A51"/>
    <w:p w:rsidR="00EF060E" w:rsidRDefault="00006438" w:rsidP="00EF060E">
      <w:pPr>
        <w:pBdr>
          <w:top w:val="single" w:sz="4" w:space="1" w:color="auto"/>
          <w:left w:val="single" w:sz="4" w:space="4" w:color="auto"/>
          <w:bottom w:val="single" w:sz="4" w:space="1" w:color="auto"/>
          <w:right w:val="single" w:sz="4" w:space="4" w:color="auto"/>
        </w:pBdr>
        <w:spacing w:before="60" w:after="60" w:line="240" w:lineRule="auto"/>
        <w:ind w:left="567"/>
        <w:rPr>
          <w:i/>
          <w:sz w:val="20"/>
          <w:lang w:val="de-AT" w:eastAsia="de-AT"/>
        </w:rPr>
      </w:pPr>
      <w:r>
        <w:rPr>
          <w:i/>
          <w:sz w:val="20"/>
          <w:lang w:val="de-AT" w:eastAsia="de-AT"/>
        </w:rPr>
        <w:t xml:space="preserve">In den vergangenen Jahren hat sich die Kooperation zwischen gemeinnützigem Wohnbauträger und dem Betreuten Wohnen intensiv weiter entwickelt. Unter anderem haben wir </w:t>
      </w:r>
      <w:r w:rsidR="003D47C8">
        <w:rPr>
          <w:i/>
          <w:sz w:val="20"/>
          <w:lang w:val="de-AT" w:eastAsia="de-AT"/>
        </w:rPr>
        <w:t xml:space="preserve">neben der Betreuung von Wohnungen im Rahmen der Wohnplattform auch </w:t>
      </w:r>
      <w:r>
        <w:rPr>
          <w:i/>
          <w:sz w:val="20"/>
          <w:lang w:val="de-AT" w:eastAsia="de-AT"/>
        </w:rPr>
        <w:t xml:space="preserve">einige Wohnungen direkt </w:t>
      </w:r>
      <w:r w:rsidR="003D47C8">
        <w:rPr>
          <w:i/>
          <w:sz w:val="20"/>
          <w:lang w:val="de-AT" w:eastAsia="de-AT"/>
        </w:rPr>
        <w:t xml:space="preserve">von der Wohnbaugesellschaft </w:t>
      </w:r>
      <w:r>
        <w:rPr>
          <w:i/>
          <w:sz w:val="20"/>
          <w:lang w:val="de-AT" w:eastAsia="de-AT"/>
        </w:rPr>
        <w:t xml:space="preserve">angemietet und können diese nun jenseits der üblichen Vergaberegeln an unsere KlientInnen weitervermieten, z.B. wenn diese wegen früherer Mietschulden </w:t>
      </w:r>
      <w:r w:rsidR="003D47C8">
        <w:rPr>
          <w:i/>
          <w:sz w:val="20"/>
          <w:lang w:val="de-AT" w:eastAsia="de-AT"/>
        </w:rPr>
        <w:t>von</w:t>
      </w:r>
      <w:r>
        <w:rPr>
          <w:i/>
          <w:sz w:val="20"/>
          <w:lang w:val="de-AT" w:eastAsia="de-AT"/>
        </w:rPr>
        <w:t xml:space="preserve"> einer </w:t>
      </w:r>
      <w:r w:rsidR="003D47C8">
        <w:rPr>
          <w:i/>
          <w:sz w:val="20"/>
          <w:lang w:val="de-AT" w:eastAsia="de-AT"/>
        </w:rPr>
        <w:t>V</w:t>
      </w:r>
      <w:r>
        <w:rPr>
          <w:i/>
          <w:sz w:val="20"/>
          <w:lang w:val="de-AT" w:eastAsia="de-AT"/>
        </w:rPr>
        <w:t>ergabe ausgeschlossen wären. Unterm Strich hat sich daraus natürlich auch eine Verpflichtung insofern ergeben, dass wir nicht nur für unsere KlientInnen zuständig sind, sondern auch ei</w:t>
      </w:r>
      <w:r>
        <w:rPr>
          <w:i/>
          <w:sz w:val="20"/>
          <w:lang w:val="de-AT" w:eastAsia="de-AT"/>
        </w:rPr>
        <w:t>n</w:t>
      </w:r>
      <w:r>
        <w:rPr>
          <w:i/>
          <w:sz w:val="20"/>
          <w:lang w:val="de-AT" w:eastAsia="de-AT"/>
        </w:rPr>
        <w:t>springen, wenn die Gemeinnützige vor Problemen mit anderen MieterInnen steht.</w:t>
      </w:r>
    </w:p>
    <w:p w:rsidR="00EF060E" w:rsidRPr="00FD4A50" w:rsidRDefault="00EF060E" w:rsidP="00EF060E">
      <w:pPr>
        <w:pBdr>
          <w:top w:val="single" w:sz="4" w:space="1" w:color="auto"/>
          <w:left w:val="single" w:sz="4" w:space="4" w:color="auto"/>
          <w:bottom w:val="single" w:sz="4" w:space="1" w:color="auto"/>
          <w:right w:val="single" w:sz="4" w:space="4" w:color="auto"/>
        </w:pBdr>
        <w:spacing w:before="60" w:after="60" w:line="240" w:lineRule="auto"/>
        <w:ind w:left="567"/>
        <w:jc w:val="right"/>
        <w:rPr>
          <w:i/>
          <w:sz w:val="20"/>
          <w:lang w:val="de-AT" w:eastAsia="de-AT"/>
        </w:rPr>
      </w:pPr>
      <w:r>
        <w:rPr>
          <w:i/>
          <w:sz w:val="20"/>
          <w:lang w:val="de-AT" w:eastAsia="de-AT"/>
        </w:rPr>
        <w:t>Interview Wohnbetreuung, Linz</w:t>
      </w:r>
    </w:p>
    <w:p w:rsidR="00EF060E" w:rsidRDefault="00EF060E"/>
    <w:p w:rsidR="004D2C69" w:rsidRDefault="004D2C69" w:rsidP="000471CF">
      <w:pPr>
        <w:pBdr>
          <w:top w:val="single" w:sz="4" w:space="1" w:color="auto"/>
          <w:left w:val="single" w:sz="4" w:space="4" w:color="auto"/>
          <w:bottom w:val="single" w:sz="4" w:space="1" w:color="auto"/>
          <w:right w:val="single" w:sz="4" w:space="4" w:color="auto"/>
        </w:pBdr>
        <w:spacing w:before="60" w:after="60" w:line="240" w:lineRule="auto"/>
        <w:ind w:left="567"/>
        <w:rPr>
          <w:rFonts w:cs="Tahoma"/>
          <w:i/>
          <w:sz w:val="20"/>
        </w:rPr>
      </w:pPr>
      <w:r>
        <w:rPr>
          <w:rFonts w:cs="Tahoma"/>
          <w:i/>
          <w:sz w:val="20"/>
        </w:rPr>
        <w:t>Die Vergabe von Gemeindewohnungen erfolgt strikt nach der Warteliste, die alle sechs Monate aktualisiert wird. Alle WohnungswerberInnen müssen innerhalb dieses halben Jahres melden, dass ihr Bedarf weiter aufrecht ist, sonst werden sie von der Vergabeliste gelöscht. Nur dringende Notfälle werden vorgereiht. Grundsätzlich haben wir in der Gemeinde zwar darüber diskutiert, für Notfälle wie Trennung nach Gewaltvorfällen etc. einige Notfa</w:t>
      </w:r>
      <w:r w:rsidR="00831E8D">
        <w:rPr>
          <w:rFonts w:cs="Tahoma"/>
          <w:i/>
          <w:sz w:val="20"/>
        </w:rPr>
        <w:t>ll</w:t>
      </w:r>
      <w:r>
        <w:rPr>
          <w:rFonts w:cs="Tahoma"/>
          <w:i/>
          <w:sz w:val="20"/>
        </w:rPr>
        <w:t>wohnungen verfügbar zu haben. A</w:t>
      </w:r>
      <w:r>
        <w:rPr>
          <w:rFonts w:cs="Tahoma"/>
          <w:i/>
          <w:sz w:val="20"/>
        </w:rPr>
        <w:t>l</w:t>
      </w:r>
      <w:r>
        <w:rPr>
          <w:rFonts w:cs="Tahoma"/>
          <w:i/>
          <w:sz w:val="20"/>
        </w:rPr>
        <w:t xml:space="preserve">lerdings kam es nie zu einem definitiven Beschluss. </w:t>
      </w:r>
    </w:p>
    <w:p w:rsidR="004D2C69" w:rsidRDefault="004D2C69" w:rsidP="004D2C69">
      <w:pPr>
        <w:pBdr>
          <w:top w:val="single" w:sz="4" w:space="1" w:color="auto"/>
          <w:left w:val="single" w:sz="4" w:space="4" w:color="auto"/>
          <w:bottom w:val="single" w:sz="4" w:space="1" w:color="auto"/>
          <w:right w:val="single" w:sz="4" w:space="4" w:color="auto"/>
        </w:pBdr>
        <w:spacing w:before="60" w:after="60" w:line="240" w:lineRule="auto"/>
        <w:ind w:left="567"/>
        <w:jc w:val="right"/>
        <w:rPr>
          <w:rFonts w:cs="Tahoma"/>
          <w:i/>
          <w:sz w:val="20"/>
        </w:rPr>
      </w:pPr>
      <w:r>
        <w:rPr>
          <w:rFonts w:cs="Tahoma"/>
          <w:i/>
          <w:sz w:val="20"/>
        </w:rPr>
        <w:t>Interview kommunale Wohnungsvergabe</w:t>
      </w:r>
      <w:r w:rsidR="00FC53B5">
        <w:rPr>
          <w:rFonts w:cs="Tahoma"/>
          <w:i/>
          <w:sz w:val="20"/>
        </w:rPr>
        <w:t>, Niederösterreich</w:t>
      </w:r>
    </w:p>
    <w:p w:rsidR="00FD4A50" w:rsidRDefault="00FD4A50" w:rsidP="00FD4A50"/>
    <w:p w:rsidR="00851907" w:rsidRDefault="00851907">
      <w:pPr>
        <w:spacing w:before="180" w:after="240" w:line="336" w:lineRule="auto"/>
        <w:jc w:val="center"/>
        <w:rPr>
          <w:i/>
          <w:sz w:val="20"/>
        </w:rPr>
      </w:pPr>
      <w:r>
        <w:rPr>
          <w:i/>
          <w:sz w:val="20"/>
        </w:rPr>
        <w:br w:type="page"/>
      </w:r>
    </w:p>
    <w:p w:rsidR="003D47C8" w:rsidRPr="00FD4A50" w:rsidRDefault="00FC53B5" w:rsidP="003D47C8">
      <w:pPr>
        <w:pBdr>
          <w:top w:val="single" w:sz="4" w:space="1" w:color="auto"/>
          <w:left w:val="single" w:sz="4" w:space="4" w:color="auto"/>
          <w:bottom w:val="single" w:sz="4" w:space="1" w:color="auto"/>
          <w:right w:val="single" w:sz="4" w:space="4" w:color="auto"/>
        </w:pBdr>
        <w:spacing w:before="60" w:after="60" w:line="240" w:lineRule="auto"/>
        <w:ind w:left="567"/>
        <w:rPr>
          <w:i/>
          <w:sz w:val="20"/>
        </w:rPr>
      </w:pPr>
      <w:r>
        <w:rPr>
          <w:i/>
          <w:sz w:val="20"/>
        </w:rPr>
        <w:lastRenderedPageBreak/>
        <w:t>Einzelne Gemeinden verzichten zur Gänze darauf, Einfluss auf die Vergabe von geförderten Wo</w:t>
      </w:r>
      <w:r>
        <w:rPr>
          <w:i/>
          <w:sz w:val="20"/>
        </w:rPr>
        <w:t>h</w:t>
      </w:r>
      <w:r>
        <w:rPr>
          <w:i/>
          <w:sz w:val="20"/>
        </w:rPr>
        <w:t xml:space="preserve">nungen zu nehmen, und damit auch auf jede aktive Beteiligung an wohnpolitischen Maßnahmen. Das erscheint </w:t>
      </w:r>
      <w:r w:rsidR="00851907">
        <w:rPr>
          <w:i/>
          <w:sz w:val="20"/>
        </w:rPr>
        <w:t>sowohl unter armuts- als auch integrationspolitischen Gesichtspunkten als beden</w:t>
      </w:r>
      <w:r w:rsidR="00851907">
        <w:rPr>
          <w:i/>
          <w:sz w:val="20"/>
        </w:rPr>
        <w:t>k</w:t>
      </w:r>
      <w:r w:rsidR="00851907">
        <w:rPr>
          <w:i/>
          <w:sz w:val="20"/>
        </w:rPr>
        <w:t>lich und bedauerlich, weil es so zu einer selektiven Abwanderung (Problemtransfer) in die Ba</w:t>
      </w:r>
      <w:r w:rsidR="00851907">
        <w:rPr>
          <w:i/>
          <w:sz w:val="20"/>
        </w:rPr>
        <w:t>l</w:t>
      </w:r>
      <w:r w:rsidR="00851907">
        <w:rPr>
          <w:i/>
          <w:sz w:val="20"/>
        </w:rPr>
        <w:t>lungszentren kommt.</w:t>
      </w:r>
    </w:p>
    <w:p w:rsidR="003D47C8" w:rsidRDefault="003D47C8" w:rsidP="003D47C8">
      <w:pPr>
        <w:pBdr>
          <w:top w:val="single" w:sz="4" w:space="1" w:color="auto"/>
          <w:left w:val="single" w:sz="4" w:space="4" w:color="auto"/>
          <w:bottom w:val="single" w:sz="4" w:space="1" w:color="auto"/>
          <w:right w:val="single" w:sz="4" w:space="4" w:color="auto"/>
        </w:pBdr>
        <w:spacing w:before="60" w:after="60" w:line="240" w:lineRule="auto"/>
        <w:ind w:left="567"/>
        <w:jc w:val="right"/>
        <w:rPr>
          <w:i/>
          <w:sz w:val="20"/>
        </w:rPr>
      </w:pPr>
      <w:r>
        <w:rPr>
          <w:i/>
          <w:sz w:val="20"/>
        </w:rPr>
        <w:t>Gesprächsrunde mit ExpertInnen, Tirol</w:t>
      </w:r>
    </w:p>
    <w:p w:rsidR="00851907" w:rsidRDefault="00851907" w:rsidP="00851907">
      <w:pPr>
        <w:pBdr>
          <w:top w:val="single" w:sz="4" w:space="1" w:color="auto"/>
          <w:left w:val="single" w:sz="4" w:space="4" w:color="auto"/>
          <w:bottom w:val="single" w:sz="4" w:space="1" w:color="auto"/>
          <w:right w:val="single" w:sz="4" w:space="4" w:color="auto"/>
        </w:pBdr>
        <w:spacing w:before="60" w:after="60" w:line="240" w:lineRule="auto"/>
        <w:ind w:left="567"/>
        <w:rPr>
          <w:i/>
          <w:sz w:val="20"/>
        </w:rPr>
      </w:pPr>
      <w:r w:rsidRPr="00851907">
        <w:rPr>
          <w:i/>
          <w:sz w:val="20"/>
        </w:rPr>
        <w:t>Erfahrungsgemäß gibt es im städtischen Kontext eher mehr Druck, u.a. wenn die ländlichen G</w:t>
      </w:r>
      <w:r w:rsidRPr="00851907">
        <w:rPr>
          <w:i/>
          <w:sz w:val="20"/>
        </w:rPr>
        <w:t>e</w:t>
      </w:r>
      <w:r w:rsidRPr="00851907">
        <w:rPr>
          <w:i/>
          <w:sz w:val="20"/>
        </w:rPr>
        <w:t>meinden im Umland weniger Sozialleistungen (wie z.B. entsprechenden Wohnraum, Mietzinsbe</w:t>
      </w:r>
      <w:r w:rsidRPr="00851907">
        <w:rPr>
          <w:i/>
          <w:sz w:val="20"/>
        </w:rPr>
        <w:t>i</w:t>
      </w:r>
      <w:r w:rsidRPr="00851907">
        <w:rPr>
          <w:i/>
          <w:sz w:val="20"/>
        </w:rPr>
        <w:t>hilfen-Regelung etc.) anbieten; selektiver Zuzug führt zu Einseitigkeiten in der Gruppe der Wo</w:t>
      </w:r>
      <w:r w:rsidRPr="00851907">
        <w:rPr>
          <w:i/>
          <w:sz w:val="20"/>
        </w:rPr>
        <w:t>h</w:t>
      </w:r>
      <w:r w:rsidRPr="00851907">
        <w:rPr>
          <w:i/>
          <w:sz w:val="20"/>
        </w:rPr>
        <w:t>nungswerberInnen</w:t>
      </w:r>
      <w:r>
        <w:rPr>
          <w:i/>
          <w:sz w:val="20"/>
        </w:rPr>
        <w:t>.</w:t>
      </w:r>
    </w:p>
    <w:p w:rsidR="00851907" w:rsidRPr="00851907" w:rsidRDefault="00851907" w:rsidP="00851907">
      <w:pPr>
        <w:pBdr>
          <w:top w:val="single" w:sz="4" w:space="1" w:color="auto"/>
          <w:left w:val="single" w:sz="4" w:space="4" w:color="auto"/>
          <w:bottom w:val="single" w:sz="4" w:space="1" w:color="auto"/>
          <w:right w:val="single" w:sz="4" w:space="4" w:color="auto"/>
        </w:pBdr>
        <w:spacing w:before="60" w:after="60" w:line="240" w:lineRule="auto"/>
        <w:ind w:left="567"/>
        <w:jc w:val="right"/>
        <w:rPr>
          <w:i/>
          <w:sz w:val="18"/>
        </w:rPr>
      </w:pPr>
      <w:r>
        <w:rPr>
          <w:i/>
          <w:sz w:val="20"/>
        </w:rPr>
        <w:t>Interview Wohnungsvergabe, Tirol</w:t>
      </w:r>
    </w:p>
    <w:p w:rsidR="003D47C8" w:rsidRDefault="003D47C8" w:rsidP="00FD4A50"/>
    <w:p w:rsidR="003D47C8" w:rsidRPr="00FD4A50" w:rsidRDefault="00FC53B5" w:rsidP="003D47C8">
      <w:pPr>
        <w:pBdr>
          <w:top w:val="single" w:sz="4" w:space="1" w:color="auto"/>
          <w:left w:val="single" w:sz="4" w:space="4" w:color="auto"/>
          <w:bottom w:val="single" w:sz="4" w:space="1" w:color="auto"/>
          <w:right w:val="single" w:sz="4" w:space="4" w:color="auto"/>
        </w:pBdr>
        <w:spacing w:before="60" w:after="60" w:line="240" w:lineRule="auto"/>
        <w:ind w:left="567"/>
        <w:rPr>
          <w:i/>
          <w:sz w:val="20"/>
        </w:rPr>
      </w:pPr>
      <w:r>
        <w:rPr>
          <w:i/>
          <w:sz w:val="20"/>
        </w:rPr>
        <w:t xml:space="preserve">Vor einigen Jahren wurde im Rahmen des Gemeindewohnungsbestands ein Kontingent für die Wohnungsvergabe an Haushalte eingerichtet, die von sozialer Ausgrenzung / Wohnungslosigkeit betroffen sind. Regeln und </w:t>
      </w:r>
      <w:r w:rsidR="003D47C8">
        <w:rPr>
          <w:i/>
          <w:sz w:val="20"/>
        </w:rPr>
        <w:t xml:space="preserve">Vergabekriterien </w:t>
      </w:r>
      <w:r>
        <w:rPr>
          <w:i/>
          <w:sz w:val="20"/>
        </w:rPr>
        <w:t xml:space="preserve">wurden </w:t>
      </w:r>
      <w:r w:rsidR="003D47C8">
        <w:rPr>
          <w:i/>
          <w:sz w:val="20"/>
        </w:rPr>
        <w:t>in Kooperation mit Betreuungseinrich</w:t>
      </w:r>
      <w:r w:rsidR="00451D5C">
        <w:rPr>
          <w:i/>
          <w:sz w:val="20"/>
        </w:rPr>
        <w:t>t</w:t>
      </w:r>
      <w:r w:rsidR="003D47C8">
        <w:rPr>
          <w:i/>
          <w:sz w:val="20"/>
        </w:rPr>
        <w:t xml:space="preserve">ungen </w:t>
      </w:r>
      <w:r>
        <w:rPr>
          <w:i/>
          <w:sz w:val="20"/>
        </w:rPr>
        <w:t>erarbeitet, die in der Folge auch an der gremialen Beratung über jene Anträge beteiligt sind, die von betroffenen Personen direkt und unabhängig von laufenden Betreuungen eingebracht we</w:t>
      </w:r>
      <w:r>
        <w:rPr>
          <w:i/>
          <w:sz w:val="20"/>
        </w:rPr>
        <w:t>r</w:t>
      </w:r>
      <w:r>
        <w:rPr>
          <w:i/>
          <w:sz w:val="20"/>
        </w:rPr>
        <w:t>den.</w:t>
      </w:r>
    </w:p>
    <w:p w:rsidR="003D47C8" w:rsidRPr="00FD4A50" w:rsidRDefault="003D47C8" w:rsidP="003D47C8">
      <w:pPr>
        <w:pBdr>
          <w:top w:val="single" w:sz="4" w:space="1" w:color="auto"/>
          <w:left w:val="single" w:sz="4" w:space="4" w:color="auto"/>
          <w:bottom w:val="single" w:sz="4" w:space="1" w:color="auto"/>
          <w:right w:val="single" w:sz="4" w:space="4" w:color="auto"/>
        </w:pBdr>
        <w:spacing w:before="60" w:after="60" w:line="240" w:lineRule="auto"/>
        <w:ind w:left="567"/>
        <w:jc w:val="right"/>
        <w:rPr>
          <w:i/>
          <w:sz w:val="20"/>
        </w:rPr>
      </w:pPr>
      <w:r>
        <w:rPr>
          <w:i/>
          <w:sz w:val="20"/>
        </w:rPr>
        <w:t>Interview Wohnungsvergabe, Wien</w:t>
      </w:r>
    </w:p>
    <w:p w:rsidR="003D47C8" w:rsidRDefault="003D47C8" w:rsidP="00FD4A50"/>
    <w:p w:rsidR="000471CF" w:rsidRPr="000471CF" w:rsidRDefault="00EF060E" w:rsidP="000471CF">
      <w:pPr>
        <w:pBdr>
          <w:top w:val="single" w:sz="4" w:space="1" w:color="auto"/>
          <w:left w:val="single" w:sz="4" w:space="4" w:color="auto"/>
          <w:bottom w:val="single" w:sz="4" w:space="1" w:color="auto"/>
          <w:right w:val="single" w:sz="4" w:space="4" w:color="auto"/>
        </w:pBdr>
        <w:spacing w:before="60" w:after="60" w:line="240" w:lineRule="auto"/>
        <w:ind w:left="567"/>
        <w:rPr>
          <w:rFonts w:ascii="Times New Roman" w:hAnsi="Times New Roman"/>
          <w:i/>
          <w:lang w:val="de-AT" w:eastAsia="de-AT"/>
        </w:rPr>
      </w:pPr>
      <w:r w:rsidRPr="00EF060E">
        <w:rPr>
          <w:i/>
          <w:sz w:val="20"/>
          <w:u w:val="single"/>
        </w:rPr>
        <w:t>Vergaberegeln und Kriterien im Bereich des Betreuten Wohnens</w:t>
      </w:r>
      <w:r w:rsidRPr="00EF060E">
        <w:rPr>
          <w:i/>
          <w:sz w:val="20"/>
        </w:rPr>
        <w:t>:</w:t>
      </w:r>
      <w:r>
        <w:rPr>
          <w:sz w:val="20"/>
        </w:rPr>
        <w:t xml:space="preserve"> </w:t>
      </w:r>
      <w:r w:rsidR="000471CF" w:rsidRPr="000471CF">
        <w:rPr>
          <w:i/>
          <w:sz w:val="20"/>
          <w:lang w:val="de-AT" w:eastAsia="de-AT"/>
        </w:rPr>
        <w:t xml:space="preserve">Die Mietverträge werden </w:t>
      </w:r>
      <w:r w:rsidR="006D221D">
        <w:rPr>
          <w:i/>
          <w:sz w:val="20"/>
          <w:lang w:val="de-AT" w:eastAsia="de-AT"/>
        </w:rPr>
        <w:t xml:space="preserve">bei uns </w:t>
      </w:r>
      <w:r w:rsidR="000471CF" w:rsidRPr="000471CF">
        <w:rPr>
          <w:i/>
          <w:sz w:val="20"/>
          <w:lang w:val="de-AT" w:eastAsia="de-AT"/>
        </w:rPr>
        <w:t>in der Regel an die Frauen vergeben.</w:t>
      </w:r>
      <w:r>
        <w:rPr>
          <w:i/>
          <w:sz w:val="20"/>
          <w:lang w:val="de-AT" w:eastAsia="de-AT"/>
        </w:rPr>
        <w:t xml:space="preserve"> </w:t>
      </w:r>
      <w:r w:rsidR="000471CF" w:rsidRPr="000471CF">
        <w:rPr>
          <w:i/>
          <w:sz w:val="20"/>
          <w:lang w:val="de-AT" w:eastAsia="de-AT"/>
        </w:rPr>
        <w:t>Angeboten werden Übergangswohnungen und Wohng</w:t>
      </w:r>
      <w:r w:rsidR="000471CF" w:rsidRPr="000471CF">
        <w:rPr>
          <w:i/>
          <w:sz w:val="20"/>
          <w:lang w:val="de-AT" w:eastAsia="de-AT"/>
        </w:rPr>
        <w:t>e</w:t>
      </w:r>
      <w:r w:rsidR="000471CF" w:rsidRPr="000471CF">
        <w:rPr>
          <w:i/>
          <w:sz w:val="20"/>
          <w:lang w:val="de-AT" w:eastAsia="de-AT"/>
        </w:rPr>
        <w:t>meinschaften für wohnungslose und von Wohnungslosigkeit bedrohte Frauen und Familien, deren Inanspruchnahme an die Betreuung durch diplomierte SozialarbeiterInnen geknüpft ist. Die Schwerpunkte der Betreuung liegen in der Stabilisierung der persönlichen Lebenssituation, der Unterstützung beim Selbstständig-Wohnen-Lernen, der Abklärung der finanziellen Situation, der Hilfestellung bei der Erhaltung oder Erlangung eines Arbeitsplatzes, dem Kontakt zu anderen Ei</w:t>
      </w:r>
      <w:r w:rsidR="000471CF" w:rsidRPr="000471CF">
        <w:rPr>
          <w:i/>
          <w:sz w:val="20"/>
          <w:lang w:val="de-AT" w:eastAsia="de-AT"/>
        </w:rPr>
        <w:t>n</w:t>
      </w:r>
      <w:r w:rsidR="000471CF" w:rsidRPr="000471CF">
        <w:rPr>
          <w:i/>
          <w:sz w:val="20"/>
          <w:lang w:val="de-AT" w:eastAsia="de-AT"/>
        </w:rPr>
        <w:t>richtungen. Ziel ist die Verbesserung der Lebenssituation, sodass die KlientInnen wieder in eine eigene Wohnung einziehen können.</w:t>
      </w:r>
    </w:p>
    <w:p w:rsidR="000471CF" w:rsidRDefault="000471CF" w:rsidP="000471CF">
      <w:pPr>
        <w:pBdr>
          <w:top w:val="single" w:sz="4" w:space="1" w:color="auto"/>
          <w:left w:val="single" w:sz="4" w:space="4" w:color="auto"/>
          <w:bottom w:val="single" w:sz="4" w:space="1" w:color="auto"/>
          <w:right w:val="single" w:sz="4" w:space="4" w:color="auto"/>
        </w:pBdr>
        <w:spacing w:before="60" w:after="60" w:line="240" w:lineRule="auto"/>
        <w:ind w:left="567"/>
        <w:rPr>
          <w:i/>
          <w:sz w:val="20"/>
          <w:lang w:val="de-AT" w:eastAsia="de-AT"/>
        </w:rPr>
      </w:pPr>
      <w:r w:rsidRPr="000471CF">
        <w:rPr>
          <w:b/>
          <w:bCs/>
          <w:i/>
          <w:sz w:val="20"/>
          <w:lang w:val="de-AT" w:eastAsia="de-AT"/>
        </w:rPr>
        <w:t>Aufnahmekriterien</w:t>
      </w:r>
      <w:r w:rsidRPr="000471CF">
        <w:rPr>
          <w:b/>
          <w:bCs/>
          <w:i/>
          <w:color w:val="000080"/>
          <w:sz w:val="20"/>
          <w:lang w:val="de-AT" w:eastAsia="de-AT"/>
        </w:rPr>
        <w:t xml:space="preserve">: </w:t>
      </w:r>
      <w:r w:rsidRPr="000471CF">
        <w:rPr>
          <w:i/>
          <w:sz w:val="20"/>
          <w:lang w:val="de-AT" w:eastAsia="de-AT"/>
        </w:rPr>
        <w:t xml:space="preserve">Betreuungsbedürftigkeit; </w:t>
      </w:r>
      <w:r w:rsidR="006D221D" w:rsidRPr="000471CF">
        <w:rPr>
          <w:i/>
          <w:sz w:val="20"/>
          <w:lang w:val="de-AT" w:eastAsia="de-AT"/>
        </w:rPr>
        <w:t>Mindestalter: 17 Jahre; regelmäßige Einkünfte; keine aktuelle Suchtproblematik</w:t>
      </w:r>
      <w:r w:rsidR="006D221D">
        <w:rPr>
          <w:i/>
          <w:sz w:val="20"/>
          <w:lang w:val="de-AT" w:eastAsia="de-AT"/>
        </w:rPr>
        <w:t xml:space="preserve">; Voraussetzung für eine Aufnahme ist die </w:t>
      </w:r>
      <w:r w:rsidR="006D221D" w:rsidRPr="000471CF">
        <w:rPr>
          <w:i/>
          <w:sz w:val="20"/>
          <w:lang w:val="de-AT" w:eastAsia="de-AT"/>
        </w:rPr>
        <w:t xml:space="preserve">österreichische </w:t>
      </w:r>
      <w:r w:rsidRPr="000471CF">
        <w:rPr>
          <w:i/>
          <w:sz w:val="20"/>
          <w:lang w:val="de-AT" w:eastAsia="de-AT"/>
        </w:rPr>
        <w:t>Staat</w:t>
      </w:r>
      <w:r w:rsidRPr="000471CF">
        <w:rPr>
          <w:i/>
          <w:sz w:val="20"/>
          <w:lang w:val="de-AT" w:eastAsia="de-AT"/>
        </w:rPr>
        <w:t>s</w:t>
      </w:r>
      <w:r w:rsidRPr="000471CF">
        <w:rPr>
          <w:i/>
          <w:sz w:val="20"/>
          <w:lang w:val="de-AT" w:eastAsia="de-AT"/>
        </w:rPr>
        <w:t xml:space="preserve">bürgerschaft </w:t>
      </w:r>
      <w:r w:rsidRPr="000471CF">
        <w:rPr>
          <w:i/>
          <w:iCs/>
          <w:sz w:val="20"/>
          <w:lang w:val="de-AT" w:eastAsia="de-AT"/>
        </w:rPr>
        <w:t>oder</w:t>
      </w:r>
      <w:r w:rsidRPr="000471CF">
        <w:rPr>
          <w:i/>
          <w:sz w:val="20"/>
          <w:lang w:val="de-AT" w:eastAsia="de-AT"/>
        </w:rPr>
        <w:t xml:space="preserve"> Anerkennung als Konventionsflüchtling </w:t>
      </w:r>
      <w:r w:rsidRPr="000471CF">
        <w:rPr>
          <w:i/>
          <w:iCs/>
          <w:sz w:val="20"/>
          <w:lang w:val="de-AT" w:eastAsia="de-AT"/>
        </w:rPr>
        <w:t>oder</w:t>
      </w:r>
      <w:r w:rsidRPr="000471CF">
        <w:rPr>
          <w:i/>
          <w:sz w:val="20"/>
          <w:lang w:val="de-AT" w:eastAsia="de-AT"/>
        </w:rPr>
        <w:t xml:space="preserve"> Zusicherungsbescheid zur Erla</w:t>
      </w:r>
      <w:r w:rsidRPr="000471CF">
        <w:rPr>
          <w:i/>
          <w:sz w:val="20"/>
          <w:lang w:val="de-AT" w:eastAsia="de-AT"/>
        </w:rPr>
        <w:t>n</w:t>
      </w:r>
      <w:r w:rsidRPr="000471CF">
        <w:rPr>
          <w:i/>
          <w:sz w:val="20"/>
          <w:lang w:val="de-AT" w:eastAsia="de-AT"/>
        </w:rPr>
        <w:t xml:space="preserve">gung der österreichischen Staatsbürgerschaft </w:t>
      </w:r>
      <w:r w:rsidRPr="000471CF">
        <w:rPr>
          <w:i/>
          <w:iCs/>
          <w:sz w:val="20"/>
          <w:lang w:val="de-AT" w:eastAsia="de-AT"/>
        </w:rPr>
        <w:t>oder</w:t>
      </w:r>
      <w:r w:rsidRPr="000471CF">
        <w:rPr>
          <w:i/>
          <w:sz w:val="20"/>
          <w:lang w:val="de-AT" w:eastAsia="de-AT"/>
        </w:rPr>
        <w:t xml:space="preserve"> EU-Staatsbü</w:t>
      </w:r>
      <w:r w:rsidR="006D221D">
        <w:rPr>
          <w:i/>
          <w:sz w:val="20"/>
          <w:lang w:val="de-AT" w:eastAsia="de-AT"/>
        </w:rPr>
        <w:t>r</w:t>
      </w:r>
      <w:r w:rsidRPr="000471CF">
        <w:rPr>
          <w:i/>
          <w:sz w:val="20"/>
          <w:lang w:val="de-AT" w:eastAsia="de-AT"/>
        </w:rPr>
        <w:t xml:space="preserve">gerschaft; </w:t>
      </w:r>
      <w:r>
        <w:rPr>
          <w:i/>
          <w:sz w:val="20"/>
          <w:lang w:val="de-AT" w:eastAsia="de-AT"/>
        </w:rPr>
        <w:t xml:space="preserve">Drittstaatsangehörige </w:t>
      </w:r>
      <w:r w:rsidR="006D221D">
        <w:rPr>
          <w:i/>
          <w:sz w:val="20"/>
          <w:lang w:val="de-AT" w:eastAsia="de-AT"/>
        </w:rPr>
        <w:t>können aufgenommen werden, wenn sie</w:t>
      </w:r>
      <w:r>
        <w:rPr>
          <w:i/>
          <w:sz w:val="20"/>
          <w:lang w:val="de-AT" w:eastAsia="de-AT"/>
        </w:rPr>
        <w:t xml:space="preserve"> eine Aufenthaltsbewilligung für die voraussichtliche Dauer der Unterbringung</w:t>
      </w:r>
      <w:r w:rsidR="006D221D">
        <w:rPr>
          <w:i/>
          <w:sz w:val="20"/>
          <w:lang w:val="de-AT" w:eastAsia="de-AT"/>
        </w:rPr>
        <w:t xml:space="preserve"> vorweisen können</w:t>
      </w:r>
      <w:r>
        <w:rPr>
          <w:i/>
          <w:sz w:val="20"/>
          <w:lang w:val="de-AT" w:eastAsia="de-AT"/>
        </w:rPr>
        <w:t>.</w:t>
      </w:r>
    </w:p>
    <w:p w:rsidR="000471CF" w:rsidRPr="000471CF" w:rsidRDefault="000471CF" w:rsidP="000471CF">
      <w:pPr>
        <w:pBdr>
          <w:top w:val="single" w:sz="4" w:space="1" w:color="auto"/>
          <w:left w:val="single" w:sz="4" w:space="4" w:color="auto"/>
          <w:bottom w:val="single" w:sz="4" w:space="1" w:color="auto"/>
          <w:right w:val="single" w:sz="4" w:space="4" w:color="auto"/>
        </w:pBdr>
        <w:spacing w:before="60" w:after="60" w:line="240" w:lineRule="auto"/>
        <w:ind w:left="567"/>
        <w:jc w:val="right"/>
        <w:rPr>
          <w:rFonts w:ascii="Times New Roman" w:hAnsi="Times New Roman"/>
          <w:i/>
          <w:lang w:val="de-AT" w:eastAsia="de-AT"/>
        </w:rPr>
      </w:pPr>
      <w:r>
        <w:rPr>
          <w:i/>
          <w:sz w:val="20"/>
          <w:lang w:val="de-AT" w:eastAsia="de-AT"/>
        </w:rPr>
        <w:t>Interview Wohnungslosenhilfe, Wien</w:t>
      </w:r>
    </w:p>
    <w:p w:rsidR="00FD4A50" w:rsidRPr="000471CF" w:rsidRDefault="00FD4A50">
      <w:pPr>
        <w:rPr>
          <w:lang w:val="de-AT"/>
        </w:rPr>
      </w:pPr>
    </w:p>
    <w:p w:rsidR="002A3A24" w:rsidRDefault="002A3A24">
      <w:pPr>
        <w:spacing w:before="180" w:after="240" w:line="336" w:lineRule="auto"/>
        <w:jc w:val="center"/>
        <w:rPr>
          <w:rFonts w:eastAsiaTheme="majorEastAsia" w:cstheme="majorBidi"/>
          <w:b/>
          <w:bCs/>
          <w:color w:val="4F81BD" w:themeColor="accent1"/>
          <w:lang w:val="de-AT"/>
        </w:rPr>
      </w:pPr>
      <w:r>
        <w:br w:type="page"/>
      </w:r>
    </w:p>
    <w:p w:rsidR="00391535" w:rsidRDefault="00391535" w:rsidP="002A3A24">
      <w:pPr>
        <w:pStyle w:val="IntensivesAnfhrungszeichen"/>
        <w:numPr>
          <w:ilvl w:val="0"/>
          <w:numId w:val="31"/>
        </w:numPr>
        <w:ind w:left="2268" w:hanging="972"/>
        <w:jc w:val="right"/>
      </w:pPr>
      <w:r>
        <w:lastRenderedPageBreak/>
        <w:t xml:space="preserve">Leitlinien und Zielvorgaben für die </w:t>
      </w:r>
      <w:r w:rsidR="002A3A24">
        <w:br/>
      </w:r>
      <w:r>
        <w:t>Gleichbehandlung auf dem Wohnungsmarkt</w:t>
      </w:r>
    </w:p>
    <w:p w:rsidR="005A0DF5" w:rsidRDefault="00C1409E">
      <w:pPr>
        <w:rPr>
          <w:lang w:val="de-AT"/>
        </w:rPr>
      </w:pPr>
      <w:r>
        <w:rPr>
          <w:lang w:val="de-AT"/>
        </w:rPr>
        <w:br/>
      </w:r>
      <w:r w:rsidR="005A0DF5">
        <w:rPr>
          <w:lang w:val="de-AT"/>
        </w:rPr>
        <w:t xml:space="preserve">Der Zugang zu öffentlichem Wohnraum ist, wie oben vorgestellt, zu wesentlichen Teilen durch mehr / minder ausdifferenzierte Regelwerke bestimmt. Daneben bleiben jedoch zu erheblichen Anteilen Spielräume für ideelle bis stadtplanerische Gesichtspunkte </w:t>
      </w:r>
      <w:r w:rsidR="00FA7607">
        <w:rPr>
          <w:lang w:val="de-AT"/>
        </w:rPr>
        <w:t>gegeben</w:t>
      </w:r>
      <w:r w:rsidR="00F33382">
        <w:rPr>
          <w:lang w:val="de-AT"/>
        </w:rPr>
        <w:t xml:space="preserve">. </w:t>
      </w:r>
    </w:p>
    <w:p w:rsidR="00915107" w:rsidRDefault="005A0DF5">
      <w:pPr>
        <w:rPr>
          <w:lang w:val="de-AT"/>
        </w:rPr>
      </w:pPr>
      <w:r>
        <w:rPr>
          <w:lang w:val="de-AT"/>
        </w:rPr>
        <w:t xml:space="preserve">Im Rahmen der Online-Fragebogenerhebung </w:t>
      </w:r>
      <w:r w:rsidR="00C1409E">
        <w:rPr>
          <w:lang w:val="de-AT"/>
        </w:rPr>
        <w:t xml:space="preserve">wurden den RespondentInnen mehrere </w:t>
      </w:r>
      <w:r w:rsidR="00921913">
        <w:rPr>
          <w:lang w:val="de-AT"/>
        </w:rPr>
        <w:t>pointie</w:t>
      </w:r>
      <w:r w:rsidR="00921913">
        <w:rPr>
          <w:lang w:val="de-AT"/>
        </w:rPr>
        <w:t>r</w:t>
      </w:r>
      <w:r w:rsidR="00921913">
        <w:rPr>
          <w:lang w:val="de-AT"/>
        </w:rPr>
        <w:t>te</w:t>
      </w:r>
      <w:r w:rsidR="00C1409E">
        <w:rPr>
          <w:lang w:val="de-AT"/>
        </w:rPr>
        <w:t xml:space="preserve"> Aussagen </w:t>
      </w:r>
      <w:r>
        <w:rPr>
          <w:lang w:val="de-AT"/>
        </w:rPr>
        <w:t xml:space="preserve">zu exemplarischen Zielvorstellungen bzw. stadtplanerisch relevanten Leitbildern </w:t>
      </w:r>
      <w:r w:rsidR="00915107">
        <w:rPr>
          <w:lang w:val="de-AT"/>
        </w:rPr>
        <w:t xml:space="preserve">wie etwa zur Förderung von Integration und zur Vermeidung von Ghettoisierung </w:t>
      </w:r>
      <w:r w:rsidR="00C1409E">
        <w:rPr>
          <w:lang w:val="de-AT"/>
        </w:rPr>
        <w:t>vorgelegt</w:t>
      </w:r>
      <w:r w:rsidR="00FA7607">
        <w:rPr>
          <w:lang w:val="de-AT"/>
        </w:rPr>
        <w:t xml:space="preserve">. </w:t>
      </w:r>
      <w:r w:rsidR="00915107">
        <w:rPr>
          <w:lang w:val="de-AT"/>
        </w:rPr>
        <w:br/>
      </w:r>
    </w:p>
    <w:p w:rsidR="009A730C" w:rsidRPr="0018340B" w:rsidRDefault="0018340B">
      <w:pPr>
        <w:rPr>
          <w:rStyle w:val="SchwacherVerweis"/>
        </w:rPr>
      </w:pPr>
      <w:r>
        <w:rPr>
          <w:rStyle w:val="SchwacherVerweis"/>
        </w:rPr>
        <w:t xml:space="preserve">Grafik 20: </w:t>
      </w:r>
      <w:r w:rsidR="006F6038">
        <w:rPr>
          <w:rStyle w:val="SchwacherVerweis"/>
        </w:rPr>
        <w:t>inhaltliche Zielbestimmungen und Leitsätze für die Wohnungsvergabe</w:t>
      </w:r>
    </w:p>
    <w:p w:rsidR="0018340B" w:rsidRDefault="0018340B">
      <w:pPr>
        <w:rPr>
          <w:lang w:val="de-AT"/>
        </w:rPr>
      </w:pPr>
      <w:r w:rsidRPr="0018340B">
        <w:rPr>
          <w:noProof/>
          <w:lang w:val="de-AT" w:eastAsia="de-AT"/>
        </w:rPr>
        <w:drawing>
          <wp:inline distT="0" distB="0" distL="0" distR="0">
            <wp:extent cx="5851525" cy="5004839"/>
            <wp:effectExtent l="19050" t="0" r="15875" b="5311"/>
            <wp:docPr id="17"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915107" w:rsidRDefault="00915107">
      <w:pPr>
        <w:spacing w:before="180" w:after="240" w:line="336" w:lineRule="auto"/>
        <w:jc w:val="center"/>
        <w:rPr>
          <w:lang w:val="de-AT"/>
        </w:rPr>
      </w:pPr>
      <w:r>
        <w:rPr>
          <w:lang w:val="de-AT"/>
        </w:rPr>
        <w:br w:type="page"/>
      </w:r>
    </w:p>
    <w:p w:rsidR="00915107" w:rsidRDefault="00915107" w:rsidP="00915107">
      <w:pPr>
        <w:rPr>
          <w:lang w:val="de-AT"/>
        </w:rPr>
      </w:pPr>
      <w:r>
        <w:rPr>
          <w:lang w:val="de-AT"/>
        </w:rPr>
        <w:lastRenderedPageBreak/>
        <w:t xml:space="preserve">Die TeilnehmerInnen an der Fragebogenerhebung wurden gebeten, diese Zielbestimmungen </w:t>
      </w:r>
      <w:r>
        <w:rPr>
          <w:rStyle w:val="Funotenzeichen"/>
          <w:lang w:val="de-AT"/>
        </w:rPr>
        <w:footnoteReference w:id="19"/>
      </w:r>
      <w:r>
        <w:rPr>
          <w:lang w:val="de-AT"/>
        </w:rPr>
        <w:t>danach zu bewerten, ob bzw. inwieweit diese eine handlungsleitende Grundlage ihrer Verg</w:t>
      </w:r>
      <w:r>
        <w:rPr>
          <w:lang w:val="de-AT"/>
        </w:rPr>
        <w:t>a</w:t>
      </w:r>
      <w:r>
        <w:rPr>
          <w:lang w:val="de-AT"/>
        </w:rPr>
        <w:t>bepraxis darstellen.</w:t>
      </w:r>
    </w:p>
    <w:p w:rsidR="006F6038" w:rsidRDefault="002C0B5F">
      <w:pPr>
        <w:rPr>
          <w:lang w:val="de-AT"/>
        </w:rPr>
      </w:pPr>
      <w:r>
        <w:rPr>
          <w:lang w:val="de-AT"/>
        </w:rPr>
        <w:t>Die grafische Zusammenschau der Ergebnisse verdeutlicht eine klare Hierarchie in den Wert- und Zielvorstellungen, die gewissermaßen den ideellen (weichen) Rahmen für die konkreten Vergabeaktivitäten von Wohnungsämtern, gemeinnützigen und privaten Bauträgern sowie wohnungsmarktrelevanten Beratungseinrichtungen bestimmen.</w:t>
      </w:r>
    </w:p>
    <w:p w:rsidR="002C0B5F" w:rsidRDefault="00D406B2">
      <w:pPr>
        <w:rPr>
          <w:lang w:val="de-AT"/>
        </w:rPr>
      </w:pPr>
      <w:r>
        <w:rPr>
          <w:lang w:val="de-AT"/>
        </w:rPr>
        <w:t xml:space="preserve">Die </w:t>
      </w:r>
      <w:r w:rsidR="002C0B5F">
        <w:rPr>
          <w:lang w:val="de-AT"/>
        </w:rPr>
        <w:t xml:space="preserve">Ziele, Ghettobildung zur vermeiden und Integration zu fördern, </w:t>
      </w:r>
      <w:r>
        <w:rPr>
          <w:lang w:val="de-AT"/>
        </w:rPr>
        <w:t xml:space="preserve">liegen </w:t>
      </w:r>
      <w:r w:rsidR="002C0B5F">
        <w:rPr>
          <w:lang w:val="de-AT"/>
        </w:rPr>
        <w:t>mit einer Zusti</w:t>
      </w:r>
      <w:r w:rsidR="002C0B5F">
        <w:rPr>
          <w:lang w:val="de-AT"/>
        </w:rPr>
        <w:t>m</w:t>
      </w:r>
      <w:r w:rsidR="002C0B5F">
        <w:rPr>
          <w:lang w:val="de-AT"/>
        </w:rPr>
        <w:t>mungsrate von etwa 90% an oberster Stelle im Ranking. Bereits einigen Abstand dazu weist die Problemfeststellung auf, wonach zu hohe Anteile von Nicht-ÖsterreicherInnen in der Haus- bis Siedlungsgemeinschaft zur Entwicklung von Parallelgesellschaften führen könnten</w:t>
      </w:r>
      <w:r w:rsidR="00F33382">
        <w:rPr>
          <w:lang w:val="de-AT"/>
        </w:rPr>
        <w:t xml:space="preserve"> </w:t>
      </w:r>
      <w:r w:rsidR="002C0B5F">
        <w:rPr>
          <w:lang w:val="de-AT"/>
        </w:rPr>
        <w:t xml:space="preserve">(71%). </w:t>
      </w:r>
    </w:p>
    <w:p w:rsidR="002C0B5F" w:rsidRDefault="00F33382">
      <w:pPr>
        <w:rPr>
          <w:lang w:val="de-AT"/>
        </w:rPr>
      </w:pPr>
      <w:r>
        <w:rPr>
          <w:lang w:val="de-AT"/>
        </w:rPr>
        <w:t>Die zur Bewertung vorgelegten Vorschläge</w:t>
      </w:r>
      <w:r w:rsidR="002C0B5F">
        <w:rPr>
          <w:lang w:val="de-AT"/>
        </w:rPr>
        <w:t>, externe Beratungsstellen zur Unterstützung der Integration von Nich</w:t>
      </w:r>
      <w:r>
        <w:rPr>
          <w:lang w:val="de-AT"/>
        </w:rPr>
        <w:t>t-ÖsterreicherInnen beizuziehen</w:t>
      </w:r>
      <w:r w:rsidR="002C0B5F">
        <w:rPr>
          <w:lang w:val="de-AT"/>
        </w:rPr>
        <w:t xml:space="preserve"> </w:t>
      </w:r>
      <w:r>
        <w:rPr>
          <w:lang w:val="de-AT"/>
        </w:rPr>
        <w:t>bzw.</w:t>
      </w:r>
      <w:r w:rsidR="002C0B5F">
        <w:rPr>
          <w:lang w:val="de-AT"/>
        </w:rPr>
        <w:t xml:space="preserve"> bei der Wohnungsvergabe </w:t>
      </w:r>
      <w:r w:rsidR="00D406B2">
        <w:rPr>
          <w:lang w:val="de-AT"/>
        </w:rPr>
        <w:t>zu übe</w:t>
      </w:r>
      <w:r w:rsidR="00D406B2">
        <w:rPr>
          <w:lang w:val="de-AT"/>
        </w:rPr>
        <w:t>r</w:t>
      </w:r>
      <w:r w:rsidR="00D406B2">
        <w:rPr>
          <w:lang w:val="de-AT"/>
        </w:rPr>
        <w:t xml:space="preserve">prüfen, ob </w:t>
      </w:r>
      <w:r w:rsidR="002C0B5F">
        <w:rPr>
          <w:lang w:val="de-AT"/>
        </w:rPr>
        <w:t xml:space="preserve">die WohnungswerberInnen in die Hausgemeinschaft </w:t>
      </w:r>
      <w:r w:rsidR="00D406B2">
        <w:rPr>
          <w:lang w:val="de-AT"/>
        </w:rPr>
        <w:t>passen</w:t>
      </w:r>
      <w:r w:rsidR="002C0B5F">
        <w:rPr>
          <w:lang w:val="de-AT"/>
        </w:rPr>
        <w:t>, finden bei jeweils mehr als der Hälfte der RespondentInnen Zustimmung. Demgegenüber sinkt die Zusti</w:t>
      </w:r>
      <w:r w:rsidR="002C0B5F">
        <w:rPr>
          <w:lang w:val="de-AT"/>
        </w:rPr>
        <w:t>m</w:t>
      </w:r>
      <w:r w:rsidR="002C0B5F">
        <w:rPr>
          <w:lang w:val="de-AT"/>
        </w:rPr>
        <w:t>mungsquote für den Vorschlag</w:t>
      </w:r>
      <w:r w:rsidRPr="00F33382">
        <w:rPr>
          <w:lang w:val="de-AT"/>
        </w:rPr>
        <w:t xml:space="preserve"> </w:t>
      </w:r>
      <w:r>
        <w:rPr>
          <w:lang w:val="de-AT"/>
        </w:rPr>
        <w:t>bereits deutlich ab (44%)</w:t>
      </w:r>
      <w:r w:rsidR="002C0B5F">
        <w:rPr>
          <w:lang w:val="de-AT"/>
        </w:rPr>
        <w:t>, die Kriterien zum Migrationshi</w:t>
      </w:r>
      <w:r w:rsidR="002C0B5F">
        <w:rPr>
          <w:lang w:val="de-AT"/>
        </w:rPr>
        <w:t>n</w:t>
      </w:r>
      <w:r w:rsidR="002C0B5F">
        <w:rPr>
          <w:lang w:val="de-AT"/>
        </w:rPr>
        <w:t xml:space="preserve">tergrund durch </w:t>
      </w:r>
      <w:r w:rsidR="008C0EDD">
        <w:rPr>
          <w:lang w:val="de-AT"/>
        </w:rPr>
        <w:t xml:space="preserve">die Berücksichtigung </w:t>
      </w:r>
      <w:r w:rsidR="002C0B5F">
        <w:rPr>
          <w:lang w:val="de-AT"/>
        </w:rPr>
        <w:t>ethnische</w:t>
      </w:r>
      <w:r w:rsidR="008C0EDD">
        <w:rPr>
          <w:lang w:val="de-AT"/>
        </w:rPr>
        <w:t>r</w:t>
      </w:r>
      <w:r w:rsidR="002C0B5F">
        <w:rPr>
          <w:lang w:val="de-AT"/>
        </w:rPr>
        <w:t>, sprachliche</w:t>
      </w:r>
      <w:r w:rsidR="008C0EDD">
        <w:rPr>
          <w:lang w:val="de-AT"/>
        </w:rPr>
        <w:t>r</w:t>
      </w:r>
      <w:r w:rsidR="002C0B5F">
        <w:rPr>
          <w:lang w:val="de-AT"/>
        </w:rPr>
        <w:t>, religiöse</w:t>
      </w:r>
      <w:r w:rsidR="008C0EDD">
        <w:rPr>
          <w:lang w:val="de-AT"/>
        </w:rPr>
        <w:t>r</w:t>
      </w:r>
      <w:r w:rsidR="002C0B5F">
        <w:rPr>
          <w:lang w:val="de-AT"/>
        </w:rPr>
        <w:t xml:space="preserve"> etc. Merkmale </w:t>
      </w:r>
      <w:r w:rsidR="00D406B2">
        <w:rPr>
          <w:lang w:val="de-AT"/>
        </w:rPr>
        <w:t>zu e</w:t>
      </w:r>
      <w:r w:rsidR="00D406B2">
        <w:rPr>
          <w:lang w:val="de-AT"/>
        </w:rPr>
        <w:t>r</w:t>
      </w:r>
      <w:r w:rsidR="00D406B2">
        <w:rPr>
          <w:lang w:val="de-AT"/>
        </w:rPr>
        <w:t xml:space="preserve">weitern und </w:t>
      </w:r>
      <w:r w:rsidR="008C0EDD">
        <w:rPr>
          <w:lang w:val="de-AT"/>
        </w:rPr>
        <w:t>differenziert</w:t>
      </w:r>
      <w:r w:rsidR="00D406B2">
        <w:rPr>
          <w:lang w:val="de-AT"/>
        </w:rPr>
        <w:t>er als derzeit gültig</w:t>
      </w:r>
      <w:r>
        <w:rPr>
          <w:lang w:val="de-AT"/>
        </w:rPr>
        <w:t xml:space="preserve"> zu gestalten</w:t>
      </w:r>
      <w:r w:rsidR="008C0EDD">
        <w:rPr>
          <w:lang w:val="de-AT"/>
        </w:rPr>
        <w:t>.</w:t>
      </w:r>
    </w:p>
    <w:p w:rsidR="008C0EDD" w:rsidRDefault="008C0EDD">
      <w:pPr>
        <w:rPr>
          <w:lang w:val="de-AT"/>
        </w:rPr>
      </w:pPr>
      <w:r>
        <w:rPr>
          <w:lang w:val="de-AT"/>
        </w:rPr>
        <w:t>Weitgehende Ablehnung findet hier die Vorstellung, im Rahmen der Entscheidungsfindung auch die Bereitschaft der WohnungswerberInnen zu überprüfen, sich in die Hausgemeinschaft zu integrieren / anzupassen. Lediglich 18% der RespondentInnen können dieser Vorstellung etwas Positives abgewinnen.</w:t>
      </w:r>
      <w:r>
        <w:rPr>
          <w:lang w:val="de-AT"/>
        </w:rPr>
        <w:br/>
      </w:r>
    </w:p>
    <w:p w:rsidR="00183DE4" w:rsidRDefault="00183DE4">
      <w:pPr>
        <w:spacing w:before="180" w:after="240" w:line="336" w:lineRule="auto"/>
        <w:jc w:val="center"/>
        <w:rPr>
          <w:rFonts w:eastAsiaTheme="majorEastAsia" w:cstheme="majorBidi"/>
          <w:b/>
          <w:bCs/>
          <w:color w:val="4F81BD" w:themeColor="accent1"/>
          <w:lang w:val="de-AT"/>
        </w:rPr>
      </w:pPr>
      <w:r>
        <w:br w:type="page"/>
      </w:r>
    </w:p>
    <w:p w:rsidR="003F734C" w:rsidRPr="003F734C" w:rsidRDefault="00F33382" w:rsidP="00183DE4">
      <w:pPr>
        <w:pStyle w:val="berschrift3"/>
      </w:pPr>
      <w:r>
        <w:lastRenderedPageBreak/>
        <w:t>3</w:t>
      </w:r>
      <w:r w:rsidR="003F734C" w:rsidRPr="003F734C">
        <w:t>.1</w:t>
      </w:r>
      <w:r w:rsidR="003F734C" w:rsidRPr="003F734C">
        <w:tab/>
        <w:t>Unterschiedliche Ausprägung der Leitbilder nach Einrichtungsart</w:t>
      </w:r>
    </w:p>
    <w:p w:rsidR="008C0EDD" w:rsidRDefault="00183DE4">
      <w:pPr>
        <w:rPr>
          <w:lang w:val="de-AT"/>
        </w:rPr>
      </w:pPr>
      <w:r>
        <w:rPr>
          <w:lang w:val="de-AT"/>
        </w:rPr>
        <w:br/>
      </w:r>
      <w:r w:rsidR="008C0EDD">
        <w:rPr>
          <w:lang w:val="de-AT"/>
        </w:rPr>
        <w:t>In den nachstehenden Grafiken wird jeweils eine Unterscheidung nach der Art der befragten Einrichtungen vorgenommen, sodass hier auch die z.T. erheblichen Unterschiede in den han</w:t>
      </w:r>
      <w:r w:rsidR="008C0EDD">
        <w:rPr>
          <w:lang w:val="de-AT"/>
        </w:rPr>
        <w:t>d</w:t>
      </w:r>
      <w:r w:rsidR="008C0EDD">
        <w:rPr>
          <w:lang w:val="de-AT"/>
        </w:rPr>
        <w:t>lungsleitenden Leitsätzen und Zielvorstellungen deutlich werden.</w:t>
      </w:r>
      <w:r w:rsidR="008C0EDD">
        <w:rPr>
          <w:lang w:val="de-AT"/>
        </w:rPr>
        <w:br/>
      </w:r>
    </w:p>
    <w:p w:rsidR="00153C28" w:rsidRDefault="00260CE1">
      <w:pPr>
        <w:spacing w:before="180" w:after="240" w:line="336" w:lineRule="auto"/>
        <w:rPr>
          <w:rStyle w:val="SchwacherVerweis"/>
        </w:rPr>
      </w:pPr>
      <w:r>
        <w:rPr>
          <w:rStyle w:val="SchwacherVerweis"/>
        </w:rPr>
        <w:t>Grafik 2</w:t>
      </w:r>
      <w:r w:rsidR="008C0EDD">
        <w:rPr>
          <w:rStyle w:val="SchwacherVerweis"/>
        </w:rPr>
        <w:t>1</w:t>
      </w:r>
      <w:r>
        <w:rPr>
          <w:rStyle w:val="SchwacherVerweis"/>
        </w:rPr>
        <w:t xml:space="preserve">: </w:t>
      </w:r>
      <w:r w:rsidR="006144FD" w:rsidRPr="00260CE1">
        <w:rPr>
          <w:rStyle w:val="SchwacherVerweis"/>
        </w:rPr>
        <w:t>Voraussetzung für eine gute Integration von Nicht-ÖsterreicherInnen ist ein au</w:t>
      </w:r>
      <w:r w:rsidR="006144FD" w:rsidRPr="00260CE1">
        <w:rPr>
          <w:rStyle w:val="SchwacherVerweis"/>
        </w:rPr>
        <w:t>s</w:t>
      </w:r>
      <w:r w:rsidR="006144FD" w:rsidRPr="00260CE1">
        <w:rPr>
          <w:rStyle w:val="SchwacherVerweis"/>
        </w:rPr>
        <w:t>gewogener ethnischer Mix in den Siedlungsräumen</w:t>
      </w:r>
      <w:r w:rsidR="00C1409E" w:rsidRPr="00260CE1">
        <w:rPr>
          <w:rStyle w:val="SchwacherVerweis"/>
        </w:rPr>
        <w:t xml:space="preserve"> </w:t>
      </w:r>
    </w:p>
    <w:p w:rsidR="00391535" w:rsidRDefault="00921913">
      <w:pPr>
        <w:rPr>
          <w:lang w:val="de-AT"/>
        </w:rPr>
      </w:pPr>
      <w:r w:rsidRPr="00921913">
        <w:rPr>
          <w:noProof/>
          <w:lang w:val="de-AT" w:eastAsia="de-AT"/>
        </w:rPr>
        <w:drawing>
          <wp:inline distT="0" distB="0" distL="0" distR="0">
            <wp:extent cx="5760720" cy="3396385"/>
            <wp:effectExtent l="19050" t="0" r="11430" b="0"/>
            <wp:docPr id="30"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BE7377" w:rsidRDefault="008C0EDD">
      <w:pPr>
        <w:rPr>
          <w:lang w:val="de-AT"/>
        </w:rPr>
      </w:pPr>
      <w:r>
        <w:rPr>
          <w:lang w:val="de-AT"/>
        </w:rPr>
        <w:br/>
      </w:r>
      <w:r w:rsidR="00BE7377">
        <w:rPr>
          <w:lang w:val="de-AT"/>
        </w:rPr>
        <w:t>Der Leitsatz, wonach eine ausgewogene ethnische Durchmischung in den Siedlungsräumen eine gute Voraussetzung für eine gute Integration von Nicht-ÖsterreicherInnen sei, findet quer durch alle Einrichtungsarten hohe Zustimmung.</w:t>
      </w:r>
    </w:p>
    <w:p w:rsidR="00391535" w:rsidRDefault="005A0DF5">
      <w:pPr>
        <w:rPr>
          <w:lang w:val="de-AT"/>
        </w:rPr>
      </w:pPr>
      <w:r>
        <w:rPr>
          <w:lang w:val="de-AT"/>
        </w:rPr>
        <w:t>Wohnungsämter und gemeinnützige Bauträger sehen in der Förderung von Integration durch die Gewährleistung eines ausgewogenen ethnischen Mix in der Belegung von Siedlungen über</w:t>
      </w:r>
      <w:r w:rsidR="001D4877">
        <w:rPr>
          <w:lang w:val="de-AT"/>
        </w:rPr>
        <w:softHyphen/>
      </w:r>
      <w:r>
        <w:rPr>
          <w:lang w:val="de-AT"/>
        </w:rPr>
        <w:t>einstimmend einen wichtigen Auftrag für ihre konkreten Vergabeaktivitäten. Auffällig ist hier, dass die Zustimmung zu diesem Leitbild bei den privaten Bauträgern immerhin noch bei 83% zu liegen kommt, damit allerdings deutlich schwächer ausfällt, als dies bei Wohnungsämtern und gemeinnützigen Bauträgern abgelesen werden kann.</w:t>
      </w:r>
    </w:p>
    <w:p w:rsidR="00C14437" w:rsidRDefault="005A0DF5">
      <w:pPr>
        <w:rPr>
          <w:lang w:val="de-AT"/>
        </w:rPr>
      </w:pPr>
      <w:r>
        <w:rPr>
          <w:lang w:val="de-AT"/>
        </w:rPr>
        <w:lastRenderedPageBreak/>
        <w:t xml:space="preserve">Beratungseinrichtungen erweisen sich diesbezüglich um </w:t>
      </w:r>
      <w:r w:rsidR="00D406B2">
        <w:rPr>
          <w:lang w:val="de-AT"/>
        </w:rPr>
        <w:t xml:space="preserve">einiges </w:t>
      </w:r>
      <w:r>
        <w:rPr>
          <w:lang w:val="de-AT"/>
        </w:rPr>
        <w:t>enthaltsamer als Wohnung</w:t>
      </w:r>
      <w:r>
        <w:rPr>
          <w:lang w:val="de-AT"/>
        </w:rPr>
        <w:t>s</w:t>
      </w:r>
      <w:r>
        <w:rPr>
          <w:lang w:val="de-AT"/>
        </w:rPr>
        <w:t>ämter und gemeinnützige Bauträger</w:t>
      </w:r>
      <w:r w:rsidR="003A59A8">
        <w:rPr>
          <w:lang w:val="de-AT"/>
        </w:rPr>
        <w:t xml:space="preserve">, liegen mit einer Zustimmungsquote von 87% allerdings immer noch </w:t>
      </w:r>
      <w:r w:rsidR="007868FF">
        <w:rPr>
          <w:lang w:val="de-AT"/>
        </w:rPr>
        <w:t>sehr hoch</w:t>
      </w:r>
      <w:r w:rsidR="003A59A8">
        <w:rPr>
          <w:lang w:val="de-AT"/>
        </w:rPr>
        <w:t>.</w:t>
      </w:r>
    </w:p>
    <w:p w:rsidR="006E5740" w:rsidRDefault="00C14437">
      <w:pPr>
        <w:rPr>
          <w:lang w:val="de-AT"/>
        </w:rPr>
      </w:pPr>
      <w:r>
        <w:rPr>
          <w:lang w:val="de-AT"/>
        </w:rPr>
        <w:t>Die durchgängig hohe Zustimmung zu diesem Leitsatz bekräftigt die ursprüngliche Vermutung, die zur Einreichung dieses Projektes geführt hat, wonach die Vergabe von öffentlichem Woh</w:t>
      </w:r>
      <w:r>
        <w:rPr>
          <w:lang w:val="de-AT"/>
        </w:rPr>
        <w:t>n</w:t>
      </w:r>
      <w:r>
        <w:rPr>
          <w:lang w:val="de-AT"/>
        </w:rPr>
        <w:t>raum in einem ausgeprägten Spannungsverhältnis zwischen ideellen Vorgaben und Zielse</w:t>
      </w:r>
      <w:r>
        <w:rPr>
          <w:lang w:val="de-AT"/>
        </w:rPr>
        <w:t>t</w:t>
      </w:r>
      <w:r>
        <w:rPr>
          <w:lang w:val="de-AT"/>
        </w:rPr>
        <w:t xml:space="preserve">zungen einerseits und </w:t>
      </w:r>
      <w:r w:rsidR="006E5740">
        <w:rPr>
          <w:lang w:val="de-AT"/>
        </w:rPr>
        <w:t xml:space="preserve">rechtlichen Vorgaben der Antidiskriminierung andererseits steht. Von besonderer Bedeutung erscheint dabei insbesondere die Tatsache, dass die Vergabe selbst ja gar nicht in der Lage ist, unmittelbar auf Aspekte des Zusammenlebens einzuwirken. Dazu ist diese zum einen zu weit weg von der Ebene der konkreten Nachbarschaften. Zum anderen fehlen den Vergabestellen auch schlicht die nötigen Ressourcen und Kompetenzen, um etwa im wohnpolitischen Kontext und mithin im Vorfeld der konkreten Vergabe mitwirken und zu einer bedarfsorientierten Wohnbautätigkeit beitragen zu können. </w:t>
      </w:r>
    </w:p>
    <w:p w:rsidR="005A0DF5" w:rsidRDefault="006E5740">
      <w:pPr>
        <w:rPr>
          <w:lang w:val="de-AT"/>
        </w:rPr>
      </w:pPr>
      <w:r>
        <w:rPr>
          <w:lang w:val="de-AT"/>
        </w:rPr>
        <w:t xml:space="preserve">Differenziert betrachtet, erweist sich in dieser Frage die Vergabe von öffentlichem Wohnraum als (relativ kleines) Glied in </w:t>
      </w:r>
      <w:r w:rsidR="00AE10C6">
        <w:rPr>
          <w:lang w:val="de-AT"/>
        </w:rPr>
        <w:t>einer</w:t>
      </w:r>
      <w:r>
        <w:rPr>
          <w:lang w:val="de-AT"/>
        </w:rPr>
        <w:t xml:space="preserve"> Kette, die von der Ebene </w:t>
      </w:r>
      <w:r w:rsidR="00AE10C6">
        <w:rPr>
          <w:lang w:val="de-AT"/>
        </w:rPr>
        <w:t xml:space="preserve">der Stadtplanung und </w:t>
      </w:r>
      <w:r>
        <w:rPr>
          <w:lang w:val="de-AT"/>
        </w:rPr>
        <w:t>des Woh</w:t>
      </w:r>
      <w:r>
        <w:rPr>
          <w:lang w:val="de-AT"/>
        </w:rPr>
        <w:t>n</w:t>
      </w:r>
      <w:r>
        <w:rPr>
          <w:lang w:val="de-AT"/>
        </w:rPr>
        <w:t xml:space="preserve">baus bis </w:t>
      </w:r>
      <w:r w:rsidR="00AE10C6">
        <w:rPr>
          <w:lang w:val="de-AT"/>
        </w:rPr>
        <w:t>zur</w:t>
      </w:r>
      <w:r>
        <w:rPr>
          <w:lang w:val="de-AT"/>
        </w:rPr>
        <w:t xml:space="preserve"> konkrete</w:t>
      </w:r>
      <w:r w:rsidR="00AE10C6">
        <w:rPr>
          <w:lang w:val="de-AT"/>
        </w:rPr>
        <w:t>n</w:t>
      </w:r>
      <w:r>
        <w:rPr>
          <w:lang w:val="de-AT"/>
        </w:rPr>
        <w:t xml:space="preserve"> (Aus)Gestaltung der </w:t>
      </w:r>
      <w:r w:rsidR="00AE10C6">
        <w:rPr>
          <w:lang w:val="de-AT"/>
        </w:rPr>
        <w:t>Rahmenb</w:t>
      </w:r>
      <w:r>
        <w:rPr>
          <w:lang w:val="de-AT"/>
        </w:rPr>
        <w:t>edingungen des Zusammenlebens vor Ort / in den Wohnsiedlungen und Nachbarschaften reicht. Die im Kontext der Wohnungsve</w:t>
      </w:r>
      <w:r>
        <w:rPr>
          <w:lang w:val="de-AT"/>
        </w:rPr>
        <w:t>r</w:t>
      </w:r>
      <w:r>
        <w:rPr>
          <w:lang w:val="de-AT"/>
        </w:rPr>
        <w:t>gabe zur Verfügung stehenden Mittel jedoch scheinen in keinem Verhältnis zur anstehenden Aufgabenstellung zu stehen.</w:t>
      </w:r>
      <w:r w:rsidR="003A59A8">
        <w:rPr>
          <w:lang w:val="de-AT"/>
        </w:rPr>
        <w:br/>
      </w:r>
    </w:p>
    <w:p w:rsidR="00391535" w:rsidRPr="00260CE1" w:rsidRDefault="00260CE1" w:rsidP="00260CE1">
      <w:pPr>
        <w:rPr>
          <w:rStyle w:val="SchwacherVerweis"/>
        </w:rPr>
      </w:pPr>
      <w:r>
        <w:rPr>
          <w:rStyle w:val="SchwacherVerweis"/>
        </w:rPr>
        <w:t>Grafik 2</w:t>
      </w:r>
      <w:r w:rsidR="008C0EDD">
        <w:rPr>
          <w:rStyle w:val="SchwacherVerweis"/>
        </w:rPr>
        <w:t>2</w:t>
      </w:r>
      <w:r>
        <w:rPr>
          <w:rStyle w:val="SchwacherVerweis"/>
        </w:rPr>
        <w:t xml:space="preserve">: </w:t>
      </w:r>
      <w:r w:rsidR="006144FD" w:rsidRPr="00260CE1">
        <w:rPr>
          <w:rStyle w:val="SchwacherVerweis"/>
        </w:rPr>
        <w:t>Es darf kein Ghetto entstehen, i</w:t>
      </w:r>
      <w:r w:rsidR="00921913" w:rsidRPr="00260CE1">
        <w:rPr>
          <w:rStyle w:val="SchwacherVerweis"/>
        </w:rPr>
        <w:t>n</w:t>
      </w:r>
      <w:r w:rsidR="006144FD" w:rsidRPr="00260CE1">
        <w:rPr>
          <w:rStyle w:val="SchwacherVerweis"/>
        </w:rPr>
        <w:t xml:space="preserve"> dem viele be</w:t>
      </w:r>
      <w:r>
        <w:rPr>
          <w:rStyle w:val="SchwacherVerweis"/>
        </w:rPr>
        <w:t>lastete Haushalte zusammenleben</w:t>
      </w:r>
      <w:r w:rsidR="00C1409E" w:rsidRPr="00260CE1">
        <w:rPr>
          <w:rStyle w:val="SchwacherVerweis"/>
        </w:rPr>
        <w:t xml:space="preserve"> </w:t>
      </w:r>
    </w:p>
    <w:p w:rsidR="00391535" w:rsidRDefault="00921913">
      <w:pPr>
        <w:rPr>
          <w:lang w:val="de-AT"/>
        </w:rPr>
      </w:pPr>
      <w:r w:rsidRPr="00921913">
        <w:rPr>
          <w:noProof/>
          <w:lang w:val="de-AT" w:eastAsia="de-AT"/>
        </w:rPr>
        <w:drawing>
          <wp:inline distT="0" distB="0" distL="0" distR="0">
            <wp:extent cx="4572000" cy="2743200"/>
            <wp:effectExtent l="19050" t="0" r="19050" b="0"/>
            <wp:docPr id="31"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A31457" w:rsidRDefault="00A31457">
      <w:pPr>
        <w:rPr>
          <w:lang w:val="de-AT"/>
        </w:rPr>
      </w:pPr>
    </w:p>
    <w:p w:rsidR="006A3C91" w:rsidRDefault="006A3C91">
      <w:pPr>
        <w:rPr>
          <w:lang w:val="de-AT"/>
        </w:rPr>
      </w:pPr>
      <w:r>
        <w:rPr>
          <w:lang w:val="de-AT"/>
        </w:rPr>
        <w:lastRenderedPageBreak/>
        <w:t>Der Begriff Ghetto ist ausgesprochen negativ belastet. Von daher verwundert es auch nicht, dass eine große Mehrheit der Befragten dem Leitsatz zustimmt, dass kein Ghetto dadurch en</w:t>
      </w:r>
      <w:r>
        <w:rPr>
          <w:lang w:val="de-AT"/>
        </w:rPr>
        <w:t>t</w:t>
      </w:r>
      <w:r>
        <w:rPr>
          <w:lang w:val="de-AT"/>
        </w:rPr>
        <w:t>stehen darf, dass viele belastete Haushalte zusammenleben. In seiner inhaltlichen Dimension geht dieser Leitsatz allerdings weit über ethnische Kriterien hinaus und nimmt stattdessen vor allem auf soziale Kriterien der ‚Belastung‘ Bezug.</w:t>
      </w:r>
    </w:p>
    <w:p w:rsidR="00512BF6" w:rsidRDefault="00923241">
      <w:pPr>
        <w:rPr>
          <w:lang w:val="de-AT"/>
        </w:rPr>
      </w:pPr>
      <w:r>
        <w:rPr>
          <w:lang w:val="de-AT"/>
        </w:rPr>
        <w:t xml:space="preserve">Der Leitsatz, wonach es wichtig wäre, der Entstehung von Ghettos entgegenzuwirken, wird von Wohnungsämtern, gemeinnützigen Bauträgern und Beratungseinrichtungen mit großer Mehrheit (90% und mehr) unterstützt. </w:t>
      </w:r>
    </w:p>
    <w:p w:rsidR="00923241" w:rsidRDefault="00923241">
      <w:pPr>
        <w:rPr>
          <w:lang w:val="de-AT"/>
        </w:rPr>
      </w:pPr>
      <w:r>
        <w:rPr>
          <w:lang w:val="de-AT"/>
        </w:rPr>
        <w:t xml:space="preserve">Deutlich geringer fällt </w:t>
      </w:r>
      <w:r w:rsidR="006E5740">
        <w:rPr>
          <w:lang w:val="de-AT"/>
        </w:rPr>
        <w:t xml:space="preserve">auch </w:t>
      </w:r>
      <w:r>
        <w:rPr>
          <w:lang w:val="de-AT"/>
        </w:rPr>
        <w:t>hier die Zustimmung der privaten Bauträger aus, von denen aber immer noch mehr als 80% diesen Leitsatz unterstützen können.</w:t>
      </w:r>
      <w:r>
        <w:rPr>
          <w:lang w:val="de-AT"/>
        </w:rPr>
        <w:br/>
      </w:r>
    </w:p>
    <w:p w:rsidR="006144FD" w:rsidRPr="00260CE1" w:rsidRDefault="00260CE1" w:rsidP="006A3C91">
      <w:pPr>
        <w:spacing w:before="180" w:after="240" w:line="336" w:lineRule="auto"/>
        <w:rPr>
          <w:rStyle w:val="SchwacherVerweis"/>
          <w:lang w:val="de-AT"/>
        </w:rPr>
      </w:pPr>
      <w:r>
        <w:rPr>
          <w:rStyle w:val="SchwacherVerweis"/>
          <w:lang w:val="de-AT"/>
        </w:rPr>
        <w:t>Grafik 2</w:t>
      </w:r>
      <w:r w:rsidR="008C0EDD">
        <w:rPr>
          <w:rStyle w:val="SchwacherVerweis"/>
          <w:lang w:val="de-AT"/>
        </w:rPr>
        <w:t>3</w:t>
      </w:r>
      <w:r>
        <w:rPr>
          <w:rStyle w:val="SchwacherVerweis"/>
          <w:lang w:val="de-AT"/>
        </w:rPr>
        <w:t xml:space="preserve">: </w:t>
      </w:r>
      <w:r w:rsidR="006144FD" w:rsidRPr="00260CE1">
        <w:rPr>
          <w:rStyle w:val="SchwacherVerweis"/>
          <w:lang w:val="de-AT"/>
        </w:rPr>
        <w:t>Zu viele Nicht-ÖsterreicherInnen in einer Siedlung können zu einer Parallelg</w:t>
      </w:r>
      <w:r w:rsidR="006144FD" w:rsidRPr="00260CE1">
        <w:rPr>
          <w:rStyle w:val="SchwacherVerweis"/>
          <w:lang w:val="de-AT"/>
        </w:rPr>
        <w:t>e</w:t>
      </w:r>
      <w:r w:rsidR="006144FD" w:rsidRPr="00260CE1">
        <w:rPr>
          <w:rStyle w:val="SchwacherVerweis"/>
          <w:lang w:val="de-AT"/>
        </w:rPr>
        <w:t>sellschaft führen.</w:t>
      </w:r>
    </w:p>
    <w:p w:rsidR="00921913" w:rsidRPr="00921913" w:rsidRDefault="00921913" w:rsidP="00921913">
      <w:pPr>
        <w:rPr>
          <w:lang w:val="de-AT"/>
        </w:rPr>
      </w:pPr>
      <w:r w:rsidRPr="00921913">
        <w:rPr>
          <w:noProof/>
          <w:lang w:val="de-AT" w:eastAsia="de-AT"/>
        </w:rPr>
        <w:drawing>
          <wp:inline distT="0" distB="0" distL="0" distR="0">
            <wp:extent cx="4572000" cy="2743200"/>
            <wp:effectExtent l="19050" t="0" r="19050" b="0"/>
            <wp:docPr id="29"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00923241">
        <w:rPr>
          <w:lang w:val="de-AT"/>
        </w:rPr>
        <w:br/>
      </w:r>
    </w:p>
    <w:p w:rsidR="006144FD" w:rsidRDefault="00923241">
      <w:pPr>
        <w:rPr>
          <w:lang w:val="de-AT"/>
        </w:rPr>
      </w:pPr>
      <w:r>
        <w:rPr>
          <w:lang w:val="de-AT"/>
        </w:rPr>
        <w:t xml:space="preserve">Die Sorge, wonach zu hohe Anteile von Nicht-ÖsterreicherInnen in einzelnen Siedlungen zur Entstehung respektive Verfestigung von Parallelgesellschaften führen könnten, wird von der Mehrheit der Wohnungsämter und der Gemeinnützigen Wohnbauträger geteilt, allerdings nur mehr von etwa zwei Dritteln der Beratungseinrichtungen. </w:t>
      </w:r>
    </w:p>
    <w:p w:rsidR="006A3C91" w:rsidRDefault="00923241">
      <w:pPr>
        <w:rPr>
          <w:lang w:val="de-AT"/>
        </w:rPr>
      </w:pPr>
      <w:r>
        <w:rPr>
          <w:lang w:val="de-AT"/>
        </w:rPr>
        <w:t>Die Zustimmung von Seiten der privaten Bauträger hält sich auch in dieser Fragestellung te</w:t>
      </w:r>
      <w:r>
        <w:rPr>
          <w:lang w:val="de-AT"/>
        </w:rPr>
        <w:t>n</w:t>
      </w:r>
      <w:r>
        <w:rPr>
          <w:lang w:val="de-AT"/>
        </w:rPr>
        <w:t>denziell in Grenzen, liegt aber immer noch deutlich über der Hälfte (61%).</w:t>
      </w:r>
    </w:p>
    <w:p w:rsidR="00A31457" w:rsidRDefault="00A31457">
      <w:pPr>
        <w:spacing w:before="180" w:after="240" w:line="336" w:lineRule="auto"/>
        <w:jc w:val="center"/>
        <w:rPr>
          <w:lang w:val="de-AT"/>
        </w:rPr>
      </w:pPr>
      <w:r>
        <w:rPr>
          <w:lang w:val="de-AT"/>
        </w:rPr>
        <w:br w:type="page"/>
      </w:r>
    </w:p>
    <w:p w:rsidR="00923241" w:rsidRDefault="00451029">
      <w:pPr>
        <w:rPr>
          <w:lang w:val="de-AT"/>
        </w:rPr>
      </w:pPr>
      <w:r>
        <w:rPr>
          <w:lang w:val="de-AT"/>
        </w:rPr>
        <w:lastRenderedPageBreak/>
        <w:t>Diese hohe Zustimmung erscheint vor allem deshalb überraschend, weil der Begriff ‚Paralle</w:t>
      </w:r>
      <w:r>
        <w:rPr>
          <w:lang w:val="de-AT"/>
        </w:rPr>
        <w:t>l</w:t>
      </w:r>
      <w:r>
        <w:rPr>
          <w:lang w:val="de-AT"/>
        </w:rPr>
        <w:t>gesellschaft‘ hier zwar in einen eindeutig negativen Kontext von ‚zu vielen‘ Nicht-Österreiche</w:t>
      </w:r>
      <w:r w:rsidR="001D4877">
        <w:rPr>
          <w:lang w:val="de-AT"/>
        </w:rPr>
        <w:softHyphen/>
      </w:r>
      <w:r>
        <w:rPr>
          <w:lang w:val="de-AT"/>
        </w:rPr>
        <w:t>rInnen gestellt wird, im Weiteren jedoch offen bleibt, inwieweit parallelgesellschaftliche Stru</w:t>
      </w:r>
      <w:r>
        <w:rPr>
          <w:lang w:val="de-AT"/>
        </w:rPr>
        <w:t>k</w:t>
      </w:r>
      <w:r>
        <w:rPr>
          <w:lang w:val="de-AT"/>
        </w:rPr>
        <w:t>turen nicht auch positive Seiten und Effekte hätten. Offensichtlich gibt es in Fragen wie diesen Diskussions- und Handlungsbedarf, damit nicht der einfache und reflexhafte Appell durc</w:t>
      </w:r>
      <w:r>
        <w:rPr>
          <w:lang w:val="de-AT"/>
        </w:rPr>
        <w:t>h</w:t>
      </w:r>
      <w:r>
        <w:rPr>
          <w:lang w:val="de-AT"/>
        </w:rPr>
        <w:t>schlägt, wonach ein Zuviel an MigrantInnen eben verhindert werden müsse – z.B. mit den Mitteln einer selektiven Wohnungsvergabe.</w:t>
      </w:r>
      <w:r w:rsidR="00923241">
        <w:rPr>
          <w:lang w:val="de-AT"/>
        </w:rPr>
        <w:br/>
      </w:r>
    </w:p>
    <w:p w:rsidR="0092650B" w:rsidRPr="00260CE1" w:rsidRDefault="00260CE1" w:rsidP="00260CE1">
      <w:pPr>
        <w:rPr>
          <w:rStyle w:val="SchwacherVerweis"/>
          <w:lang w:val="de-AT"/>
        </w:rPr>
      </w:pPr>
      <w:r w:rsidRPr="00260CE1">
        <w:rPr>
          <w:rStyle w:val="SchwacherVerweis"/>
        </w:rPr>
        <w:t>Grafik 2</w:t>
      </w:r>
      <w:r w:rsidR="008C0EDD">
        <w:rPr>
          <w:rStyle w:val="SchwacherVerweis"/>
        </w:rPr>
        <w:t>4</w:t>
      </w:r>
      <w:r w:rsidRPr="00260CE1">
        <w:rPr>
          <w:rStyle w:val="SchwacherVerweis"/>
        </w:rPr>
        <w:t xml:space="preserve">: </w:t>
      </w:r>
      <w:r w:rsidR="0092650B" w:rsidRPr="00260CE1">
        <w:rPr>
          <w:rStyle w:val="SchwacherVerweis"/>
          <w:lang w:val="de-AT"/>
        </w:rPr>
        <w:t>Bei der Wohnungsvergabe sollten neben der Staatsbürgerschaft auch Fragen im Zusammenhang mit dem Migrationshintergrund wie Muttersprache, Religion, etc. berücksic</w:t>
      </w:r>
      <w:r w:rsidR="0092650B" w:rsidRPr="00260CE1">
        <w:rPr>
          <w:rStyle w:val="SchwacherVerweis"/>
          <w:lang w:val="de-AT"/>
        </w:rPr>
        <w:t>h</w:t>
      </w:r>
      <w:r w:rsidR="0092650B" w:rsidRPr="00260CE1">
        <w:rPr>
          <w:rStyle w:val="SchwacherVerweis"/>
          <w:lang w:val="de-AT"/>
        </w:rPr>
        <w:t>tigt werden</w:t>
      </w:r>
    </w:p>
    <w:p w:rsidR="006144FD" w:rsidRDefault="00D06EF1">
      <w:pPr>
        <w:rPr>
          <w:lang w:val="de-AT"/>
        </w:rPr>
      </w:pPr>
      <w:r w:rsidRPr="00D06EF1">
        <w:rPr>
          <w:noProof/>
          <w:lang w:val="de-AT" w:eastAsia="de-AT"/>
        </w:rPr>
        <w:drawing>
          <wp:inline distT="0" distB="0" distL="0" distR="0">
            <wp:extent cx="4572000" cy="2743200"/>
            <wp:effectExtent l="19050" t="0" r="19050" b="0"/>
            <wp:docPr id="32"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92650B" w:rsidRDefault="00923241">
      <w:pPr>
        <w:rPr>
          <w:lang w:val="de-AT"/>
        </w:rPr>
      </w:pPr>
      <w:r>
        <w:rPr>
          <w:lang w:val="de-AT"/>
        </w:rPr>
        <w:br/>
        <w:t xml:space="preserve">Am Ehesten </w:t>
      </w:r>
      <w:r w:rsidR="00451029">
        <w:rPr>
          <w:lang w:val="de-AT"/>
        </w:rPr>
        <w:t>votieren</w:t>
      </w:r>
      <w:r>
        <w:rPr>
          <w:lang w:val="de-AT"/>
        </w:rPr>
        <w:t xml:space="preserve"> die gemeinnützigen Bauträger</w:t>
      </w:r>
      <w:r w:rsidR="00451029">
        <w:rPr>
          <w:lang w:val="de-AT"/>
        </w:rPr>
        <w:t xml:space="preserve"> für</w:t>
      </w:r>
      <w:r>
        <w:rPr>
          <w:lang w:val="de-AT"/>
        </w:rPr>
        <w:t xml:space="preserve"> eine Differenzierung der Vergabekrit</w:t>
      </w:r>
      <w:r>
        <w:rPr>
          <w:lang w:val="de-AT"/>
        </w:rPr>
        <w:t>e</w:t>
      </w:r>
      <w:r>
        <w:rPr>
          <w:lang w:val="de-AT"/>
        </w:rPr>
        <w:t xml:space="preserve">rien in Bezug </w:t>
      </w:r>
      <w:r w:rsidR="00451029">
        <w:rPr>
          <w:lang w:val="de-AT"/>
        </w:rPr>
        <w:t>dar</w:t>
      </w:r>
      <w:r>
        <w:rPr>
          <w:lang w:val="de-AT"/>
        </w:rPr>
        <w:t>auf</w:t>
      </w:r>
      <w:r w:rsidR="00451029">
        <w:rPr>
          <w:lang w:val="de-AT"/>
        </w:rPr>
        <w:t>, bei der Wohnungsvergabe</w:t>
      </w:r>
      <w:r>
        <w:rPr>
          <w:lang w:val="de-AT"/>
        </w:rPr>
        <w:t xml:space="preserve"> weitere Faktoren des Migrationshintergrunds wie Sprache, Religion etc. </w:t>
      </w:r>
      <w:r w:rsidR="00451029">
        <w:rPr>
          <w:lang w:val="de-AT"/>
        </w:rPr>
        <w:t xml:space="preserve">mit zu berücksichtigen. </w:t>
      </w:r>
      <w:r>
        <w:rPr>
          <w:lang w:val="de-AT"/>
        </w:rPr>
        <w:t xml:space="preserve">Ihre Zustimmungsquote zu diesem Leitsatz </w:t>
      </w:r>
      <w:r w:rsidR="000C66EE">
        <w:rPr>
          <w:lang w:val="de-AT"/>
        </w:rPr>
        <w:t>liegt bei beachtlichen 58%.</w:t>
      </w:r>
    </w:p>
    <w:p w:rsidR="000C66EE" w:rsidRDefault="000C66EE">
      <w:pPr>
        <w:rPr>
          <w:lang w:val="de-AT"/>
        </w:rPr>
      </w:pPr>
      <w:r>
        <w:rPr>
          <w:lang w:val="de-AT"/>
        </w:rPr>
        <w:t xml:space="preserve">Demgegenüber sind kommunale Wohnungsämter </w:t>
      </w:r>
      <w:r w:rsidR="00B43F7C">
        <w:rPr>
          <w:lang w:val="de-AT"/>
        </w:rPr>
        <w:t xml:space="preserve">(50%) </w:t>
      </w:r>
      <w:r>
        <w:rPr>
          <w:lang w:val="de-AT"/>
        </w:rPr>
        <w:t xml:space="preserve">und – bereits etwas abgeschlagen – auch Beratungseinrichtungen </w:t>
      </w:r>
      <w:r w:rsidR="00B43F7C">
        <w:rPr>
          <w:lang w:val="de-AT"/>
        </w:rPr>
        <w:t xml:space="preserve">(45%) </w:t>
      </w:r>
      <w:r>
        <w:rPr>
          <w:lang w:val="de-AT"/>
        </w:rPr>
        <w:t xml:space="preserve">in dieser Frage deutlich zurückhaltender. </w:t>
      </w:r>
    </w:p>
    <w:p w:rsidR="000C66EE" w:rsidRDefault="000C66EE">
      <w:pPr>
        <w:rPr>
          <w:lang w:val="de-AT"/>
        </w:rPr>
      </w:pPr>
      <w:r>
        <w:rPr>
          <w:lang w:val="de-AT"/>
        </w:rPr>
        <w:t xml:space="preserve">Auch hier nehmen die privaten Bauträger mit einer Zustimmungsquote von 39% den letzten Platz im einrichtungsspezifischen Ranking ein, erweisen sich somit in der Zusammenschau dieser ersten Leitsätze und Zielvorstellungen als deutlich weniger </w:t>
      </w:r>
      <w:r w:rsidR="00A31457">
        <w:rPr>
          <w:lang w:val="de-AT"/>
        </w:rPr>
        <w:t xml:space="preserve">von Leitsätzen </w:t>
      </w:r>
      <w:r w:rsidR="00B43F7C">
        <w:rPr>
          <w:lang w:val="de-AT"/>
        </w:rPr>
        <w:t xml:space="preserve">geleitet </w:t>
      </w:r>
      <w:r>
        <w:rPr>
          <w:lang w:val="de-AT"/>
        </w:rPr>
        <w:t>als die anderen Einrichtungen.</w:t>
      </w:r>
    </w:p>
    <w:p w:rsidR="00A33ED0" w:rsidRDefault="00A33ED0">
      <w:pPr>
        <w:rPr>
          <w:lang w:val="de-AT"/>
        </w:rPr>
      </w:pPr>
      <w:r>
        <w:rPr>
          <w:lang w:val="de-AT"/>
        </w:rPr>
        <w:lastRenderedPageBreak/>
        <w:t>Der eher hohen Zustimmung zu einer nach ethnischen Gesichtspunkten angeleiteten Vergab</w:t>
      </w:r>
      <w:r>
        <w:rPr>
          <w:lang w:val="de-AT"/>
        </w:rPr>
        <w:t>e</w:t>
      </w:r>
      <w:r>
        <w:rPr>
          <w:lang w:val="de-AT"/>
        </w:rPr>
        <w:t>praxis stehen eher konträre Ansichten gegenüber, wie sie in den Interviews und Gespräch</w:t>
      </w:r>
      <w:r>
        <w:rPr>
          <w:lang w:val="de-AT"/>
        </w:rPr>
        <w:t>s</w:t>
      </w:r>
      <w:r>
        <w:rPr>
          <w:lang w:val="de-AT"/>
        </w:rPr>
        <w:t>runden mit ExpertInnen eingebracht wurden. Danach sollte das Ziel einer ethnischen Durc</w:t>
      </w:r>
      <w:r>
        <w:rPr>
          <w:lang w:val="de-AT"/>
        </w:rPr>
        <w:t>h</w:t>
      </w:r>
      <w:r>
        <w:rPr>
          <w:lang w:val="de-AT"/>
        </w:rPr>
        <w:t>mischung gänzlich zugunsten einer Durchmischung nach sozialen Kriterien (alt – jung, mit und ohne Kinder, hoch oder weniger gebildet etc.) gestrichen werden. Dahinter steckt die durch Beobachtungen gestützte Vermutung, wonach eine gute Durchmischung nach sozialen Krit</w:t>
      </w:r>
      <w:r>
        <w:rPr>
          <w:lang w:val="de-AT"/>
        </w:rPr>
        <w:t>e</w:t>
      </w:r>
      <w:r>
        <w:rPr>
          <w:lang w:val="de-AT"/>
        </w:rPr>
        <w:t>rien nahezu zwangsläufig auch Auswirkungen auf die Verteilung nach ethnischen Gesicht</w:t>
      </w:r>
      <w:r>
        <w:rPr>
          <w:lang w:val="de-AT"/>
        </w:rPr>
        <w:t>s</w:t>
      </w:r>
      <w:r>
        <w:rPr>
          <w:lang w:val="de-AT"/>
        </w:rPr>
        <w:t>punkten hätte.</w:t>
      </w:r>
      <w:r w:rsidR="00A31457">
        <w:rPr>
          <w:lang w:val="de-AT"/>
        </w:rPr>
        <w:br/>
      </w:r>
    </w:p>
    <w:p w:rsidR="0092650B" w:rsidRPr="00260CE1" w:rsidRDefault="00260CE1" w:rsidP="00260CE1">
      <w:pPr>
        <w:rPr>
          <w:rStyle w:val="SchwacherVerweis"/>
          <w:lang w:val="de-AT"/>
        </w:rPr>
      </w:pPr>
      <w:r w:rsidRPr="00260CE1">
        <w:rPr>
          <w:rStyle w:val="SchwacherVerweis"/>
        </w:rPr>
        <w:t>Grafik 2</w:t>
      </w:r>
      <w:r w:rsidR="008C0EDD">
        <w:rPr>
          <w:rStyle w:val="SchwacherVerweis"/>
        </w:rPr>
        <w:t>5</w:t>
      </w:r>
      <w:r w:rsidRPr="00260CE1">
        <w:rPr>
          <w:rStyle w:val="SchwacherVerweis"/>
        </w:rPr>
        <w:t xml:space="preserve">: </w:t>
      </w:r>
      <w:r w:rsidR="0092650B" w:rsidRPr="00260CE1">
        <w:rPr>
          <w:rStyle w:val="SchwacherVerweis"/>
          <w:lang w:val="de-AT"/>
        </w:rPr>
        <w:t xml:space="preserve">Neue MieterInnen müssen </w:t>
      </w:r>
      <w:r>
        <w:rPr>
          <w:rStyle w:val="SchwacherVerweis"/>
          <w:lang w:val="de-AT"/>
        </w:rPr>
        <w:t>gut zur Hausgemeinschaft passen</w:t>
      </w:r>
    </w:p>
    <w:p w:rsidR="006144FD" w:rsidRDefault="00830F73">
      <w:pPr>
        <w:rPr>
          <w:lang w:val="de-AT"/>
        </w:rPr>
      </w:pPr>
      <w:r w:rsidRPr="00830F73">
        <w:rPr>
          <w:noProof/>
          <w:lang w:val="de-AT" w:eastAsia="de-AT"/>
        </w:rPr>
        <w:drawing>
          <wp:inline distT="0" distB="0" distL="0" distR="0">
            <wp:extent cx="4572000" cy="2743200"/>
            <wp:effectExtent l="19050" t="0" r="19050" b="0"/>
            <wp:docPr id="33" name="Diagram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D406B2" w:rsidRDefault="00B43F7C">
      <w:pPr>
        <w:rPr>
          <w:lang w:val="de-AT"/>
        </w:rPr>
      </w:pPr>
      <w:r>
        <w:rPr>
          <w:lang w:val="de-AT"/>
        </w:rPr>
        <w:br/>
      </w:r>
      <w:r w:rsidR="009E4E5F">
        <w:rPr>
          <w:lang w:val="de-AT"/>
        </w:rPr>
        <w:t>Etwa jeweils zwei Drittel der Wohnungsämter und der gemeinnützigen Bauträger fühlen sich offensichtlich der Idee verpflichtet, Nachbesetzungen in bereits bewohnten Objekten unter Maßgabe von Überlegungen der Passfähigkeit bis Verträglichkeit der neuen MieterInnen vo</w:t>
      </w:r>
      <w:r w:rsidR="009E4E5F">
        <w:rPr>
          <w:lang w:val="de-AT"/>
        </w:rPr>
        <w:t>r</w:t>
      </w:r>
      <w:r w:rsidR="009E4E5F">
        <w:rPr>
          <w:lang w:val="de-AT"/>
        </w:rPr>
        <w:t xml:space="preserve">zunehmen. Auch private Bauträger </w:t>
      </w:r>
      <w:r w:rsidR="00DC4990">
        <w:rPr>
          <w:lang w:val="de-AT"/>
        </w:rPr>
        <w:t xml:space="preserve">halten </w:t>
      </w:r>
      <w:r w:rsidR="009E4E5F">
        <w:rPr>
          <w:lang w:val="de-AT"/>
        </w:rPr>
        <w:t>bezüglich ihrer Zustimmung zu dieser Zielvorste</w:t>
      </w:r>
      <w:r w:rsidR="009E4E5F">
        <w:rPr>
          <w:lang w:val="de-AT"/>
        </w:rPr>
        <w:t>l</w:t>
      </w:r>
      <w:r w:rsidR="009E4E5F">
        <w:rPr>
          <w:lang w:val="de-AT"/>
        </w:rPr>
        <w:t xml:space="preserve">lung </w:t>
      </w:r>
      <w:r w:rsidR="00D406B2">
        <w:rPr>
          <w:lang w:val="de-AT"/>
        </w:rPr>
        <w:t xml:space="preserve">noch mehrheitlich </w:t>
      </w:r>
      <w:r w:rsidR="009E4E5F">
        <w:rPr>
          <w:lang w:val="de-AT"/>
        </w:rPr>
        <w:t xml:space="preserve">mit. </w:t>
      </w:r>
    </w:p>
    <w:p w:rsidR="006144FD" w:rsidRDefault="009E4E5F">
      <w:pPr>
        <w:rPr>
          <w:lang w:val="de-AT"/>
        </w:rPr>
      </w:pPr>
      <w:r>
        <w:rPr>
          <w:lang w:val="de-AT"/>
        </w:rPr>
        <w:t xml:space="preserve">Demgegenüber </w:t>
      </w:r>
      <w:r w:rsidR="00D406B2">
        <w:rPr>
          <w:lang w:val="de-AT"/>
        </w:rPr>
        <w:t>distanziert sich die Mehrheit der</w:t>
      </w:r>
      <w:r>
        <w:rPr>
          <w:lang w:val="de-AT"/>
        </w:rPr>
        <w:t xml:space="preserve"> Beratungseinrichtungen </w:t>
      </w:r>
      <w:r w:rsidR="00D406B2">
        <w:rPr>
          <w:lang w:val="de-AT"/>
        </w:rPr>
        <w:t>davon</w:t>
      </w:r>
      <w:r>
        <w:rPr>
          <w:lang w:val="de-AT"/>
        </w:rPr>
        <w:t xml:space="preserve">, </w:t>
      </w:r>
      <w:r w:rsidR="00A33ED0">
        <w:rPr>
          <w:lang w:val="de-AT"/>
        </w:rPr>
        <w:t>wenn auch immerhin noch knapp</w:t>
      </w:r>
      <w:r>
        <w:rPr>
          <w:lang w:val="de-AT"/>
        </w:rPr>
        <w:t xml:space="preserve"> die Hälfte (47%) </w:t>
      </w:r>
      <w:r w:rsidR="00A33ED0">
        <w:rPr>
          <w:lang w:val="de-AT"/>
        </w:rPr>
        <w:t xml:space="preserve">der BeraterInnen </w:t>
      </w:r>
      <w:r>
        <w:rPr>
          <w:lang w:val="de-AT"/>
        </w:rPr>
        <w:t xml:space="preserve">diese </w:t>
      </w:r>
      <w:r w:rsidR="00D406B2">
        <w:rPr>
          <w:lang w:val="de-AT"/>
        </w:rPr>
        <w:t xml:space="preserve">Idee </w:t>
      </w:r>
      <w:r>
        <w:rPr>
          <w:lang w:val="de-AT"/>
        </w:rPr>
        <w:t>für richtig</w:t>
      </w:r>
      <w:r w:rsidR="00A33ED0">
        <w:rPr>
          <w:lang w:val="de-AT"/>
        </w:rPr>
        <w:t xml:space="preserve"> hält</w:t>
      </w:r>
      <w:r>
        <w:rPr>
          <w:lang w:val="de-AT"/>
        </w:rPr>
        <w:t>.</w:t>
      </w:r>
      <w:r>
        <w:rPr>
          <w:lang w:val="de-AT"/>
        </w:rPr>
        <w:br/>
      </w:r>
    </w:p>
    <w:p w:rsidR="00A33ED0" w:rsidRDefault="00A33ED0">
      <w:pPr>
        <w:rPr>
          <w:lang w:val="de-AT"/>
        </w:rPr>
      </w:pPr>
      <w:r>
        <w:rPr>
          <w:lang w:val="de-AT"/>
        </w:rPr>
        <w:t xml:space="preserve">Im Rahmen der Interviews und Gesprächsrunden mit ExpertInnen hat sich demgegenüber gezeigt, dass Fragen wie diese in der realen Vergabepraxis nur </w:t>
      </w:r>
      <w:r w:rsidR="00A36BAF">
        <w:rPr>
          <w:lang w:val="de-AT"/>
        </w:rPr>
        <w:t xml:space="preserve">von geringer Bedeutung sind, unter anderem weil die MitarbeiterInnen in der Vergabestelle bestenfalls in Ausnahmefällen über die konkreten Wohn- und Lebensbedingungen in der unmittelbaren Nachbarschaft zur </w:t>
      </w:r>
      <w:r w:rsidR="00A36BAF">
        <w:rPr>
          <w:lang w:val="de-AT"/>
        </w:rPr>
        <w:lastRenderedPageBreak/>
        <w:t xml:space="preserve">freien Wohnung Bescheid wissen können. Die Strategien, wie die einzelnen Wohnungsämter nun damit umgehen, sind allerdings nahezu konträr. Während die einen sich dezidiert darum bemühen, neben einer persönlichen Beratung der WohnungswerberInnen auch Fragen des Wohnumfelds zu erkunden und das Wohnungsamt gewissermaßen als lernende Organisation verstehen, setzen andere Vergabestellen auf </w:t>
      </w:r>
      <w:r w:rsidR="0014272F">
        <w:rPr>
          <w:lang w:val="de-AT"/>
        </w:rPr>
        <w:t xml:space="preserve">einen </w:t>
      </w:r>
      <w:r w:rsidR="00A36BAF">
        <w:rPr>
          <w:lang w:val="de-AT"/>
        </w:rPr>
        <w:t>weitgehende</w:t>
      </w:r>
      <w:r w:rsidR="0014272F">
        <w:rPr>
          <w:lang w:val="de-AT"/>
        </w:rPr>
        <w:t>n</w:t>
      </w:r>
      <w:r w:rsidR="00A36BAF">
        <w:rPr>
          <w:lang w:val="de-AT"/>
        </w:rPr>
        <w:t xml:space="preserve"> </w:t>
      </w:r>
      <w:r w:rsidR="0014272F">
        <w:rPr>
          <w:lang w:val="de-AT"/>
        </w:rPr>
        <w:t>Verzicht bezüglich entspr</w:t>
      </w:r>
      <w:r w:rsidR="0014272F">
        <w:rPr>
          <w:lang w:val="de-AT"/>
        </w:rPr>
        <w:t>e</w:t>
      </w:r>
      <w:r w:rsidR="0014272F">
        <w:rPr>
          <w:lang w:val="de-AT"/>
        </w:rPr>
        <w:t>chender Hintergrundinformation. Das geht so weit, dass die Vorbereitung einer zu vergebe</w:t>
      </w:r>
      <w:r w:rsidR="0014272F">
        <w:rPr>
          <w:lang w:val="de-AT"/>
        </w:rPr>
        <w:t>n</w:t>
      </w:r>
      <w:r w:rsidR="0014272F">
        <w:rPr>
          <w:lang w:val="de-AT"/>
        </w:rPr>
        <w:t>den Wohnung und die Vergabe derselben komplett voneinander getrennt ablaufen</w:t>
      </w:r>
      <w:r w:rsidR="00D637DC">
        <w:rPr>
          <w:lang w:val="de-AT"/>
        </w:rPr>
        <w:t>, der Sac</w:t>
      </w:r>
      <w:r w:rsidR="00D637DC">
        <w:rPr>
          <w:lang w:val="de-AT"/>
        </w:rPr>
        <w:t>h</w:t>
      </w:r>
      <w:r w:rsidR="00D637DC">
        <w:rPr>
          <w:lang w:val="de-AT"/>
        </w:rPr>
        <w:t>bearbeiter letztlich dieselben Informationen über diese Wohnung erhält, die auch auf der H</w:t>
      </w:r>
      <w:r w:rsidR="00D637DC">
        <w:rPr>
          <w:lang w:val="de-AT"/>
        </w:rPr>
        <w:t>o</w:t>
      </w:r>
      <w:r w:rsidR="00D637DC">
        <w:rPr>
          <w:lang w:val="de-AT"/>
        </w:rPr>
        <w:t>mepage veröffentlicht und den WohnungswerberInnen zugänglich sind.</w:t>
      </w:r>
      <w:r w:rsidR="00A31457">
        <w:rPr>
          <w:lang w:val="de-AT"/>
        </w:rPr>
        <w:br/>
      </w:r>
    </w:p>
    <w:p w:rsidR="0092650B" w:rsidRPr="00260CE1" w:rsidRDefault="00260CE1" w:rsidP="00260CE1">
      <w:pPr>
        <w:rPr>
          <w:rStyle w:val="SchwacherVerweis"/>
          <w:lang w:val="de-AT"/>
        </w:rPr>
      </w:pPr>
      <w:r w:rsidRPr="00260CE1">
        <w:rPr>
          <w:rStyle w:val="SchwacherVerweis"/>
        </w:rPr>
        <w:t>Grafik 2</w:t>
      </w:r>
      <w:r w:rsidR="008C0EDD">
        <w:rPr>
          <w:rStyle w:val="SchwacherVerweis"/>
        </w:rPr>
        <w:t>6</w:t>
      </w:r>
      <w:r w:rsidRPr="00260CE1">
        <w:rPr>
          <w:rStyle w:val="SchwacherVerweis"/>
        </w:rPr>
        <w:t xml:space="preserve">: </w:t>
      </w:r>
      <w:r w:rsidR="0092650B" w:rsidRPr="00260CE1">
        <w:rPr>
          <w:rStyle w:val="SchwacherVerweis"/>
          <w:lang w:val="de-AT"/>
        </w:rPr>
        <w:t>Bevor eine nicht-österreichische Familie eine Wohnung erhält, ist deren Berei</w:t>
      </w:r>
      <w:r w:rsidR="0092650B" w:rsidRPr="00260CE1">
        <w:rPr>
          <w:rStyle w:val="SchwacherVerweis"/>
          <w:lang w:val="de-AT"/>
        </w:rPr>
        <w:t>t</w:t>
      </w:r>
      <w:r w:rsidR="0092650B" w:rsidRPr="00260CE1">
        <w:rPr>
          <w:rStyle w:val="SchwacherVerweis"/>
          <w:lang w:val="de-AT"/>
        </w:rPr>
        <w:t>schaft zu überprüfen, sich in die Hausgemeinschaft einzufügen.</w:t>
      </w:r>
    </w:p>
    <w:p w:rsidR="006144FD" w:rsidRDefault="00830F73">
      <w:pPr>
        <w:rPr>
          <w:lang w:val="de-AT"/>
        </w:rPr>
      </w:pPr>
      <w:r w:rsidRPr="00830F73">
        <w:rPr>
          <w:noProof/>
          <w:lang w:val="de-AT" w:eastAsia="de-AT"/>
        </w:rPr>
        <w:drawing>
          <wp:inline distT="0" distB="0" distL="0" distR="0">
            <wp:extent cx="4572000" cy="2743200"/>
            <wp:effectExtent l="19050" t="0" r="19050" b="0"/>
            <wp:docPr id="34" name="Diagram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C4990" w:rsidRDefault="00751099" w:rsidP="009E4E5F">
      <w:pPr>
        <w:rPr>
          <w:lang w:val="de-AT"/>
        </w:rPr>
      </w:pPr>
      <w:r>
        <w:rPr>
          <w:lang w:val="de-AT"/>
        </w:rPr>
        <w:br/>
      </w:r>
      <w:r w:rsidR="00DC4990">
        <w:rPr>
          <w:lang w:val="de-AT"/>
        </w:rPr>
        <w:t xml:space="preserve">Diese </w:t>
      </w:r>
      <w:r w:rsidR="00DC1BEE">
        <w:rPr>
          <w:lang w:val="de-AT"/>
        </w:rPr>
        <w:t>ausgesprochen</w:t>
      </w:r>
      <w:r w:rsidR="00DC4990">
        <w:rPr>
          <w:lang w:val="de-AT"/>
        </w:rPr>
        <w:t xml:space="preserve"> provokant formulierte Zielvorstellung fällt bei den befragten Einrichtu</w:t>
      </w:r>
      <w:r w:rsidR="00DC4990">
        <w:rPr>
          <w:lang w:val="de-AT"/>
        </w:rPr>
        <w:t>n</w:t>
      </w:r>
      <w:r w:rsidR="00DC4990">
        <w:rPr>
          <w:lang w:val="de-AT"/>
        </w:rPr>
        <w:t xml:space="preserve">gen nahezu einhellig durch. </w:t>
      </w:r>
      <w:r w:rsidR="00DC1BEE">
        <w:rPr>
          <w:lang w:val="de-AT"/>
        </w:rPr>
        <w:t xml:space="preserve">Immerhin aber kann sich </w:t>
      </w:r>
      <w:r w:rsidR="00DC4990">
        <w:rPr>
          <w:lang w:val="de-AT"/>
        </w:rPr>
        <w:t>jedes vierte Wohnungsamt (24%) vo</w:t>
      </w:r>
      <w:r w:rsidR="00DC4990">
        <w:rPr>
          <w:lang w:val="de-AT"/>
        </w:rPr>
        <w:t>r</w:t>
      </w:r>
      <w:r w:rsidR="00DC4990">
        <w:rPr>
          <w:lang w:val="de-AT"/>
        </w:rPr>
        <w:t>stellen, diesem Grundsatz in der Vergabepraxis zu folgen. Von den gemeinnützigen Bauträgern kann sich nur etwa jeder Fünfte (21%) mit dieser Vorgabe identifizieren.</w:t>
      </w:r>
    </w:p>
    <w:p w:rsidR="009E4E5F" w:rsidRDefault="00DC4990" w:rsidP="009E4E5F">
      <w:pPr>
        <w:rPr>
          <w:lang w:val="de-AT"/>
        </w:rPr>
      </w:pPr>
      <w:r>
        <w:rPr>
          <w:lang w:val="de-AT"/>
        </w:rPr>
        <w:t>Demgegenüber fällt die Zustimmung zu dieser Leitidee bei privaten Bauträgern und Ber</w:t>
      </w:r>
      <w:r>
        <w:rPr>
          <w:lang w:val="de-AT"/>
        </w:rPr>
        <w:t>a</w:t>
      </w:r>
      <w:r>
        <w:rPr>
          <w:lang w:val="de-AT"/>
        </w:rPr>
        <w:t>tungseinrichtungen noch einmal ab und erscheint mit einer Zustimmungsquote von 17 respe</w:t>
      </w:r>
      <w:r>
        <w:rPr>
          <w:lang w:val="de-AT"/>
        </w:rPr>
        <w:t>k</w:t>
      </w:r>
      <w:r>
        <w:rPr>
          <w:lang w:val="de-AT"/>
        </w:rPr>
        <w:t xml:space="preserve">tive 16% eher zu vernachlässigen. </w:t>
      </w:r>
      <w:r w:rsidR="009E4E5F">
        <w:rPr>
          <w:lang w:val="de-AT"/>
        </w:rPr>
        <w:br/>
      </w:r>
    </w:p>
    <w:p w:rsidR="001D4877" w:rsidRDefault="001D4877">
      <w:pPr>
        <w:spacing w:before="180" w:after="240" w:line="336" w:lineRule="auto"/>
        <w:jc w:val="center"/>
        <w:rPr>
          <w:lang w:val="de-AT"/>
        </w:rPr>
      </w:pPr>
      <w:r>
        <w:rPr>
          <w:lang w:val="de-AT"/>
        </w:rPr>
        <w:br w:type="page"/>
      </w:r>
    </w:p>
    <w:p w:rsidR="00751099" w:rsidRDefault="00751099" w:rsidP="009E4E5F">
      <w:pPr>
        <w:rPr>
          <w:lang w:val="de-AT"/>
        </w:rPr>
      </w:pPr>
      <w:r>
        <w:rPr>
          <w:lang w:val="de-AT"/>
        </w:rPr>
        <w:lastRenderedPageBreak/>
        <w:t xml:space="preserve">Auch in dieser Fragestellung wird letztlich deutlich, dass es zumindest einen Bedarf nach </w:t>
      </w:r>
      <w:r w:rsidR="00B309D0">
        <w:rPr>
          <w:lang w:val="de-AT"/>
        </w:rPr>
        <w:t>b</w:t>
      </w:r>
      <w:r w:rsidR="00B309D0">
        <w:rPr>
          <w:lang w:val="de-AT"/>
        </w:rPr>
        <w:t>e</w:t>
      </w:r>
      <w:r w:rsidR="00B309D0">
        <w:rPr>
          <w:lang w:val="de-AT"/>
        </w:rPr>
        <w:t xml:space="preserve">reichsübergreifender Kommunikation und insbesondere nach einer kritischen </w:t>
      </w:r>
      <w:r>
        <w:rPr>
          <w:lang w:val="de-AT"/>
        </w:rPr>
        <w:t xml:space="preserve">Diskussion der handlungsleitenden Ideen und Leitsätze </w:t>
      </w:r>
      <w:r w:rsidR="00B309D0">
        <w:rPr>
          <w:lang w:val="de-AT"/>
        </w:rPr>
        <w:t>gibt</w:t>
      </w:r>
      <w:r>
        <w:rPr>
          <w:lang w:val="de-AT"/>
        </w:rPr>
        <w:t>. Die Vorstellung, wonach etwa jede fünfte wo</w:t>
      </w:r>
      <w:r>
        <w:rPr>
          <w:lang w:val="de-AT"/>
        </w:rPr>
        <w:t>h</w:t>
      </w:r>
      <w:r>
        <w:rPr>
          <w:lang w:val="de-AT"/>
        </w:rPr>
        <w:t>nungsmarktrelevante Einrichtung die Idee für gut befindet, das zukünftige Wohl</w:t>
      </w:r>
      <w:r w:rsidR="00A31457">
        <w:rPr>
          <w:lang w:val="de-AT"/>
        </w:rPr>
        <w:t>verhalt</w:t>
      </w:r>
      <w:r>
        <w:rPr>
          <w:lang w:val="de-AT"/>
        </w:rPr>
        <w:t>en von WohnungswerberInnen zu überprüfen und möglicherweise zu sanktionieren, liefert für diesen Vorschlag einen nachdrücklichen</w:t>
      </w:r>
      <w:r w:rsidR="00A31457">
        <w:rPr>
          <w:lang w:val="de-AT"/>
        </w:rPr>
        <w:t xml:space="preserve"> Beleg</w:t>
      </w:r>
      <w:r>
        <w:rPr>
          <w:lang w:val="de-AT"/>
        </w:rPr>
        <w:t>.</w:t>
      </w:r>
    </w:p>
    <w:p w:rsidR="00751099" w:rsidRDefault="00751099" w:rsidP="009E4E5F">
      <w:pPr>
        <w:rPr>
          <w:lang w:val="de-AT"/>
        </w:rPr>
      </w:pPr>
    </w:p>
    <w:p w:rsidR="0092650B" w:rsidRPr="00260CE1" w:rsidRDefault="00260CE1" w:rsidP="00260CE1">
      <w:pPr>
        <w:rPr>
          <w:rStyle w:val="SchwacherVerweis"/>
          <w:lang w:val="de-AT"/>
        </w:rPr>
      </w:pPr>
      <w:r w:rsidRPr="00260CE1">
        <w:rPr>
          <w:rStyle w:val="SchwacherVerweis"/>
        </w:rPr>
        <w:t>Grafik: 2</w:t>
      </w:r>
      <w:r w:rsidR="008C0EDD">
        <w:rPr>
          <w:rStyle w:val="SchwacherVerweis"/>
        </w:rPr>
        <w:t>7</w:t>
      </w:r>
      <w:r w:rsidRPr="00260CE1">
        <w:rPr>
          <w:rStyle w:val="SchwacherVerweis"/>
        </w:rPr>
        <w:t xml:space="preserve">: </w:t>
      </w:r>
      <w:r w:rsidR="0092650B" w:rsidRPr="00260CE1">
        <w:rPr>
          <w:rStyle w:val="SchwacherVerweis"/>
          <w:lang w:val="de-AT"/>
        </w:rPr>
        <w:t>Bei der Abklärung von Voraussetzungen und besonderen Bedürfnissen von Wo</w:t>
      </w:r>
      <w:r w:rsidR="0092650B" w:rsidRPr="00260CE1">
        <w:rPr>
          <w:rStyle w:val="SchwacherVerweis"/>
          <w:lang w:val="de-AT"/>
        </w:rPr>
        <w:t>h</w:t>
      </w:r>
      <w:r w:rsidR="0092650B" w:rsidRPr="00260CE1">
        <w:rPr>
          <w:rStyle w:val="SchwacherVerweis"/>
          <w:lang w:val="de-AT"/>
        </w:rPr>
        <w:t>nungswerberInnen mit Migrationshintergrund sollen externe Beratungsstellen für die Ber</w:t>
      </w:r>
      <w:r w:rsidR="0092650B" w:rsidRPr="00260CE1">
        <w:rPr>
          <w:rStyle w:val="SchwacherVerweis"/>
          <w:lang w:val="de-AT"/>
        </w:rPr>
        <w:t>a</w:t>
      </w:r>
      <w:r w:rsidR="0092650B" w:rsidRPr="00260CE1">
        <w:rPr>
          <w:rStyle w:val="SchwacherVerweis"/>
          <w:lang w:val="de-AT"/>
        </w:rPr>
        <w:t>tung/Betreuung dieser Familien beigezogen werden.</w:t>
      </w:r>
    </w:p>
    <w:p w:rsidR="0092650B" w:rsidRDefault="003026D4">
      <w:pPr>
        <w:rPr>
          <w:lang w:val="de-AT"/>
        </w:rPr>
      </w:pPr>
      <w:r w:rsidRPr="003026D4">
        <w:rPr>
          <w:noProof/>
          <w:lang w:val="de-AT" w:eastAsia="de-AT"/>
        </w:rPr>
        <w:drawing>
          <wp:inline distT="0" distB="0" distL="0" distR="0">
            <wp:extent cx="4572000" cy="2743200"/>
            <wp:effectExtent l="19050" t="0" r="19050" b="0"/>
            <wp:docPr id="35" name="Diagram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DC4990" w:rsidRDefault="00DC4990">
      <w:pPr>
        <w:rPr>
          <w:lang w:val="de-AT"/>
        </w:rPr>
      </w:pPr>
      <w:r>
        <w:rPr>
          <w:lang w:val="de-AT"/>
        </w:rPr>
        <w:br/>
        <w:t>Mehrheitlich stimmen die erfassten Einrichtungen der Idee zu, wonach eine Beiziehung von externen Beratungsstellen zur Unterstützung von WohnungswerberInnen mit Migrationshi</w:t>
      </w:r>
      <w:r>
        <w:rPr>
          <w:lang w:val="de-AT"/>
        </w:rPr>
        <w:t>n</w:t>
      </w:r>
      <w:r>
        <w:rPr>
          <w:lang w:val="de-AT"/>
        </w:rPr>
        <w:t>tergrund wünschen</w:t>
      </w:r>
      <w:r w:rsidR="00751099">
        <w:rPr>
          <w:lang w:val="de-AT"/>
        </w:rPr>
        <w:t>s</w:t>
      </w:r>
      <w:r>
        <w:rPr>
          <w:lang w:val="de-AT"/>
        </w:rPr>
        <w:t xml:space="preserve">wert </w:t>
      </w:r>
      <w:r w:rsidR="00751099">
        <w:rPr>
          <w:lang w:val="de-AT"/>
        </w:rPr>
        <w:t>wäre</w:t>
      </w:r>
      <w:r>
        <w:rPr>
          <w:lang w:val="de-AT"/>
        </w:rPr>
        <w:t>. Die Zustimmung zu dieser Leitvorstellung ist (naturgemäß) bei Beratungs- und Betreuungseinrichtungen besonders ausgeprägt (63%). Aber auch Wo</w:t>
      </w:r>
      <w:r>
        <w:rPr>
          <w:lang w:val="de-AT"/>
        </w:rPr>
        <w:t>h</w:t>
      </w:r>
      <w:r>
        <w:rPr>
          <w:lang w:val="de-AT"/>
        </w:rPr>
        <w:t>nungsämter (55%) und Gemeinnützige Bauträger (50%) können dieser Idee mehrheitlich e</w:t>
      </w:r>
      <w:r>
        <w:rPr>
          <w:lang w:val="de-AT"/>
        </w:rPr>
        <w:t>t</w:t>
      </w:r>
      <w:r>
        <w:rPr>
          <w:lang w:val="de-AT"/>
        </w:rPr>
        <w:t>was abgewinnen. Lediglich private Bauträger erweisen sich hier als zurückhaltend. Deren Z</w:t>
      </w:r>
      <w:r>
        <w:rPr>
          <w:lang w:val="de-AT"/>
        </w:rPr>
        <w:t>u</w:t>
      </w:r>
      <w:r>
        <w:rPr>
          <w:lang w:val="de-AT"/>
        </w:rPr>
        <w:t>stimmungsquote liegt mit 45% bereits deutlich unter der Hälfte.</w:t>
      </w:r>
    </w:p>
    <w:p w:rsidR="003F734C" w:rsidRDefault="00751099" w:rsidP="00A31457">
      <w:pPr>
        <w:rPr>
          <w:lang w:val="de-AT"/>
        </w:rPr>
      </w:pPr>
      <w:r>
        <w:rPr>
          <w:lang w:val="de-AT"/>
        </w:rPr>
        <w:t xml:space="preserve">Insgesamt stimmt diese relativ hohe Zustimmung </w:t>
      </w:r>
      <w:r w:rsidR="00B309D0">
        <w:rPr>
          <w:lang w:val="de-AT"/>
        </w:rPr>
        <w:t>optimistisch, solcherart eine längst überfäll</w:t>
      </w:r>
      <w:r w:rsidR="00B309D0">
        <w:rPr>
          <w:lang w:val="de-AT"/>
        </w:rPr>
        <w:t>i</w:t>
      </w:r>
      <w:r w:rsidR="00B309D0">
        <w:rPr>
          <w:lang w:val="de-AT"/>
        </w:rPr>
        <w:t>ge vertiefte Kooperation zwischen den unterschiedlichen wohnungsmarktrelevanten Einric</w:t>
      </w:r>
      <w:r w:rsidR="00B309D0">
        <w:rPr>
          <w:lang w:val="de-AT"/>
        </w:rPr>
        <w:t>h</w:t>
      </w:r>
      <w:r w:rsidR="00B309D0">
        <w:rPr>
          <w:lang w:val="de-AT"/>
        </w:rPr>
        <w:t xml:space="preserve">tungen und Agenturen in die Wege leiten zu können. </w:t>
      </w:r>
      <w:r w:rsidR="00A31457">
        <w:rPr>
          <w:lang w:val="de-AT"/>
        </w:rPr>
        <w:br/>
      </w:r>
    </w:p>
    <w:p w:rsidR="003F734C" w:rsidRPr="003F734C" w:rsidRDefault="00183DE4" w:rsidP="00183DE4">
      <w:pPr>
        <w:pStyle w:val="berschrift3"/>
      </w:pPr>
      <w:r>
        <w:lastRenderedPageBreak/>
        <w:t>3</w:t>
      </w:r>
      <w:r w:rsidR="003F734C" w:rsidRPr="003F734C">
        <w:t>.2</w:t>
      </w:r>
      <w:r w:rsidR="003F734C" w:rsidRPr="003F734C">
        <w:tab/>
        <w:t>Regionale Ausprägungen von Leitbildern und Zielvorstellungen</w:t>
      </w:r>
    </w:p>
    <w:p w:rsidR="003F734C" w:rsidRDefault="00183DE4">
      <w:pPr>
        <w:rPr>
          <w:lang w:val="de-AT"/>
        </w:rPr>
      </w:pPr>
      <w:r>
        <w:rPr>
          <w:lang w:val="de-AT"/>
        </w:rPr>
        <w:br/>
      </w:r>
      <w:r w:rsidR="00CA1940">
        <w:rPr>
          <w:lang w:val="de-AT"/>
        </w:rPr>
        <w:t>Die voranstehend vorgestellten und jeweils eher pointiert formulierten Leitsätze und Zielvo</w:t>
      </w:r>
      <w:r w:rsidR="00CA1940">
        <w:rPr>
          <w:lang w:val="de-AT"/>
        </w:rPr>
        <w:t>r</w:t>
      </w:r>
      <w:r w:rsidR="00CA1940">
        <w:rPr>
          <w:lang w:val="de-AT"/>
        </w:rPr>
        <w:t>gaben finden sich auch in den Interviews und Gesprächsrunden mit ExpertInnen in den M</w:t>
      </w:r>
      <w:r w:rsidR="00CA1940">
        <w:rPr>
          <w:lang w:val="de-AT"/>
        </w:rPr>
        <w:t>o</w:t>
      </w:r>
      <w:r w:rsidR="00CA1940">
        <w:rPr>
          <w:lang w:val="de-AT"/>
        </w:rPr>
        <w:t>dellregionen wieder, mit jeweils regionalspezifischen Ausprägungen und Abweichungen. Die Zusammenschau der zentralen Aussagen und Kernsätze macht deutlich, dass auch in der Fr</w:t>
      </w:r>
      <w:r w:rsidR="00CA1940">
        <w:rPr>
          <w:lang w:val="de-AT"/>
        </w:rPr>
        <w:t>a</w:t>
      </w:r>
      <w:r w:rsidR="00CA1940">
        <w:rPr>
          <w:lang w:val="de-AT"/>
        </w:rPr>
        <w:t>ge der ideengeleiteten und zielorientierten Wohnpolitik der Städte und Bundesländer erhebl</w:t>
      </w:r>
      <w:r w:rsidR="00CA1940">
        <w:rPr>
          <w:lang w:val="de-AT"/>
        </w:rPr>
        <w:t>i</w:t>
      </w:r>
      <w:r w:rsidR="00CA1940">
        <w:rPr>
          <w:lang w:val="de-AT"/>
        </w:rPr>
        <w:t>che Unterschiede bestehen.</w:t>
      </w:r>
      <w:r w:rsidR="00CA1940">
        <w:rPr>
          <w:lang w:val="de-AT"/>
        </w:rPr>
        <w:br/>
      </w:r>
    </w:p>
    <w:p w:rsidR="0062748C" w:rsidRPr="0062748C" w:rsidRDefault="0062748C">
      <w:pPr>
        <w:rPr>
          <w:u w:val="single"/>
          <w:lang w:val="de-AT"/>
        </w:rPr>
      </w:pPr>
      <w:r>
        <w:rPr>
          <w:u w:val="single"/>
          <w:lang w:val="de-AT"/>
        </w:rPr>
        <w:t>Fallbeispiel Bregenz</w:t>
      </w:r>
    </w:p>
    <w:tbl>
      <w:tblPr>
        <w:tblStyle w:val="Tabellengitternetz"/>
        <w:tblW w:w="0" w:type="auto"/>
        <w:tblLook w:val="04A0"/>
      </w:tblPr>
      <w:tblGrid>
        <w:gridCol w:w="9212"/>
      </w:tblGrid>
      <w:tr w:rsidR="00552F6A" w:rsidRPr="00DA5171" w:rsidTr="005C377C">
        <w:tc>
          <w:tcPr>
            <w:tcW w:w="9212" w:type="dxa"/>
          </w:tcPr>
          <w:p w:rsidR="00587957" w:rsidRDefault="00552F6A" w:rsidP="00044AF0">
            <w:pPr>
              <w:spacing w:beforeLines="40" w:afterLines="40" w:line="240" w:lineRule="auto"/>
              <w:jc w:val="left"/>
              <w:rPr>
                <w:i/>
                <w:sz w:val="20"/>
                <w:szCs w:val="24"/>
                <w:lang w:val="de-AT"/>
              </w:rPr>
            </w:pPr>
            <w:r w:rsidRPr="00552F6A">
              <w:rPr>
                <w:i/>
                <w:sz w:val="20"/>
                <w:lang w:val="de-AT"/>
              </w:rPr>
              <w:t>Zuoberst steht das Bekenntnis, einen ‚</w:t>
            </w:r>
            <w:r w:rsidRPr="00B2372D">
              <w:rPr>
                <w:i/>
                <w:sz w:val="20"/>
                <w:lang w:val="de-AT"/>
              </w:rPr>
              <w:t>guten‘ sozialen Mix</w:t>
            </w:r>
            <w:r w:rsidRPr="00552F6A">
              <w:rPr>
                <w:i/>
                <w:sz w:val="20"/>
                <w:lang w:val="de-AT"/>
              </w:rPr>
              <w:t xml:space="preserve"> anzustreben. Die Frage der ethnischen Zugehörigkeit spielt dabei eine eher nachrangige Bedeutung, u.a. weil es in den letzten Jahren ve</w:t>
            </w:r>
            <w:r w:rsidRPr="00552F6A">
              <w:rPr>
                <w:i/>
                <w:sz w:val="20"/>
                <w:lang w:val="de-AT"/>
              </w:rPr>
              <w:t>r</w:t>
            </w:r>
            <w:r w:rsidRPr="00552F6A">
              <w:rPr>
                <w:i/>
                <w:sz w:val="20"/>
                <w:lang w:val="de-AT"/>
              </w:rPr>
              <w:t xml:space="preserve">mehrt zu Einbürgerungen, </w:t>
            </w:r>
            <w:r w:rsidR="00C63F08">
              <w:rPr>
                <w:i/>
                <w:sz w:val="20"/>
                <w:lang w:val="de-AT"/>
              </w:rPr>
              <w:t>insbesondere</w:t>
            </w:r>
            <w:r w:rsidRPr="00552F6A">
              <w:rPr>
                <w:i/>
                <w:sz w:val="20"/>
                <w:lang w:val="de-AT"/>
              </w:rPr>
              <w:t xml:space="preserve"> ehemals türkischer StaatsbürgerInnen, gekommen ist. In diesem Zusammenhang stellt sich das Problem, dass die sozialen Kriterien für die Gestaltung eines sozialverträglichen Mix eher unklar, schwammig, unscharf, intransparent etc. sind.</w:t>
            </w:r>
          </w:p>
          <w:p w:rsidR="001E30B4" w:rsidRDefault="00552F6A" w:rsidP="00044AF0">
            <w:pPr>
              <w:spacing w:beforeLines="40" w:afterLines="40" w:line="240" w:lineRule="auto"/>
              <w:jc w:val="right"/>
              <w:rPr>
                <w:rFonts w:eastAsiaTheme="majorEastAsia"/>
                <w:b/>
                <w:bCs/>
                <w:i/>
                <w:iCs/>
                <w:color w:val="4F81BD" w:themeColor="accent1"/>
                <w:sz w:val="20"/>
                <w:szCs w:val="24"/>
                <w:lang w:val="de-AT"/>
              </w:rPr>
            </w:pPr>
            <w:r>
              <w:rPr>
                <w:i/>
                <w:sz w:val="20"/>
                <w:lang w:val="de-AT"/>
              </w:rPr>
              <w:t>Interview Sozial-/Wohnungsverwaltung</w:t>
            </w:r>
          </w:p>
        </w:tc>
      </w:tr>
    </w:tbl>
    <w:p w:rsidR="0062748C" w:rsidRPr="0062748C" w:rsidRDefault="0062748C"/>
    <w:p w:rsidR="0062748C" w:rsidRPr="0062748C" w:rsidRDefault="0062748C">
      <w:pPr>
        <w:rPr>
          <w:u w:val="single"/>
          <w:lang w:val="de-AT"/>
        </w:rPr>
      </w:pPr>
      <w:r w:rsidRPr="0062748C">
        <w:rPr>
          <w:u w:val="single"/>
          <w:lang w:val="de-AT"/>
        </w:rPr>
        <w:t>Fallbeispiel Linz / Oberösterreich</w:t>
      </w:r>
    </w:p>
    <w:tbl>
      <w:tblPr>
        <w:tblStyle w:val="Tabellengitternetz"/>
        <w:tblW w:w="0" w:type="auto"/>
        <w:tblLook w:val="04A0"/>
      </w:tblPr>
      <w:tblGrid>
        <w:gridCol w:w="9288"/>
      </w:tblGrid>
      <w:tr w:rsidR="00552F6A" w:rsidRPr="00DA5171" w:rsidTr="005C377C">
        <w:tc>
          <w:tcPr>
            <w:tcW w:w="9288" w:type="dxa"/>
          </w:tcPr>
          <w:p w:rsidR="00587957" w:rsidRDefault="00552F6A" w:rsidP="00044AF0">
            <w:pPr>
              <w:spacing w:beforeLines="40" w:afterLines="40" w:line="240" w:lineRule="auto"/>
              <w:jc w:val="left"/>
              <w:rPr>
                <w:i/>
                <w:sz w:val="20"/>
                <w:szCs w:val="26"/>
              </w:rPr>
            </w:pPr>
            <w:r w:rsidRPr="00552F6A">
              <w:rPr>
                <w:i/>
                <w:sz w:val="20"/>
                <w:szCs w:val="26"/>
              </w:rPr>
              <w:t xml:space="preserve">In der Vergabe wird eine </w:t>
            </w:r>
            <w:r w:rsidRPr="00B2372D">
              <w:rPr>
                <w:i/>
                <w:sz w:val="20"/>
                <w:szCs w:val="26"/>
              </w:rPr>
              <w:t>soziale Durchmischung</w:t>
            </w:r>
            <w:r w:rsidRPr="00552F6A">
              <w:rPr>
                <w:i/>
                <w:sz w:val="20"/>
                <w:szCs w:val="26"/>
              </w:rPr>
              <w:t xml:space="preserve"> angestrebt. </w:t>
            </w:r>
            <w:r w:rsidR="00B2372D">
              <w:rPr>
                <w:i/>
                <w:sz w:val="20"/>
                <w:szCs w:val="26"/>
              </w:rPr>
              <w:t>„</w:t>
            </w:r>
            <w:r w:rsidRPr="00552F6A">
              <w:rPr>
                <w:i/>
                <w:sz w:val="20"/>
                <w:szCs w:val="26"/>
              </w:rPr>
              <w:t>Ziel der Vergabe wäre eine gute Durc</w:t>
            </w:r>
            <w:r w:rsidRPr="00552F6A">
              <w:rPr>
                <w:i/>
                <w:sz w:val="20"/>
                <w:szCs w:val="26"/>
              </w:rPr>
              <w:t>h</w:t>
            </w:r>
            <w:r w:rsidRPr="00552F6A">
              <w:rPr>
                <w:i/>
                <w:sz w:val="20"/>
                <w:szCs w:val="26"/>
              </w:rPr>
              <w:t>mischung. Dann kann ich aufbauend was machen.</w:t>
            </w:r>
            <w:r w:rsidR="00B2372D">
              <w:rPr>
                <w:i/>
                <w:sz w:val="20"/>
                <w:szCs w:val="26"/>
              </w:rPr>
              <w:t>“</w:t>
            </w:r>
            <w:r w:rsidRPr="00552F6A">
              <w:rPr>
                <w:i/>
                <w:sz w:val="20"/>
                <w:szCs w:val="26"/>
              </w:rPr>
              <w:t xml:space="preserve"> </w:t>
            </w:r>
          </w:p>
          <w:p w:rsidR="001E30B4" w:rsidRDefault="00B2372D" w:rsidP="00044AF0">
            <w:pPr>
              <w:spacing w:beforeLines="40" w:afterLines="40" w:line="240" w:lineRule="auto"/>
              <w:jc w:val="right"/>
              <w:rPr>
                <w:i/>
                <w:sz w:val="20"/>
                <w:szCs w:val="26"/>
              </w:rPr>
            </w:pPr>
            <w:r>
              <w:rPr>
                <w:i/>
                <w:sz w:val="20"/>
                <w:szCs w:val="26"/>
              </w:rPr>
              <w:t>Interview Bauträger</w:t>
            </w:r>
          </w:p>
          <w:p w:rsidR="001E30B4" w:rsidRDefault="00B2372D" w:rsidP="00044AF0">
            <w:pPr>
              <w:spacing w:beforeLines="40" w:afterLines="40" w:line="240" w:lineRule="auto"/>
              <w:jc w:val="left"/>
              <w:rPr>
                <w:i/>
                <w:sz w:val="20"/>
                <w:szCs w:val="26"/>
              </w:rPr>
            </w:pPr>
            <w:r>
              <w:rPr>
                <w:i/>
                <w:sz w:val="20"/>
                <w:szCs w:val="26"/>
              </w:rPr>
              <w:t>Im Vordergrund der Zusammenarbeit zwischen Gemeinnützigen Bauträgern und den Linzer Betreu</w:t>
            </w:r>
            <w:r w:rsidR="001D4877">
              <w:rPr>
                <w:i/>
                <w:sz w:val="20"/>
                <w:szCs w:val="26"/>
              </w:rPr>
              <w:softHyphen/>
            </w:r>
            <w:r>
              <w:rPr>
                <w:i/>
                <w:sz w:val="20"/>
                <w:szCs w:val="26"/>
              </w:rPr>
              <w:t>ungseinrichtungen steht das Bemühen, Armut und soziale Ausgrenzung zu bekämpfen. Zu hohen A</w:t>
            </w:r>
            <w:r>
              <w:rPr>
                <w:i/>
                <w:sz w:val="20"/>
                <w:szCs w:val="26"/>
              </w:rPr>
              <w:t>n</w:t>
            </w:r>
            <w:r>
              <w:rPr>
                <w:i/>
                <w:sz w:val="20"/>
                <w:szCs w:val="26"/>
              </w:rPr>
              <w:t>teilen profitieren davon auch Haushalte mit Migrationshintergrund, die so zu einer dauerhaften und leistbaren Wohnversorgung kommen.</w:t>
            </w:r>
          </w:p>
          <w:p w:rsidR="001E30B4" w:rsidRDefault="00552F6A" w:rsidP="00044AF0">
            <w:pPr>
              <w:spacing w:beforeLines="40" w:afterLines="40" w:line="240" w:lineRule="auto"/>
              <w:jc w:val="right"/>
              <w:rPr>
                <w:i/>
                <w:sz w:val="20"/>
                <w:szCs w:val="24"/>
                <w:lang w:val="de-AT"/>
              </w:rPr>
            </w:pPr>
            <w:r>
              <w:rPr>
                <w:i/>
                <w:sz w:val="20"/>
                <w:szCs w:val="26"/>
              </w:rPr>
              <w:t xml:space="preserve">Interview </w:t>
            </w:r>
            <w:r w:rsidR="00B2372D">
              <w:rPr>
                <w:i/>
                <w:sz w:val="20"/>
                <w:szCs w:val="26"/>
              </w:rPr>
              <w:t>Beratungsstelle</w:t>
            </w:r>
          </w:p>
        </w:tc>
      </w:tr>
    </w:tbl>
    <w:p w:rsidR="0062748C" w:rsidRPr="0062748C" w:rsidRDefault="0062748C"/>
    <w:p w:rsidR="0062748C" w:rsidRPr="0062748C" w:rsidRDefault="0062748C">
      <w:pPr>
        <w:rPr>
          <w:u w:val="single"/>
          <w:lang w:val="de-AT"/>
        </w:rPr>
      </w:pPr>
      <w:r w:rsidRPr="0062748C">
        <w:rPr>
          <w:u w:val="single"/>
          <w:lang w:val="de-AT"/>
        </w:rPr>
        <w:t>Fallbeispiel Niederösterreich</w:t>
      </w:r>
    </w:p>
    <w:tbl>
      <w:tblPr>
        <w:tblStyle w:val="Tabellengitternetz"/>
        <w:tblW w:w="0" w:type="auto"/>
        <w:tblLook w:val="04A0"/>
      </w:tblPr>
      <w:tblGrid>
        <w:gridCol w:w="9288"/>
      </w:tblGrid>
      <w:tr w:rsidR="00552F6A" w:rsidRPr="00DA5171" w:rsidTr="005C377C">
        <w:tc>
          <w:tcPr>
            <w:tcW w:w="9288" w:type="dxa"/>
          </w:tcPr>
          <w:p w:rsidR="007E28CC" w:rsidRPr="00743133" w:rsidRDefault="007E28CC" w:rsidP="00743133">
            <w:pPr>
              <w:spacing w:before="60" w:after="60" w:line="240" w:lineRule="auto"/>
              <w:jc w:val="left"/>
              <w:rPr>
                <w:rFonts w:cs="Tahoma"/>
                <w:b/>
                <w:i/>
                <w:sz w:val="20"/>
              </w:rPr>
            </w:pPr>
            <w:r w:rsidRPr="007E28CC">
              <w:rPr>
                <w:rFonts w:cs="Tahoma"/>
                <w:i/>
                <w:sz w:val="20"/>
              </w:rPr>
              <w:t xml:space="preserve">In der Wohnungsvergabe wird aktiv versucht zu </w:t>
            </w:r>
            <w:r w:rsidRPr="00B2372D">
              <w:rPr>
                <w:rFonts w:cs="Tahoma"/>
                <w:i/>
                <w:sz w:val="20"/>
              </w:rPr>
              <w:t>regulieren</w:t>
            </w:r>
            <w:r w:rsidR="00C525C3">
              <w:rPr>
                <w:rFonts w:cs="Tahoma"/>
                <w:i/>
                <w:sz w:val="20"/>
              </w:rPr>
              <w:t>,</w:t>
            </w:r>
            <w:r w:rsidRPr="007E28CC">
              <w:rPr>
                <w:rFonts w:cs="Tahoma"/>
                <w:i/>
                <w:sz w:val="20"/>
              </w:rPr>
              <w:t xml:space="preserve"> wie viele Drittstaatsangehörige in ein und denselben Wohnblock vermittelt werden. Die </w:t>
            </w:r>
            <w:r w:rsidRPr="00B2372D">
              <w:rPr>
                <w:rFonts w:cs="Tahoma"/>
                <w:i/>
                <w:sz w:val="20"/>
              </w:rPr>
              <w:t>richtige Mischung</w:t>
            </w:r>
            <w:r w:rsidRPr="007E28CC">
              <w:rPr>
                <w:rFonts w:cs="Tahoma"/>
                <w:i/>
                <w:sz w:val="20"/>
              </w:rPr>
              <w:t xml:space="preserve"> zu finden, dazu braucht es sehr viel Fingerspitzengefühl und Knowhow. Es bedarf der gezielten Aufmerksamkeit</w:t>
            </w:r>
            <w:r w:rsidR="00743133">
              <w:rPr>
                <w:rFonts w:cs="Tahoma"/>
                <w:i/>
                <w:sz w:val="20"/>
              </w:rPr>
              <w:t xml:space="preserve"> und</w:t>
            </w:r>
            <w:r w:rsidRPr="007E28CC">
              <w:rPr>
                <w:rFonts w:cs="Tahoma"/>
                <w:i/>
                <w:sz w:val="20"/>
              </w:rPr>
              <w:t xml:space="preserve"> </w:t>
            </w:r>
            <w:r w:rsidR="00743133">
              <w:rPr>
                <w:rFonts w:cs="Tahoma"/>
                <w:i/>
                <w:sz w:val="20"/>
              </w:rPr>
              <w:t xml:space="preserve">der </w:t>
            </w:r>
            <w:r w:rsidR="00743133" w:rsidRPr="00B2372D">
              <w:rPr>
                <w:rFonts w:cs="Tahoma"/>
                <w:i/>
                <w:sz w:val="20"/>
              </w:rPr>
              <w:t xml:space="preserve">proaktiven </w:t>
            </w:r>
            <w:r w:rsidRPr="00B2372D">
              <w:rPr>
                <w:rFonts w:cs="Tahoma"/>
                <w:i/>
                <w:sz w:val="20"/>
              </w:rPr>
              <w:t>Sens</w:t>
            </w:r>
            <w:r w:rsidRPr="00B2372D">
              <w:rPr>
                <w:rFonts w:cs="Tahoma"/>
                <w:i/>
                <w:sz w:val="20"/>
              </w:rPr>
              <w:t>i</w:t>
            </w:r>
            <w:r w:rsidRPr="00B2372D">
              <w:rPr>
                <w:rFonts w:cs="Tahoma"/>
                <w:i/>
                <w:sz w:val="20"/>
              </w:rPr>
              <w:t>bilisierung im Wohnumfeld</w:t>
            </w:r>
            <w:r w:rsidR="00743133">
              <w:rPr>
                <w:rFonts w:cs="Tahoma"/>
                <w:i/>
                <w:sz w:val="20"/>
              </w:rPr>
              <w:t>,</w:t>
            </w:r>
            <w:r w:rsidRPr="00743133">
              <w:rPr>
                <w:rFonts w:cs="Tahoma"/>
                <w:i/>
                <w:sz w:val="20"/>
              </w:rPr>
              <w:t xml:space="preserve"> Durchmischung und </w:t>
            </w:r>
            <w:r w:rsidR="00743133">
              <w:rPr>
                <w:rFonts w:cs="Tahoma"/>
                <w:i/>
                <w:sz w:val="20"/>
              </w:rPr>
              <w:t xml:space="preserve">der gezielten </w:t>
            </w:r>
            <w:r w:rsidRPr="00743133">
              <w:rPr>
                <w:rFonts w:cs="Tahoma"/>
                <w:i/>
                <w:sz w:val="20"/>
              </w:rPr>
              <w:t xml:space="preserve">Förderung </w:t>
            </w:r>
            <w:r w:rsidR="00743133">
              <w:rPr>
                <w:rFonts w:cs="Tahoma"/>
                <w:i/>
                <w:sz w:val="20"/>
              </w:rPr>
              <w:t>von</w:t>
            </w:r>
            <w:r w:rsidRPr="00743133">
              <w:rPr>
                <w:rFonts w:cs="Tahoma"/>
                <w:i/>
                <w:sz w:val="20"/>
              </w:rPr>
              <w:t xml:space="preserve"> Integration</w:t>
            </w:r>
            <w:r w:rsidR="00B2372D">
              <w:rPr>
                <w:rFonts w:cs="Tahoma"/>
                <w:i/>
                <w:sz w:val="20"/>
              </w:rPr>
              <w:t>.</w:t>
            </w:r>
          </w:p>
          <w:p w:rsidR="007E28CC" w:rsidRPr="007E28CC" w:rsidRDefault="007E28CC" w:rsidP="007E28CC">
            <w:pPr>
              <w:spacing w:before="60" w:after="60" w:line="240" w:lineRule="auto"/>
              <w:jc w:val="left"/>
              <w:rPr>
                <w:rFonts w:cs="Tahoma"/>
                <w:i/>
                <w:sz w:val="20"/>
              </w:rPr>
            </w:pPr>
            <w:r w:rsidRPr="007E28CC">
              <w:rPr>
                <w:rFonts w:cs="Tahoma"/>
                <w:i/>
                <w:sz w:val="20"/>
              </w:rPr>
              <w:t xml:space="preserve">Das Zusammenleben vor Ort / die Integration in der Hausgemeinschaft regelt sich nicht von selber! Das braucht mehr als Regeln. Es ist ganz wichtig, einen Blick darauf zu haben. Da geht es in erster Linie darum, ob bzw. wo </w:t>
            </w:r>
            <w:r w:rsidR="00C525C3" w:rsidRPr="007E28CC">
              <w:rPr>
                <w:rFonts w:cs="Tahoma"/>
                <w:i/>
                <w:sz w:val="20"/>
              </w:rPr>
              <w:t xml:space="preserve">es </w:t>
            </w:r>
            <w:r w:rsidRPr="007E28CC">
              <w:rPr>
                <w:rFonts w:cs="Tahoma"/>
                <w:i/>
                <w:sz w:val="20"/>
              </w:rPr>
              <w:t>welche Integrationsprobleme gibt, und welche Maßnahmen gesetzt we</w:t>
            </w:r>
            <w:r w:rsidRPr="007E28CC">
              <w:rPr>
                <w:rFonts w:cs="Tahoma"/>
                <w:i/>
                <w:sz w:val="20"/>
              </w:rPr>
              <w:t>r</w:t>
            </w:r>
            <w:r w:rsidRPr="007E28CC">
              <w:rPr>
                <w:rFonts w:cs="Tahoma"/>
                <w:i/>
                <w:sz w:val="20"/>
              </w:rPr>
              <w:t>den</w:t>
            </w:r>
            <w:r w:rsidR="00C525C3" w:rsidRPr="007E28CC">
              <w:rPr>
                <w:rFonts w:cs="Tahoma"/>
                <w:i/>
                <w:sz w:val="20"/>
              </w:rPr>
              <w:t xml:space="preserve"> können</w:t>
            </w:r>
            <w:r w:rsidRPr="007E28CC">
              <w:rPr>
                <w:rFonts w:cs="Tahoma"/>
                <w:i/>
                <w:sz w:val="20"/>
              </w:rPr>
              <w:t>, um Integration zu fördern.</w:t>
            </w:r>
          </w:p>
          <w:p w:rsidR="00CA1940" w:rsidRPr="007E28CC" w:rsidRDefault="007E28CC" w:rsidP="007E28CC">
            <w:pPr>
              <w:spacing w:before="60" w:after="60" w:line="240" w:lineRule="auto"/>
              <w:jc w:val="left"/>
              <w:rPr>
                <w:rFonts w:cs="Tahoma"/>
                <w:b/>
                <w:i/>
                <w:sz w:val="18"/>
              </w:rPr>
            </w:pPr>
            <w:r w:rsidRPr="007E28CC">
              <w:rPr>
                <w:rFonts w:cs="Tahoma"/>
                <w:i/>
                <w:sz w:val="20"/>
              </w:rPr>
              <w:t xml:space="preserve">Dafür gibt es jedoch keine fixen Regeln oder Quoten, nicht nur weil </w:t>
            </w:r>
            <w:r w:rsidRPr="00B2372D">
              <w:rPr>
                <w:rFonts w:cs="Tahoma"/>
                <w:i/>
                <w:sz w:val="20"/>
              </w:rPr>
              <w:t>Quotenregelung rechtlich nicht zulässig ist.</w:t>
            </w:r>
            <w:r w:rsidRPr="007E28CC">
              <w:rPr>
                <w:rFonts w:cs="Tahoma"/>
                <w:b/>
                <w:i/>
                <w:sz w:val="20"/>
              </w:rPr>
              <w:t xml:space="preserve"> </w:t>
            </w:r>
            <w:r w:rsidRPr="007E28CC">
              <w:rPr>
                <w:rFonts w:cs="Tahoma"/>
                <w:i/>
                <w:sz w:val="20"/>
              </w:rPr>
              <w:t>Offiziell geht das nicht, aber in der Praxis ist so eine Handhabung notwendig.</w:t>
            </w:r>
            <w:r w:rsidRPr="007E28CC">
              <w:rPr>
                <w:rFonts w:cs="Tahoma"/>
                <w:b/>
                <w:i/>
                <w:sz w:val="20"/>
              </w:rPr>
              <w:t xml:space="preserve"> </w:t>
            </w:r>
          </w:p>
          <w:p w:rsidR="00587957" w:rsidRDefault="00552F6A" w:rsidP="00044AF0">
            <w:pPr>
              <w:spacing w:beforeLines="40" w:afterLines="40" w:line="240" w:lineRule="auto"/>
              <w:jc w:val="right"/>
              <w:rPr>
                <w:i/>
                <w:sz w:val="20"/>
                <w:szCs w:val="24"/>
                <w:lang w:val="de-AT"/>
              </w:rPr>
            </w:pPr>
            <w:r>
              <w:rPr>
                <w:rFonts w:cs="Tahoma"/>
                <w:i/>
                <w:sz w:val="20"/>
              </w:rPr>
              <w:t>Protokoll ExpertInnen-Gesprächsrunde</w:t>
            </w:r>
          </w:p>
        </w:tc>
      </w:tr>
    </w:tbl>
    <w:p w:rsidR="0062748C" w:rsidRPr="0062748C" w:rsidRDefault="0062748C"/>
    <w:p w:rsidR="0062748C" w:rsidRPr="0062748C" w:rsidRDefault="0062748C">
      <w:pPr>
        <w:rPr>
          <w:u w:val="single"/>
          <w:lang w:val="de-AT"/>
        </w:rPr>
      </w:pPr>
      <w:r>
        <w:rPr>
          <w:u w:val="single"/>
          <w:lang w:val="de-AT"/>
        </w:rPr>
        <w:lastRenderedPageBreak/>
        <w:t>Fallbeispiel Tirol</w:t>
      </w:r>
    </w:p>
    <w:tbl>
      <w:tblPr>
        <w:tblStyle w:val="Tabellengitternetz"/>
        <w:tblW w:w="0" w:type="auto"/>
        <w:tblLook w:val="04A0"/>
      </w:tblPr>
      <w:tblGrid>
        <w:gridCol w:w="9288"/>
      </w:tblGrid>
      <w:tr w:rsidR="00552F6A" w:rsidRPr="00DA5171" w:rsidTr="005C377C">
        <w:tc>
          <w:tcPr>
            <w:tcW w:w="9288" w:type="dxa"/>
          </w:tcPr>
          <w:p w:rsidR="00587957" w:rsidRDefault="00582B37" w:rsidP="00582B37">
            <w:pPr>
              <w:spacing w:before="40" w:after="40" w:line="240" w:lineRule="auto"/>
              <w:jc w:val="left"/>
              <w:rPr>
                <w:i/>
                <w:sz w:val="20"/>
                <w:szCs w:val="20"/>
              </w:rPr>
            </w:pPr>
            <w:r w:rsidRPr="00582B37">
              <w:rPr>
                <w:i/>
                <w:sz w:val="20"/>
                <w:szCs w:val="20"/>
                <w:u w:val="single"/>
              </w:rPr>
              <w:t>Wohnungsvergabe</w:t>
            </w:r>
            <w:r>
              <w:rPr>
                <w:i/>
                <w:sz w:val="20"/>
                <w:szCs w:val="20"/>
              </w:rPr>
              <w:t xml:space="preserve">: </w:t>
            </w:r>
            <w:r w:rsidR="00552F6A" w:rsidRPr="00552F6A">
              <w:rPr>
                <w:i/>
                <w:sz w:val="20"/>
                <w:szCs w:val="20"/>
              </w:rPr>
              <w:t xml:space="preserve">Die Vergabe in Innsbruck orientiert sich nach dem Leitbild einer Durchmischung der Siedlungen / Hausgemeinschaften nach </w:t>
            </w:r>
            <w:r w:rsidR="00552F6A" w:rsidRPr="00B2372D">
              <w:rPr>
                <w:i/>
                <w:sz w:val="20"/>
                <w:szCs w:val="20"/>
              </w:rPr>
              <w:t>sozialen Kriterien</w:t>
            </w:r>
            <w:r w:rsidR="00552F6A" w:rsidRPr="00552F6A">
              <w:rPr>
                <w:i/>
                <w:sz w:val="20"/>
                <w:szCs w:val="20"/>
              </w:rPr>
              <w:t>; mit einer großen Bandbreite: Familie</w:t>
            </w:r>
            <w:r w:rsidR="00552F6A" w:rsidRPr="00552F6A">
              <w:rPr>
                <w:i/>
                <w:sz w:val="20"/>
                <w:szCs w:val="20"/>
              </w:rPr>
              <w:t>n</w:t>
            </w:r>
            <w:r w:rsidR="00552F6A" w:rsidRPr="00552F6A">
              <w:rPr>
                <w:i/>
                <w:sz w:val="20"/>
                <w:szCs w:val="20"/>
              </w:rPr>
              <w:t xml:space="preserve">status, Haushaltszusammensetzung und –größe; Staatsbürgerschaft oder </w:t>
            </w:r>
            <w:r w:rsidR="00552F6A" w:rsidRPr="00B2372D">
              <w:rPr>
                <w:i/>
                <w:sz w:val="20"/>
                <w:szCs w:val="20"/>
              </w:rPr>
              <w:t>ethnische Faktoren spielen dabei keine Rolle</w:t>
            </w:r>
            <w:r w:rsidR="00B2372D">
              <w:rPr>
                <w:i/>
                <w:sz w:val="20"/>
                <w:szCs w:val="20"/>
              </w:rPr>
              <w:t>.</w:t>
            </w:r>
            <w:r>
              <w:rPr>
                <w:i/>
                <w:sz w:val="20"/>
                <w:szCs w:val="20"/>
              </w:rPr>
              <w:t xml:space="preserve"> Gemäß dem </w:t>
            </w:r>
            <w:r w:rsidR="00552F6A" w:rsidRPr="00552F6A">
              <w:rPr>
                <w:i/>
                <w:sz w:val="20"/>
                <w:szCs w:val="20"/>
              </w:rPr>
              <w:t xml:space="preserve">Prinzip: </w:t>
            </w:r>
            <w:r w:rsidR="00552F6A" w:rsidRPr="00B2372D">
              <w:rPr>
                <w:i/>
                <w:sz w:val="20"/>
                <w:szCs w:val="20"/>
              </w:rPr>
              <w:t>Einseitigkeit schadet</w:t>
            </w:r>
            <w:r w:rsidR="00552F6A" w:rsidRPr="00552F6A">
              <w:rPr>
                <w:i/>
                <w:sz w:val="20"/>
                <w:szCs w:val="20"/>
              </w:rPr>
              <w:t xml:space="preserve"> und verursacht Folgeaufwand zur Repar</w:t>
            </w:r>
            <w:r w:rsidR="00552F6A" w:rsidRPr="00552F6A">
              <w:rPr>
                <w:i/>
                <w:sz w:val="20"/>
                <w:szCs w:val="20"/>
              </w:rPr>
              <w:t>a</w:t>
            </w:r>
            <w:r w:rsidR="00552F6A" w:rsidRPr="00552F6A">
              <w:rPr>
                <w:i/>
                <w:sz w:val="20"/>
                <w:szCs w:val="20"/>
              </w:rPr>
              <w:t>tur</w:t>
            </w:r>
          </w:p>
          <w:p w:rsidR="00582B37" w:rsidRDefault="00582B37" w:rsidP="00582B37">
            <w:pPr>
              <w:spacing w:before="40" w:after="40" w:line="240" w:lineRule="auto"/>
              <w:jc w:val="left"/>
              <w:rPr>
                <w:i/>
                <w:sz w:val="20"/>
                <w:szCs w:val="20"/>
              </w:rPr>
            </w:pPr>
            <w:r w:rsidRPr="00582B37">
              <w:rPr>
                <w:i/>
                <w:sz w:val="20"/>
                <w:szCs w:val="20"/>
                <w:u w:val="single"/>
              </w:rPr>
              <w:t>Beratungs- und Betreuungseinrichtungen</w:t>
            </w:r>
            <w:r>
              <w:rPr>
                <w:i/>
                <w:sz w:val="20"/>
                <w:szCs w:val="20"/>
              </w:rPr>
              <w:t xml:space="preserve"> kritisieren insbesondere mangelnde Transparenz, die eine Kontrolle der Vergabe tatsächlich unmöglich macht. Beobachtungen aus der Beratungspraxis unte</w:t>
            </w:r>
            <w:r>
              <w:rPr>
                <w:i/>
                <w:sz w:val="20"/>
                <w:szCs w:val="20"/>
              </w:rPr>
              <w:t>r</w:t>
            </w:r>
            <w:r>
              <w:rPr>
                <w:i/>
                <w:sz w:val="20"/>
                <w:szCs w:val="20"/>
              </w:rPr>
              <w:t>streichen den Verdacht, dass es in der Vergabe zu ethnischer Diskriminierung kommt.</w:t>
            </w:r>
          </w:p>
          <w:p w:rsidR="001E30B4" w:rsidRDefault="00030AFC" w:rsidP="00044AF0">
            <w:pPr>
              <w:spacing w:beforeLines="40" w:afterLines="40" w:line="240" w:lineRule="auto"/>
              <w:jc w:val="left"/>
              <w:rPr>
                <w:i/>
                <w:sz w:val="20"/>
                <w:szCs w:val="20"/>
              </w:rPr>
            </w:pPr>
            <w:r w:rsidRPr="00030AFC">
              <w:rPr>
                <w:i/>
                <w:sz w:val="20"/>
                <w:szCs w:val="20"/>
                <w:u w:val="single"/>
              </w:rPr>
              <w:t>Wohnungsamt</w:t>
            </w:r>
            <w:r>
              <w:rPr>
                <w:i/>
                <w:sz w:val="20"/>
                <w:szCs w:val="20"/>
              </w:rPr>
              <w:t xml:space="preserve">: </w:t>
            </w:r>
            <w:r w:rsidR="00552F6A" w:rsidRPr="00552F6A">
              <w:rPr>
                <w:i/>
                <w:sz w:val="20"/>
                <w:szCs w:val="20"/>
              </w:rPr>
              <w:t>Das Prinzip der sozialen Durchmischung gilt gleichermaßen für Neuvergaben als auch für Nachbesetzungen im Altbestand. Nach Möglichkeit wird bereits bei der Planung von neuen Woh</w:t>
            </w:r>
            <w:r w:rsidR="00552F6A" w:rsidRPr="00552F6A">
              <w:rPr>
                <w:i/>
                <w:sz w:val="20"/>
                <w:szCs w:val="20"/>
              </w:rPr>
              <w:t>n</w:t>
            </w:r>
            <w:r w:rsidR="00552F6A" w:rsidRPr="00552F6A">
              <w:rPr>
                <w:i/>
                <w:sz w:val="20"/>
                <w:szCs w:val="20"/>
              </w:rPr>
              <w:t>bauvorhaben auf das Ziel der Durchmischung Bedacht genommen; d.h. es braucht ein gutes Verhäl</w:t>
            </w:r>
            <w:r w:rsidR="00552F6A" w:rsidRPr="00552F6A">
              <w:rPr>
                <w:i/>
                <w:sz w:val="20"/>
                <w:szCs w:val="20"/>
              </w:rPr>
              <w:t>t</w:t>
            </w:r>
            <w:r w:rsidR="00552F6A" w:rsidRPr="00552F6A">
              <w:rPr>
                <w:i/>
                <w:sz w:val="20"/>
                <w:szCs w:val="20"/>
              </w:rPr>
              <w:t>nis von kleineren und größeren Wohnungen; das Wohnungsamt der Stadt Innsbruck ist an den Pl</w:t>
            </w:r>
            <w:r w:rsidR="00552F6A" w:rsidRPr="00552F6A">
              <w:rPr>
                <w:i/>
                <w:sz w:val="20"/>
                <w:szCs w:val="20"/>
              </w:rPr>
              <w:t>a</w:t>
            </w:r>
            <w:r w:rsidR="00552F6A" w:rsidRPr="00552F6A">
              <w:rPr>
                <w:i/>
                <w:sz w:val="20"/>
                <w:szCs w:val="20"/>
              </w:rPr>
              <w:t xml:space="preserve">nungsvorhaben beteiligt und setzt sich dabei für </w:t>
            </w:r>
            <w:r w:rsidR="00552F6A" w:rsidRPr="00B2372D">
              <w:rPr>
                <w:i/>
                <w:sz w:val="20"/>
                <w:szCs w:val="20"/>
              </w:rPr>
              <w:t>Variabilität</w:t>
            </w:r>
            <w:r w:rsidR="00552F6A" w:rsidRPr="00552F6A">
              <w:rPr>
                <w:i/>
                <w:sz w:val="20"/>
                <w:szCs w:val="20"/>
              </w:rPr>
              <w:t xml:space="preserve"> (z.B. der Größe der Wohnungen, der Ko</w:t>
            </w:r>
            <w:r w:rsidR="00552F6A" w:rsidRPr="00552F6A">
              <w:rPr>
                <w:i/>
                <w:sz w:val="20"/>
                <w:szCs w:val="20"/>
              </w:rPr>
              <w:t>s</w:t>
            </w:r>
            <w:r w:rsidR="00552F6A" w:rsidRPr="00552F6A">
              <w:rPr>
                <w:i/>
                <w:sz w:val="20"/>
                <w:szCs w:val="20"/>
              </w:rPr>
              <w:t xml:space="preserve">ten etc.) </w:t>
            </w:r>
            <w:r w:rsidR="00552F6A" w:rsidRPr="00B2372D">
              <w:rPr>
                <w:i/>
                <w:sz w:val="20"/>
                <w:szCs w:val="20"/>
              </w:rPr>
              <w:t>im Wohnungsbestand</w:t>
            </w:r>
            <w:r w:rsidR="00552F6A" w:rsidRPr="00552F6A">
              <w:rPr>
                <w:i/>
                <w:sz w:val="20"/>
                <w:szCs w:val="20"/>
              </w:rPr>
              <w:t xml:space="preserve"> ein; seit einigen Jahren wird z.B. darauf hingewirkt, dass </w:t>
            </w:r>
            <w:r w:rsidR="00B2372D">
              <w:rPr>
                <w:i/>
                <w:sz w:val="20"/>
                <w:szCs w:val="20"/>
              </w:rPr>
              <w:t xml:space="preserve">anstelle von </w:t>
            </w:r>
            <w:r w:rsidR="00552F6A" w:rsidRPr="00552F6A">
              <w:rPr>
                <w:i/>
                <w:sz w:val="20"/>
                <w:szCs w:val="20"/>
              </w:rPr>
              <w:t xml:space="preserve">Garconnieren </w:t>
            </w:r>
            <w:r w:rsidR="00B2372D">
              <w:rPr>
                <w:i/>
                <w:sz w:val="20"/>
                <w:szCs w:val="20"/>
              </w:rPr>
              <w:t xml:space="preserve">Kleinwohnungen mit separaten Schlafräumen </w:t>
            </w:r>
            <w:r w:rsidR="00552F6A" w:rsidRPr="00552F6A">
              <w:rPr>
                <w:i/>
                <w:sz w:val="20"/>
                <w:szCs w:val="20"/>
              </w:rPr>
              <w:t>errichtet werden.</w:t>
            </w:r>
          </w:p>
          <w:p w:rsidR="00552F6A" w:rsidRDefault="00552F6A" w:rsidP="00552F6A">
            <w:pPr>
              <w:spacing w:line="240" w:lineRule="auto"/>
              <w:jc w:val="left"/>
              <w:rPr>
                <w:i/>
                <w:sz w:val="20"/>
                <w:szCs w:val="20"/>
              </w:rPr>
            </w:pPr>
            <w:r w:rsidRPr="00552F6A">
              <w:rPr>
                <w:i/>
                <w:sz w:val="20"/>
                <w:szCs w:val="20"/>
              </w:rPr>
              <w:t xml:space="preserve">In der Frage der angestrebten Durchmischung in den Siedlungen gibt es </w:t>
            </w:r>
            <w:r w:rsidR="00B2372D">
              <w:rPr>
                <w:i/>
                <w:sz w:val="20"/>
                <w:szCs w:val="20"/>
              </w:rPr>
              <w:t>weder formale</w:t>
            </w:r>
            <w:r w:rsidRPr="00552F6A">
              <w:rPr>
                <w:i/>
                <w:sz w:val="20"/>
                <w:szCs w:val="20"/>
              </w:rPr>
              <w:t xml:space="preserve"> Quoten </w:t>
            </w:r>
            <w:r w:rsidR="00B2372D">
              <w:rPr>
                <w:i/>
                <w:sz w:val="20"/>
                <w:szCs w:val="20"/>
              </w:rPr>
              <w:t>noch</w:t>
            </w:r>
            <w:r w:rsidRPr="00552F6A">
              <w:rPr>
                <w:i/>
                <w:sz w:val="20"/>
                <w:szCs w:val="20"/>
              </w:rPr>
              <w:t xml:space="preserve"> eine generelle Formel. Die Vorgangsweise beruht eher auf einem </w:t>
            </w:r>
            <w:r w:rsidRPr="00B2372D">
              <w:rPr>
                <w:i/>
                <w:sz w:val="20"/>
                <w:szCs w:val="20"/>
              </w:rPr>
              <w:t>kontinuierlichen Lernprozess</w:t>
            </w:r>
            <w:r w:rsidRPr="00552F6A">
              <w:rPr>
                <w:i/>
                <w:sz w:val="20"/>
                <w:szCs w:val="20"/>
              </w:rPr>
              <w:t xml:space="preserve"> und baut auf </w:t>
            </w:r>
            <w:r w:rsidRPr="00B2372D">
              <w:rPr>
                <w:i/>
                <w:sz w:val="20"/>
                <w:szCs w:val="20"/>
              </w:rPr>
              <w:t>individuell gestalteten Vorsorgen</w:t>
            </w:r>
            <w:r w:rsidRPr="00552F6A">
              <w:rPr>
                <w:i/>
                <w:sz w:val="20"/>
                <w:szCs w:val="20"/>
              </w:rPr>
              <w:t xml:space="preserve"> für Beratung und Abklärung von Bedürfnissen der Wo</w:t>
            </w:r>
            <w:r w:rsidRPr="00552F6A">
              <w:rPr>
                <w:i/>
                <w:sz w:val="20"/>
                <w:szCs w:val="20"/>
              </w:rPr>
              <w:t>h</w:t>
            </w:r>
            <w:r w:rsidRPr="00552F6A">
              <w:rPr>
                <w:i/>
                <w:sz w:val="20"/>
                <w:szCs w:val="20"/>
              </w:rPr>
              <w:t>nungswerberInnen auf; wichtig dafür sind die persönlichen Kenntnisse des jeweiligen Umfeldes der zu vergebenden Wohnungen.</w:t>
            </w:r>
          </w:p>
          <w:p w:rsidR="00552F6A" w:rsidRPr="00552F6A" w:rsidRDefault="00552F6A" w:rsidP="00552F6A">
            <w:pPr>
              <w:spacing w:line="240" w:lineRule="auto"/>
              <w:jc w:val="right"/>
              <w:rPr>
                <w:i/>
                <w:sz w:val="20"/>
                <w:szCs w:val="20"/>
              </w:rPr>
            </w:pPr>
            <w:r>
              <w:rPr>
                <w:i/>
                <w:sz w:val="20"/>
                <w:szCs w:val="20"/>
              </w:rPr>
              <w:t>Auszug Interview Wohnungsvergabe</w:t>
            </w:r>
          </w:p>
        </w:tc>
      </w:tr>
    </w:tbl>
    <w:p w:rsidR="0062748C" w:rsidRPr="0062748C" w:rsidRDefault="0062748C"/>
    <w:p w:rsidR="0062748C" w:rsidRPr="0062748C" w:rsidRDefault="0062748C">
      <w:pPr>
        <w:rPr>
          <w:u w:val="single"/>
          <w:lang w:val="de-AT"/>
        </w:rPr>
      </w:pPr>
      <w:r>
        <w:rPr>
          <w:u w:val="single"/>
          <w:lang w:val="de-AT"/>
        </w:rPr>
        <w:t>Fallbeispiel Wien</w:t>
      </w:r>
    </w:p>
    <w:tbl>
      <w:tblPr>
        <w:tblStyle w:val="Tabellengitternetz"/>
        <w:tblW w:w="0" w:type="auto"/>
        <w:tblLook w:val="04A0"/>
      </w:tblPr>
      <w:tblGrid>
        <w:gridCol w:w="9288"/>
      </w:tblGrid>
      <w:tr w:rsidR="005C377C" w:rsidRPr="00DA5171" w:rsidTr="005C377C">
        <w:tc>
          <w:tcPr>
            <w:tcW w:w="9288" w:type="dxa"/>
          </w:tcPr>
          <w:p w:rsidR="00587957" w:rsidRDefault="005C377C" w:rsidP="00044AF0">
            <w:pPr>
              <w:spacing w:beforeLines="40" w:afterLines="40" w:line="240" w:lineRule="auto"/>
              <w:jc w:val="left"/>
              <w:rPr>
                <w:rStyle w:val="SchwacherVerweis"/>
                <w:i/>
                <w:sz w:val="20"/>
              </w:rPr>
            </w:pPr>
            <w:r w:rsidRPr="005C377C">
              <w:rPr>
                <w:rStyle w:val="SchwacherVerweis"/>
                <w:i/>
                <w:sz w:val="20"/>
              </w:rPr>
              <w:t>Wohnungsvergabestelle</w:t>
            </w:r>
          </w:p>
          <w:p w:rsidR="001E30B4" w:rsidRDefault="005C377C" w:rsidP="00044AF0">
            <w:pPr>
              <w:spacing w:beforeLines="40" w:afterLines="40" w:line="240" w:lineRule="auto"/>
              <w:jc w:val="left"/>
              <w:rPr>
                <w:i/>
                <w:sz w:val="20"/>
                <w:szCs w:val="24"/>
                <w:lang w:val="de-AT"/>
              </w:rPr>
            </w:pPr>
            <w:r w:rsidRPr="005C377C">
              <w:rPr>
                <w:i/>
                <w:sz w:val="20"/>
                <w:lang w:val="de-AT"/>
              </w:rPr>
              <w:t xml:space="preserve">Es gibt unterschiedliche Vorstellungen von Wohnen, daher ist </w:t>
            </w:r>
            <w:r w:rsidR="00B2372D">
              <w:rPr>
                <w:i/>
                <w:sz w:val="20"/>
                <w:lang w:val="de-AT"/>
              </w:rPr>
              <w:t>Begleitung bei der Besied</w:t>
            </w:r>
            <w:r w:rsidRPr="00B2372D">
              <w:rPr>
                <w:i/>
                <w:sz w:val="20"/>
                <w:lang w:val="de-AT"/>
              </w:rPr>
              <w:t>lung</w:t>
            </w:r>
            <w:r w:rsidRPr="005C377C">
              <w:rPr>
                <w:i/>
                <w:sz w:val="20"/>
                <w:lang w:val="de-AT"/>
              </w:rPr>
              <w:t xml:space="preserve"> erforde</w:t>
            </w:r>
            <w:r w:rsidRPr="005C377C">
              <w:rPr>
                <w:i/>
                <w:sz w:val="20"/>
                <w:lang w:val="de-AT"/>
              </w:rPr>
              <w:t>r</w:t>
            </w:r>
            <w:r w:rsidRPr="005C377C">
              <w:rPr>
                <w:i/>
                <w:sz w:val="20"/>
                <w:lang w:val="de-AT"/>
              </w:rPr>
              <w:t>lich</w:t>
            </w:r>
            <w:r w:rsidR="00F727E9">
              <w:rPr>
                <w:i/>
                <w:sz w:val="20"/>
                <w:lang w:val="de-AT"/>
              </w:rPr>
              <w:t xml:space="preserve">. </w:t>
            </w:r>
            <w:r w:rsidRPr="005C377C">
              <w:rPr>
                <w:i/>
                <w:sz w:val="20"/>
                <w:lang w:val="de-AT"/>
              </w:rPr>
              <w:t>Durch Wegfall der HausbesorgerInnen sind Ansprechpersonen weggefallen, dadurch ist ein Vak</w:t>
            </w:r>
            <w:r w:rsidRPr="005C377C">
              <w:rPr>
                <w:i/>
                <w:sz w:val="20"/>
                <w:lang w:val="de-AT"/>
              </w:rPr>
              <w:t>u</w:t>
            </w:r>
            <w:r w:rsidRPr="005C377C">
              <w:rPr>
                <w:i/>
                <w:sz w:val="20"/>
                <w:lang w:val="de-AT"/>
              </w:rPr>
              <w:t>um entstanden, das noch nicht gefüllt wurde</w:t>
            </w:r>
          </w:p>
          <w:p w:rsidR="001E30B4" w:rsidRDefault="005C377C" w:rsidP="00044AF0">
            <w:pPr>
              <w:spacing w:beforeLines="40" w:afterLines="40" w:line="240" w:lineRule="auto"/>
              <w:jc w:val="left"/>
              <w:rPr>
                <w:i/>
                <w:sz w:val="20"/>
                <w:szCs w:val="24"/>
                <w:lang w:val="de-AT"/>
              </w:rPr>
            </w:pPr>
            <w:r w:rsidRPr="005C377C">
              <w:rPr>
                <w:i/>
                <w:sz w:val="20"/>
                <w:lang w:val="de-AT"/>
              </w:rPr>
              <w:t>Die Durchmischung ist wichtig; hohe Anteile einer ethnisc</w:t>
            </w:r>
            <w:r w:rsidR="00F727E9">
              <w:rPr>
                <w:i/>
                <w:sz w:val="20"/>
                <w:lang w:val="de-AT"/>
              </w:rPr>
              <w:t>hen Gruppe in einem Bezirk führen</w:t>
            </w:r>
            <w:r w:rsidRPr="005C377C">
              <w:rPr>
                <w:i/>
                <w:sz w:val="20"/>
                <w:lang w:val="de-AT"/>
              </w:rPr>
              <w:t xml:space="preserve"> zu Pro</w:t>
            </w:r>
            <w:r w:rsidRPr="005C377C">
              <w:rPr>
                <w:i/>
                <w:sz w:val="20"/>
                <w:lang w:val="de-AT"/>
              </w:rPr>
              <w:t>b</w:t>
            </w:r>
            <w:r w:rsidRPr="005C377C">
              <w:rPr>
                <w:i/>
                <w:sz w:val="20"/>
                <w:lang w:val="de-AT"/>
              </w:rPr>
              <w:t>lemen im Zusammenleben</w:t>
            </w:r>
          </w:p>
          <w:p w:rsidR="001E30B4" w:rsidRDefault="005C377C" w:rsidP="00044AF0">
            <w:pPr>
              <w:spacing w:beforeLines="40" w:afterLines="40" w:line="240" w:lineRule="auto"/>
              <w:jc w:val="left"/>
              <w:rPr>
                <w:rStyle w:val="SchwacherVerweis"/>
                <w:i/>
                <w:sz w:val="20"/>
              </w:rPr>
            </w:pPr>
            <w:r w:rsidRPr="005C377C">
              <w:rPr>
                <w:rStyle w:val="SchwacherVerweis"/>
                <w:i/>
                <w:sz w:val="20"/>
              </w:rPr>
              <w:t>Soziale Wohn</w:t>
            </w:r>
            <w:r w:rsidR="00F727E9">
              <w:rPr>
                <w:rStyle w:val="SchwacherVerweis"/>
                <w:i/>
                <w:sz w:val="20"/>
              </w:rPr>
              <w:t>ungsvergabe</w:t>
            </w:r>
          </w:p>
          <w:p w:rsidR="001E30B4" w:rsidRDefault="005C377C" w:rsidP="00044AF0">
            <w:pPr>
              <w:spacing w:beforeLines="40" w:afterLines="40" w:line="240" w:lineRule="auto"/>
              <w:jc w:val="left"/>
              <w:rPr>
                <w:i/>
                <w:sz w:val="20"/>
                <w:szCs w:val="24"/>
              </w:rPr>
            </w:pPr>
            <w:r w:rsidRPr="005C377C">
              <w:rPr>
                <w:i/>
                <w:sz w:val="20"/>
                <w:lang w:val="de-AT"/>
              </w:rPr>
              <w:t>Alle werden gleich</w:t>
            </w:r>
            <w:r w:rsidR="00C525C3">
              <w:rPr>
                <w:i/>
                <w:sz w:val="20"/>
                <w:lang w:val="de-AT"/>
              </w:rPr>
              <w:t xml:space="preserve"> </w:t>
            </w:r>
            <w:r w:rsidRPr="005C377C">
              <w:rPr>
                <w:i/>
                <w:sz w:val="20"/>
                <w:lang w:val="de-AT"/>
              </w:rPr>
              <w:t>behandelt – nach den Kriterien; die Mitglieder der Entscheidungskommission wi</w:t>
            </w:r>
            <w:r w:rsidRPr="005C377C">
              <w:rPr>
                <w:i/>
                <w:sz w:val="20"/>
                <w:lang w:val="de-AT"/>
              </w:rPr>
              <w:t>s</w:t>
            </w:r>
            <w:r w:rsidRPr="005C377C">
              <w:rPr>
                <w:i/>
                <w:sz w:val="20"/>
                <w:lang w:val="de-AT"/>
              </w:rPr>
              <w:t>sen gar nicht, welche Staatsbürgerschaft die WohnungswerberInnen haben</w:t>
            </w:r>
          </w:p>
          <w:p w:rsidR="001E30B4" w:rsidRDefault="007D20B4" w:rsidP="00044AF0">
            <w:pPr>
              <w:spacing w:beforeLines="40" w:afterLines="40" w:line="240" w:lineRule="auto"/>
              <w:jc w:val="left"/>
              <w:rPr>
                <w:rStyle w:val="SchwacherVerweis"/>
                <w:i/>
                <w:sz w:val="20"/>
              </w:rPr>
            </w:pPr>
            <w:r>
              <w:rPr>
                <w:rStyle w:val="SchwacherVerweis"/>
                <w:i/>
                <w:sz w:val="20"/>
              </w:rPr>
              <w:t>WLH</w:t>
            </w:r>
          </w:p>
          <w:p w:rsidR="001E30B4" w:rsidRDefault="005C377C" w:rsidP="00044AF0">
            <w:pPr>
              <w:spacing w:beforeLines="40" w:afterLines="40" w:line="240" w:lineRule="auto"/>
              <w:jc w:val="left"/>
              <w:rPr>
                <w:i/>
                <w:sz w:val="20"/>
                <w:szCs w:val="24"/>
              </w:rPr>
            </w:pPr>
            <w:r w:rsidRPr="005C377C">
              <w:rPr>
                <w:i/>
                <w:sz w:val="20"/>
                <w:lang w:val="de-AT"/>
              </w:rPr>
              <w:t xml:space="preserve">Gleichbehandlung ist keine Frage der Vergabe, es geht um </w:t>
            </w:r>
            <w:r w:rsidR="00F727E9">
              <w:rPr>
                <w:i/>
                <w:sz w:val="20"/>
                <w:lang w:val="de-AT"/>
              </w:rPr>
              <w:t xml:space="preserve">die </w:t>
            </w:r>
            <w:r w:rsidRPr="005C377C">
              <w:rPr>
                <w:i/>
                <w:sz w:val="20"/>
                <w:lang w:val="de-AT"/>
              </w:rPr>
              <w:t xml:space="preserve">Größe der Wohnungen, um Schulungen der NachbarInnen; </w:t>
            </w:r>
            <w:r w:rsidR="00F727E9">
              <w:rPr>
                <w:i/>
                <w:sz w:val="20"/>
                <w:lang w:val="de-AT"/>
              </w:rPr>
              <w:t xml:space="preserve">und: </w:t>
            </w:r>
            <w:r w:rsidR="00F727E9" w:rsidRPr="005C377C">
              <w:rPr>
                <w:i/>
                <w:sz w:val="20"/>
                <w:lang w:val="de-AT"/>
              </w:rPr>
              <w:t xml:space="preserve">Es </w:t>
            </w:r>
            <w:r w:rsidRPr="005C377C">
              <w:rPr>
                <w:i/>
                <w:sz w:val="20"/>
                <w:lang w:val="de-AT"/>
              </w:rPr>
              <w:t xml:space="preserve">ist eine Frage der </w:t>
            </w:r>
            <w:r w:rsidRPr="00B2372D">
              <w:rPr>
                <w:i/>
                <w:sz w:val="20"/>
                <w:lang w:val="de-AT"/>
              </w:rPr>
              <w:t>sozialen Durchmischung</w:t>
            </w:r>
            <w:r w:rsidR="007D20B4">
              <w:rPr>
                <w:i/>
                <w:sz w:val="20"/>
                <w:lang w:val="de-AT"/>
              </w:rPr>
              <w:t>:</w:t>
            </w:r>
            <w:r w:rsidRPr="005C377C">
              <w:rPr>
                <w:i/>
                <w:sz w:val="20"/>
                <w:lang w:val="de-AT"/>
              </w:rPr>
              <w:t xml:space="preserve"> Alter – Kinder, Jugendliche, Ältere / männlich und weiblich</w:t>
            </w:r>
          </w:p>
          <w:p w:rsidR="001E30B4" w:rsidRDefault="00F727E9" w:rsidP="00044AF0">
            <w:pPr>
              <w:spacing w:beforeLines="40" w:afterLines="40" w:line="240" w:lineRule="auto"/>
              <w:jc w:val="left"/>
              <w:rPr>
                <w:rStyle w:val="SchwacherVerweis"/>
                <w:i/>
                <w:sz w:val="20"/>
              </w:rPr>
            </w:pPr>
            <w:r>
              <w:rPr>
                <w:rStyle w:val="SchwacherVerweis"/>
                <w:i/>
                <w:sz w:val="20"/>
              </w:rPr>
              <w:t>Gemeinnützige</w:t>
            </w:r>
            <w:r w:rsidRPr="005C377C">
              <w:rPr>
                <w:rStyle w:val="SchwacherVerweis"/>
                <w:i/>
                <w:sz w:val="20"/>
              </w:rPr>
              <w:t xml:space="preserve"> </w:t>
            </w:r>
            <w:r>
              <w:rPr>
                <w:rStyle w:val="SchwacherVerweis"/>
                <w:i/>
                <w:sz w:val="20"/>
              </w:rPr>
              <w:t>Wohnbauträger</w:t>
            </w:r>
          </w:p>
          <w:p w:rsidR="001E30B4" w:rsidRDefault="005C377C" w:rsidP="00044AF0">
            <w:pPr>
              <w:spacing w:beforeLines="40" w:afterLines="40" w:line="240" w:lineRule="auto"/>
              <w:jc w:val="left"/>
              <w:rPr>
                <w:i/>
                <w:sz w:val="20"/>
                <w:szCs w:val="24"/>
              </w:rPr>
            </w:pPr>
            <w:r w:rsidRPr="005C377C">
              <w:rPr>
                <w:i/>
                <w:sz w:val="20"/>
              </w:rPr>
              <w:t>Es gibt keine Leitlinien für die Behandlung von nicht österreichischen StaatsbürgerInnen, ausschla</w:t>
            </w:r>
            <w:r w:rsidRPr="005C377C">
              <w:rPr>
                <w:i/>
                <w:sz w:val="20"/>
              </w:rPr>
              <w:t>g</w:t>
            </w:r>
            <w:r w:rsidRPr="005C377C">
              <w:rPr>
                <w:i/>
                <w:sz w:val="20"/>
              </w:rPr>
              <w:t>gebend ist, ob jemand den gesetzlichen Vergaberichtlinien entspricht (z.B. Alters- und Einkommen</w:t>
            </w:r>
            <w:r w:rsidRPr="005C377C">
              <w:rPr>
                <w:i/>
                <w:sz w:val="20"/>
              </w:rPr>
              <w:t>s</w:t>
            </w:r>
            <w:r w:rsidRPr="005C377C">
              <w:rPr>
                <w:i/>
                <w:sz w:val="20"/>
              </w:rPr>
              <w:t xml:space="preserve">grenzen), dann kann sich jemand anmelden. </w:t>
            </w:r>
          </w:p>
          <w:p w:rsidR="001E30B4" w:rsidRDefault="005C377C" w:rsidP="00044AF0">
            <w:pPr>
              <w:spacing w:beforeLines="40" w:afterLines="40" w:line="240" w:lineRule="auto"/>
              <w:jc w:val="left"/>
              <w:rPr>
                <w:rStyle w:val="SchwacherVerweis"/>
                <w:i/>
                <w:sz w:val="20"/>
              </w:rPr>
            </w:pPr>
            <w:r w:rsidRPr="005C377C">
              <w:rPr>
                <w:rStyle w:val="SchwacherVerweis"/>
                <w:i/>
                <w:sz w:val="20"/>
              </w:rPr>
              <w:t>Beratu</w:t>
            </w:r>
            <w:r w:rsidR="00F727E9">
              <w:rPr>
                <w:rStyle w:val="SchwacherVerweis"/>
                <w:i/>
                <w:sz w:val="20"/>
              </w:rPr>
              <w:t>ng / Betreuung von MigrantInnen</w:t>
            </w:r>
          </w:p>
          <w:p w:rsidR="001E30B4" w:rsidRDefault="005C377C" w:rsidP="00044AF0">
            <w:pPr>
              <w:spacing w:beforeLines="40" w:afterLines="40" w:line="240" w:lineRule="auto"/>
              <w:jc w:val="left"/>
              <w:rPr>
                <w:i/>
                <w:sz w:val="20"/>
                <w:szCs w:val="24"/>
              </w:rPr>
            </w:pPr>
            <w:r w:rsidRPr="005C377C">
              <w:rPr>
                <w:i/>
                <w:sz w:val="20"/>
              </w:rPr>
              <w:t>Wir schauen bei den Wohnungen nach Angebot und Nachfrage und versuchen, möglichst nah an das Ideal heranzukommen. Immer schafft man es natürlich nicht. Wenn man da noch mit einer Quotenr</w:t>
            </w:r>
            <w:r w:rsidRPr="005C377C">
              <w:rPr>
                <w:i/>
                <w:sz w:val="20"/>
              </w:rPr>
              <w:t>e</w:t>
            </w:r>
            <w:r w:rsidRPr="005C377C">
              <w:rPr>
                <w:i/>
                <w:sz w:val="20"/>
              </w:rPr>
              <w:t>gelung dazwischen käme, wäre es praktisch unmöglich. Also gibt es diese nicht.</w:t>
            </w:r>
          </w:p>
          <w:p w:rsidR="005C377C" w:rsidRPr="005C377C" w:rsidRDefault="005C377C" w:rsidP="00B2372D">
            <w:pPr>
              <w:pStyle w:val="Aufzhlungszeichen"/>
              <w:numPr>
                <w:ilvl w:val="0"/>
                <w:numId w:val="0"/>
              </w:numPr>
              <w:spacing w:before="40" w:after="40" w:line="240" w:lineRule="auto"/>
              <w:jc w:val="left"/>
              <w:rPr>
                <w:i/>
                <w:sz w:val="20"/>
              </w:rPr>
            </w:pPr>
            <w:r w:rsidRPr="005C377C">
              <w:rPr>
                <w:i/>
                <w:sz w:val="20"/>
              </w:rPr>
              <w:t xml:space="preserve">Wichtig sind </w:t>
            </w:r>
            <w:r w:rsidRPr="00B2372D">
              <w:rPr>
                <w:i/>
                <w:sz w:val="20"/>
              </w:rPr>
              <w:t>Information und Transparenz</w:t>
            </w:r>
            <w:r w:rsidRPr="005C377C">
              <w:rPr>
                <w:i/>
                <w:sz w:val="20"/>
              </w:rPr>
              <w:t xml:space="preserve">, dass die Leute schon ganz am Anfang wissen, auf was sie sich einlassen, und eine </w:t>
            </w:r>
            <w:r w:rsidRPr="00B2372D">
              <w:rPr>
                <w:i/>
                <w:sz w:val="20"/>
              </w:rPr>
              <w:t>Zielformulierung</w:t>
            </w:r>
            <w:r w:rsidRPr="005C377C">
              <w:rPr>
                <w:i/>
                <w:sz w:val="20"/>
              </w:rPr>
              <w:t>, damit eine Vereinbarung gegeben ist, an die sich beide Se</w:t>
            </w:r>
            <w:r w:rsidRPr="005C377C">
              <w:rPr>
                <w:i/>
                <w:sz w:val="20"/>
              </w:rPr>
              <w:t>i</w:t>
            </w:r>
            <w:r w:rsidRPr="005C377C">
              <w:rPr>
                <w:i/>
                <w:sz w:val="20"/>
              </w:rPr>
              <w:t>ten zu halten haben.</w:t>
            </w:r>
            <w:r w:rsidR="00B2372D">
              <w:rPr>
                <w:i/>
                <w:sz w:val="20"/>
              </w:rPr>
              <w:t xml:space="preserve"> </w:t>
            </w:r>
            <w:r w:rsidRPr="005C377C">
              <w:rPr>
                <w:i/>
                <w:sz w:val="20"/>
              </w:rPr>
              <w:t>Man ist ja selbst auch dauernd im Wandel, es ist nicht so greifbar.</w:t>
            </w:r>
          </w:p>
        </w:tc>
      </w:tr>
    </w:tbl>
    <w:p w:rsidR="0056123E" w:rsidRDefault="0056123E"/>
    <w:p w:rsidR="0062748C" w:rsidRDefault="00C525C3">
      <w:r>
        <w:t>Der gemeinsame Nenner der kommunalen / regionalen Vorsorgen und Leitvorstellungen ist der Vorrang von sozialen vor ethnischen Kriterien, um eine ausgewogene Durchmischung in den Siedlungs- und Hausgemeinschaften gewährleisten zu können. Daneben kommt ethn</w:t>
      </w:r>
      <w:r>
        <w:t>i</w:t>
      </w:r>
      <w:r>
        <w:t>schen Aspekten bestenfalls eine unterstützende Rolle</w:t>
      </w:r>
      <w:r w:rsidR="00DC1BEE">
        <w:t>,</w:t>
      </w:r>
      <w:r>
        <w:t xml:space="preserve"> </w:t>
      </w:r>
      <w:r w:rsidR="00DC1BEE">
        <w:t>z.B. im Sinne einer positiven Diskrim</w:t>
      </w:r>
      <w:r w:rsidR="00DC1BEE">
        <w:t>i</w:t>
      </w:r>
      <w:r w:rsidR="00DC1BEE">
        <w:t xml:space="preserve">nierung, </w:t>
      </w:r>
      <w:r>
        <w:t>zu</w:t>
      </w:r>
      <w:r w:rsidR="00DC1BEE">
        <w:t>.</w:t>
      </w:r>
      <w:r>
        <w:t xml:space="preserve"> </w:t>
      </w:r>
    </w:p>
    <w:p w:rsidR="00B302E6" w:rsidRDefault="00C525C3">
      <w:r>
        <w:t xml:space="preserve">Regionale Besonderheiten sind dann etwa im Bemühen zu finden, </w:t>
      </w:r>
    </w:p>
    <w:p w:rsidR="00C525C3" w:rsidRDefault="00C525C3" w:rsidP="00B31556">
      <w:pPr>
        <w:pStyle w:val="Listenabsatz"/>
        <w:numPr>
          <w:ilvl w:val="0"/>
          <w:numId w:val="21"/>
        </w:numPr>
      </w:pPr>
      <w:r>
        <w:t>die sozialen Kriterien für eine ausgewogene Durchmischung zu überarbeiten bzw. o</w:t>
      </w:r>
      <w:r>
        <w:t>b</w:t>
      </w:r>
      <w:r>
        <w:t>jektiver und trennschärfer zu formulieren</w:t>
      </w:r>
    </w:p>
    <w:p w:rsidR="00B302E6" w:rsidRDefault="00B302E6" w:rsidP="00B31556">
      <w:pPr>
        <w:pStyle w:val="Listenabsatz"/>
        <w:numPr>
          <w:ilvl w:val="0"/>
          <w:numId w:val="21"/>
        </w:numPr>
      </w:pPr>
      <w:r>
        <w:t>wohnortnahe Vorsorgen für Konfliktmanagement zu realisieren</w:t>
      </w:r>
    </w:p>
    <w:p w:rsidR="00B302E6" w:rsidRDefault="00B302E6" w:rsidP="00B31556">
      <w:pPr>
        <w:pStyle w:val="Listenabsatz"/>
        <w:numPr>
          <w:ilvl w:val="0"/>
          <w:numId w:val="21"/>
        </w:numPr>
      </w:pPr>
      <w:r>
        <w:t>proaktive Sensibilisierungsmaßnahmen umzusetzen, um Integration vor Ort zu fördern</w:t>
      </w:r>
    </w:p>
    <w:p w:rsidR="00B302E6" w:rsidRDefault="00B302E6" w:rsidP="00B31556">
      <w:pPr>
        <w:pStyle w:val="Listenabsatz"/>
        <w:numPr>
          <w:ilvl w:val="0"/>
          <w:numId w:val="21"/>
        </w:numPr>
      </w:pPr>
      <w:r>
        <w:t>Einseitigkeit in der Siedlungsentwicklung zu vermeiden und Variabilität im W</w:t>
      </w:r>
      <w:r w:rsidR="0056123E">
        <w:t>ohnung</w:t>
      </w:r>
      <w:r w:rsidR="0056123E">
        <w:t>s</w:t>
      </w:r>
      <w:r w:rsidR="0056123E">
        <w:t>bestand zu gewährleisten</w:t>
      </w:r>
    </w:p>
    <w:p w:rsidR="00B302E6" w:rsidRDefault="00B302E6" w:rsidP="00B31556">
      <w:pPr>
        <w:pStyle w:val="Listenabsatz"/>
        <w:numPr>
          <w:ilvl w:val="0"/>
          <w:numId w:val="21"/>
        </w:numPr>
      </w:pPr>
      <w:r>
        <w:t xml:space="preserve">Besiedlungsbegleitung </w:t>
      </w:r>
      <w:r w:rsidR="00DC1BEE">
        <w:t xml:space="preserve">einzusetzen, um </w:t>
      </w:r>
      <w:r>
        <w:t xml:space="preserve">bereits im Vorfeld Integrationsprobleme </w:t>
      </w:r>
      <w:r w:rsidR="00DC1BEE">
        <w:t xml:space="preserve">zu </w:t>
      </w:r>
      <w:r>
        <w:t>vermeiden und das Vakuum, das durch den Wegfall der HausbesorgerInnen entsta</w:t>
      </w:r>
      <w:r>
        <w:t>n</w:t>
      </w:r>
      <w:r>
        <w:t xml:space="preserve">den ist, </w:t>
      </w:r>
      <w:r w:rsidR="00DC1BEE">
        <w:t xml:space="preserve">zu </w:t>
      </w:r>
      <w:r w:rsidR="0056123E">
        <w:t>kompensieren</w:t>
      </w:r>
    </w:p>
    <w:p w:rsidR="00B302E6" w:rsidRDefault="00B302E6" w:rsidP="00B31556">
      <w:pPr>
        <w:pStyle w:val="Listenabsatz"/>
        <w:numPr>
          <w:ilvl w:val="0"/>
          <w:numId w:val="21"/>
        </w:numPr>
      </w:pPr>
      <w:r>
        <w:t>Angebote zur Schulung von Haus- und Siedlungsgemeinschaften</w:t>
      </w:r>
      <w:r w:rsidR="00DC1BEE">
        <w:t>, um</w:t>
      </w:r>
      <w:r>
        <w:t xml:space="preserve"> das Miteinander vor Ort / in der Haus- und Siedlungsgemeinschaften</w:t>
      </w:r>
      <w:r w:rsidR="00DC1BEE">
        <w:t xml:space="preserve"> zu fördern</w:t>
      </w:r>
    </w:p>
    <w:p w:rsidR="00B302E6" w:rsidRDefault="00B302E6" w:rsidP="00B31556">
      <w:pPr>
        <w:pStyle w:val="Listenabsatz"/>
        <w:numPr>
          <w:ilvl w:val="0"/>
          <w:numId w:val="21"/>
        </w:numPr>
      </w:pPr>
      <w:r>
        <w:t xml:space="preserve">Information, Transparenz und gemeinsam erarbeitete Zielformulierungen </w:t>
      </w:r>
      <w:r w:rsidR="00DC1BEE">
        <w:t>zu realisi</w:t>
      </w:r>
      <w:r w:rsidR="00DC1BEE">
        <w:t>e</w:t>
      </w:r>
      <w:r w:rsidR="00DC1BEE">
        <w:t>ren</w:t>
      </w:r>
      <w:r>
        <w:t xml:space="preserve">, </w:t>
      </w:r>
      <w:r w:rsidR="00DC1BEE">
        <w:t xml:space="preserve">um </w:t>
      </w:r>
      <w:r>
        <w:t>mit dem ständigen Wandel von Gemeinschaften besser umgehen zu können.</w:t>
      </w:r>
      <w:r w:rsidR="000B5889">
        <w:br/>
      </w:r>
    </w:p>
    <w:p w:rsidR="00E40AD4" w:rsidRDefault="00E40AD4">
      <w:pPr>
        <w:spacing w:before="180" w:after="240" w:line="336" w:lineRule="auto"/>
        <w:jc w:val="center"/>
        <w:rPr>
          <w:rFonts w:eastAsiaTheme="majorEastAsia" w:cstheme="majorBidi"/>
          <w:b/>
          <w:bCs/>
          <w:color w:val="4F81BD" w:themeColor="accent1"/>
          <w:lang w:val="de-AT"/>
        </w:rPr>
      </w:pPr>
    </w:p>
    <w:p w:rsidR="00F81E5C" w:rsidRDefault="00183DE4" w:rsidP="00E23216">
      <w:pPr>
        <w:pStyle w:val="berschrift3"/>
      </w:pPr>
      <w:r>
        <w:t>3.</w:t>
      </w:r>
      <w:r w:rsidR="00664069">
        <w:t>3</w:t>
      </w:r>
      <w:r>
        <w:tab/>
      </w:r>
      <w:r w:rsidR="00FF2FC8" w:rsidRPr="005C686D">
        <w:t xml:space="preserve">Spezielle </w:t>
      </w:r>
      <w:r w:rsidR="005C686D" w:rsidRPr="005C686D">
        <w:t xml:space="preserve">Vorsorgen </w:t>
      </w:r>
      <w:r w:rsidR="003026D4">
        <w:t>oder</w:t>
      </w:r>
      <w:r w:rsidR="005C686D" w:rsidRPr="005C686D">
        <w:t xml:space="preserve"> Projektschienen für die Wohnversorgung bestim</w:t>
      </w:r>
      <w:r w:rsidR="005C686D" w:rsidRPr="005C686D">
        <w:t>m</w:t>
      </w:r>
      <w:r w:rsidR="005C686D" w:rsidRPr="005C686D">
        <w:t>ter Zielgruppen</w:t>
      </w:r>
      <w:r w:rsidR="00FF2FC8" w:rsidRPr="00FF2FC8">
        <w:t xml:space="preserve"> </w:t>
      </w:r>
      <w:r w:rsidR="00FF2FC8">
        <w:t>im</w:t>
      </w:r>
      <w:r w:rsidR="00FF2FC8" w:rsidRPr="005C686D">
        <w:t xml:space="preserve"> </w:t>
      </w:r>
      <w:r w:rsidR="00FF2FC8">
        <w:t xml:space="preserve">eigenen </w:t>
      </w:r>
      <w:r w:rsidR="00FF2FC8" w:rsidRPr="005C686D">
        <w:t>Wirkungsbereich</w:t>
      </w:r>
      <w:r w:rsidR="00E03453">
        <w:t xml:space="preserve"> </w:t>
      </w:r>
    </w:p>
    <w:p w:rsidR="000E5150" w:rsidRDefault="000E5150" w:rsidP="00260CE1">
      <w:pPr>
        <w:rPr>
          <w:lang w:val="de-AT"/>
        </w:rPr>
      </w:pPr>
      <w:r>
        <w:rPr>
          <w:lang w:val="de-AT"/>
        </w:rPr>
        <w:br/>
      </w:r>
      <w:r w:rsidR="008F2038">
        <w:rPr>
          <w:lang w:val="de-AT"/>
        </w:rPr>
        <w:t>Ergänzend zu Vergaberegeln und möglichst objektiven transparenten –kriterien einerseits s</w:t>
      </w:r>
      <w:r w:rsidR="008F2038">
        <w:rPr>
          <w:lang w:val="de-AT"/>
        </w:rPr>
        <w:t>o</w:t>
      </w:r>
      <w:r w:rsidR="008F2038">
        <w:rPr>
          <w:lang w:val="de-AT"/>
        </w:rPr>
        <w:t>wie ideellen Leitbildern und Zielformulierungen andererseits sind in vielen Segmenten des Wohnungsmarktes und in den Aufgabenbereichen der entsprechenden Agenturen des Wo</w:t>
      </w:r>
      <w:r w:rsidR="008F2038">
        <w:rPr>
          <w:lang w:val="de-AT"/>
        </w:rPr>
        <w:t>h</w:t>
      </w:r>
      <w:r w:rsidR="008F2038">
        <w:rPr>
          <w:lang w:val="de-AT"/>
        </w:rPr>
        <w:t>nungsmarktes gesonderte Versorgungsschienen und –kontingente ausgewiesen, um zielgru</w:t>
      </w:r>
      <w:r w:rsidR="008F2038">
        <w:rPr>
          <w:lang w:val="de-AT"/>
        </w:rPr>
        <w:t>p</w:t>
      </w:r>
      <w:r w:rsidR="008F2038">
        <w:rPr>
          <w:lang w:val="de-AT"/>
        </w:rPr>
        <w:t xml:space="preserve">pen- bzw. problemspezifische Bedarfe jenseits der Regelvorsorgen abdecken zu können. </w:t>
      </w:r>
    </w:p>
    <w:p w:rsidR="0056123E" w:rsidRDefault="0056123E">
      <w:pPr>
        <w:spacing w:before="180" w:after="240" w:line="336" w:lineRule="auto"/>
        <w:jc w:val="center"/>
        <w:rPr>
          <w:lang w:val="de-AT"/>
        </w:rPr>
      </w:pPr>
      <w:r>
        <w:rPr>
          <w:lang w:val="de-AT"/>
        </w:rPr>
        <w:br w:type="page"/>
      </w:r>
    </w:p>
    <w:p w:rsidR="008F2038" w:rsidRDefault="008F2038" w:rsidP="00260CE1">
      <w:pPr>
        <w:rPr>
          <w:lang w:val="de-AT"/>
        </w:rPr>
      </w:pPr>
      <w:r>
        <w:rPr>
          <w:lang w:val="de-AT"/>
        </w:rPr>
        <w:lastRenderedPageBreak/>
        <w:t>Das betrifft etwa die besonderen Bedarfslagen von jüngeren Erwachsenen, Jungfamilien oder SeniorInnen. In weiterer Folge sind hier anerkannte Flüchtlinge</w:t>
      </w:r>
      <w:r w:rsidR="000E5150">
        <w:rPr>
          <w:lang w:val="de-AT"/>
        </w:rPr>
        <w:t>, Drittstaatsangehörige</w:t>
      </w:r>
      <w:r>
        <w:rPr>
          <w:lang w:val="de-AT"/>
        </w:rPr>
        <w:t xml:space="preserve"> sowie Haushalte zu nennen, die von Wohnungslosigkeit bedroht oder akut betroffen sind.</w:t>
      </w:r>
      <w:r w:rsidR="0056123E">
        <w:rPr>
          <w:lang w:val="de-AT"/>
        </w:rPr>
        <w:br/>
      </w:r>
    </w:p>
    <w:p w:rsidR="00260CE1" w:rsidRDefault="000B5889" w:rsidP="00260CE1">
      <w:pPr>
        <w:rPr>
          <w:rStyle w:val="SchwacherVerweis"/>
        </w:rPr>
      </w:pPr>
      <w:r>
        <w:rPr>
          <w:rStyle w:val="SchwacherVerweis"/>
        </w:rPr>
        <w:t>Grafik 28</w:t>
      </w:r>
      <w:r w:rsidR="00260CE1">
        <w:rPr>
          <w:rStyle w:val="SchwacherVerweis"/>
        </w:rPr>
        <w:t>: Zielgruppenspezifische Vorsorgen und Vergabeschienen</w:t>
      </w:r>
    </w:p>
    <w:p w:rsidR="00F85ABB" w:rsidRPr="00F85ABB" w:rsidRDefault="00F85ABB" w:rsidP="00260CE1">
      <w:pPr>
        <w:rPr>
          <w:rStyle w:val="SchwacherVerweis"/>
          <w:smallCaps w:val="0"/>
          <w:color w:val="auto"/>
          <w:u w:val="none"/>
          <w:lang w:val="de-AT"/>
        </w:rPr>
      </w:pPr>
      <w:r w:rsidRPr="00F85ABB">
        <w:rPr>
          <w:rStyle w:val="SchwacherVerweis"/>
          <w:noProof/>
          <w:lang w:val="de-AT" w:eastAsia="de-AT"/>
        </w:rPr>
        <w:drawing>
          <wp:inline distT="0" distB="0" distL="0" distR="0">
            <wp:extent cx="5648325" cy="3190875"/>
            <wp:effectExtent l="19050" t="0" r="9525" b="0"/>
            <wp:docPr id="18"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85ABB" w:rsidRDefault="00F85ABB" w:rsidP="00F85ABB">
      <w:pPr>
        <w:rPr>
          <w:rStyle w:val="SchwacherVerweis"/>
          <w:smallCaps w:val="0"/>
          <w:color w:val="auto"/>
          <w:u w:val="none"/>
          <w:lang w:val="de-AT"/>
        </w:rPr>
      </w:pPr>
      <w:r>
        <w:rPr>
          <w:rStyle w:val="SchwacherVerweis"/>
          <w:smallCaps w:val="0"/>
          <w:color w:val="auto"/>
          <w:u w:val="none"/>
          <w:lang w:val="de-AT"/>
        </w:rPr>
        <w:br/>
        <w:t xml:space="preserve">Der </w:t>
      </w:r>
      <w:r w:rsidR="00FD5B5A">
        <w:rPr>
          <w:rStyle w:val="SchwacherVerweis"/>
          <w:smallCaps w:val="0"/>
          <w:color w:val="auto"/>
          <w:u w:val="none"/>
          <w:lang w:val="de-AT"/>
        </w:rPr>
        <w:t xml:space="preserve">Blick </w:t>
      </w:r>
      <w:r>
        <w:rPr>
          <w:rStyle w:val="SchwacherVerweis"/>
          <w:smallCaps w:val="0"/>
          <w:color w:val="auto"/>
          <w:u w:val="none"/>
          <w:lang w:val="de-AT"/>
        </w:rPr>
        <w:t>auf die unterschiedlichen zielgruppen- und problemspezifischen Vorsorgen für eine Wohnversorgung jenseits der Regelvorgaben ergibt eine eindeutige Reihung. Danach stehen Vorsorgen für die Bekämpfung von Armut und Wohnungslosigkeit mit einem Anteil von 45% an den erfassten Einrichtungen unangefochten und deutlich an der Spitze dieses Rankings, gefolgt von den seniorInnenspezifischen Wohnversorgungsangeboten, die immerhin noch bei 41% der Einrichtungen gewährleistet sind. Wohnungen für Jungfamilien sind in jeder dritten Einrichtung bereit gestellt.</w:t>
      </w:r>
    </w:p>
    <w:p w:rsidR="00F85ABB" w:rsidRDefault="0027256F" w:rsidP="00F85ABB">
      <w:pPr>
        <w:rPr>
          <w:rStyle w:val="SchwacherVerweis"/>
          <w:smallCaps w:val="0"/>
          <w:color w:val="auto"/>
          <w:u w:val="none"/>
          <w:lang w:val="de-AT"/>
        </w:rPr>
      </w:pPr>
      <w:r>
        <w:rPr>
          <w:rStyle w:val="SchwacherVerweis"/>
          <w:smallCaps w:val="0"/>
          <w:color w:val="auto"/>
          <w:u w:val="none"/>
          <w:lang w:val="de-AT"/>
        </w:rPr>
        <w:t xml:space="preserve">Entsprechende Vorsorgen für </w:t>
      </w:r>
      <w:r w:rsidR="00F85ABB">
        <w:rPr>
          <w:rStyle w:val="SchwacherVerweis"/>
          <w:smallCaps w:val="0"/>
          <w:color w:val="auto"/>
          <w:u w:val="none"/>
          <w:lang w:val="de-AT"/>
        </w:rPr>
        <w:t xml:space="preserve">die Wohnversorgung von anerkannten Flüchtlingen (25%) sowie von Drittstaatsangehörigen (21%) </w:t>
      </w:r>
      <w:r w:rsidR="00664069">
        <w:rPr>
          <w:rStyle w:val="SchwacherVerweis"/>
          <w:smallCaps w:val="0"/>
          <w:color w:val="auto"/>
          <w:u w:val="none"/>
          <w:lang w:val="de-AT"/>
        </w:rPr>
        <w:t xml:space="preserve">werden </w:t>
      </w:r>
      <w:r w:rsidR="00F85ABB">
        <w:rPr>
          <w:rStyle w:val="SchwacherVerweis"/>
          <w:smallCaps w:val="0"/>
          <w:color w:val="auto"/>
          <w:u w:val="none"/>
          <w:lang w:val="de-AT"/>
        </w:rPr>
        <w:t>demgegenüber bereits von deutlich weniger Ei</w:t>
      </w:r>
      <w:r w:rsidR="00F85ABB">
        <w:rPr>
          <w:rStyle w:val="SchwacherVerweis"/>
          <w:smallCaps w:val="0"/>
          <w:color w:val="auto"/>
          <w:u w:val="none"/>
          <w:lang w:val="de-AT"/>
        </w:rPr>
        <w:t>n</w:t>
      </w:r>
      <w:r w:rsidR="00F85ABB">
        <w:rPr>
          <w:rStyle w:val="SchwacherVerweis"/>
          <w:smallCaps w:val="0"/>
          <w:color w:val="auto"/>
          <w:u w:val="none"/>
          <w:lang w:val="de-AT"/>
        </w:rPr>
        <w:t xml:space="preserve">richtungen </w:t>
      </w:r>
      <w:r w:rsidR="00664069">
        <w:rPr>
          <w:rStyle w:val="SchwacherVerweis"/>
          <w:smallCaps w:val="0"/>
          <w:color w:val="auto"/>
          <w:u w:val="none"/>
          <w:lang w:val="de-AT"/>
        </w:rPr>
        <w:t>genannt</w:t>
      </w:r>
      <w:r w:rsidR="00F85ABB">
        <w:rPr>
          <w:rStyle w:val="SchwacherVerweis"/>
          <w:smallCaps w:val="0"/>
          <w:color w:val="auto"/>
          <w:u w:val="none"/>
          <w:lang w:val="de-AT"/>
        </w:rPr>
        <w:t xml:space="preserve">. </w:t>
      </w:r>
    </w:p>
    <w:p w:rsidR="00F85ABB" w:rsidRDefault="00F85ABB" w:rsidP="00F85ABB">
      <w:pPr>
        <w:rPr>
          <w:rStyle w:val="SchwacherVerweis"/>
          <w:smallCaps w:val="0"/>
          <w:color w:val="auto"/>
          <w:u w:val="none"/>
          <w:lang w:val="de-AT"/>
        </w:rPr>
      </w:pPr>
      <w:r>
        <w:rPr>
          <w:rStyle w:val="SchwacherVerweis"/>
          <w:smallCaps w:val="0"/>
          <w:color w:val="auto"/>
          <w:u w:val="none"/>
          <w:lang w:val="de-AT"/>
        </w:rPr>
        <w:t>Etwa jede dritte Einrichtung verweist auf vorhandene Wohnversorgungsvorsorgen für weitere Zielgruppen (30%), dementsprechend umfangreich fällt die Liste der ergänzenden Anmerku</w:t>
      </w:r>
      <w:r>
        <w:rPr>
          <w:rStyle w:val="SchwacherVerweis"/>
          <w:smallCaps w:val="0"/>
          <w:color w:val="auto"/>
          <w:u w:val="none"/>
          <w:lang w:val="de-AT"/>
        </w:rPr>
        <w:t>n</w:t>
      </w:r>
      <w:r>
        <w:rPr>
          <w:rStyle w:val="SchwacherVerweis"/>
          <w:smallCaps w:val="0"/>
          <w:color w:val="auto"/>
          <w:u w:val="none"/>
          <w:lang w:val="de-AT"/>
        </w:rPr>
        <w:t>gen durch die RespondentInnen aus.</w:t>
      </w:r>
      <w:r w:rsidR="00FD5B5A">
        <w:rPr>
          <w:rStyle w:val="SchwacherVerweis"/>
          <w:smallCaps w:val="0"/>
          <w:color w:val="auto"/>
          <w:u w:val="none"/>
          <w:lang w:val="de-AT"/>
        </w:rPr>
        <w:br/>
      </w:r>
    </w:p>
    <w:p w:rsidR="00791CF3" w:rsidRDefault="00791CF3" w:rsidP="00F85ABB">
      <w:pPr>
        <w:rPr>
          <w:rStyle w:val="SchwacherVerweis"/>
          <w:smallCaps w:val="0"/>
          <w:color w:val="auto"/>
          <w:u w:val="none"/>
          <w:lang w:val="de-AT"/>
        </w:rPr>
      </w:pPr>
    </w:p>
    <w:p w:rsidR="00FD5B5A" w:rsidRPr="00A01EF7" w:rsidRDefault="00FD5B5A" w:rsidP="00FD5B5A">
      <w:pPr>
        <w:rPr>
          <w:rStyle w:val="SchwacherVerweis"/>
        </w:rPr>
      </w:pPr>
      <w:r w:rsidRPr="00A01EF7">
        <w:rPr>
          <w:rStyle w:val="SchwacherVerweis"/>
        </w:rPr>
        <w:lastRenderedPageBreak/>
        <w:t>Anmerkungen zu weiteren Vorsorgen von insgesamt 29 RespondentInnen</w:t>
      </w:r>
    </w:p>
    <w:p w:rsidR="00FD5B5A" w:rsidRDefault="00FD5B5A" w:rsidP="00FD5B5A">
      <w:pPr>
        <w:pStyle w:val="Aufzhlungszeichen"/>
        <w:spacing w:after="60" w:line="240" w:lineRule="auto"/>
        <w:ind w:left="357" w:hanging="357"/>
        <w:contextualSpacing w:val="0"/>
      </w:pPr>
      <w:r>
        <w:t>Frauenhaus für Krisenfälle / Mutter-Kind-Haus für Frauen in Ausbildung mit Kleinkindern / Alleinerziehende / alleinerziehende Mütter in Ausbildung / für Frauen in Notsituationen</w:t>
      </w:r>
    </w:p>
    <w:p w:rsidR="00791CF3" w:rsidRDefault="00FD5B5A" w:rsidP="00791CF3">
      <w:pPr>
        <w:pStyle w:val="Aufzhlungszeichen"/>
        <w:spacing w:after="60" w:line="240" w:lineRule="auto"/>
        <w:ind w:left="357" w:hanging="357"/>
        <w:contextualSpacing w:val="0"/>
      </w:pPr>
      <w:r>
        <w:t xml:space="preserve">wohnungslose Männer </w:t>
      </w:r>
      <w:r w:rsidR="00791CF3">
        <w:t>/ Notschlafstelle für wohnungslose männliche Personen in- und au</w:t>
      </w:r>
      <w:r w:rsidR="00791CF3">
        <w:t>s</w:t>
      </w:r>
      <w:r w:rsidR="00791CF3">
        <w:t>ländischer Herkunft</w:t>
      </w:r>
    </w:p>
    <w:p w:rsidR="00791CF3" w:rsidRPr="00E13B99" w:rsidRDefault="00791CF3" w:rsidP="00791CF3">
      <w:pPr>
        <w:pStyle w:val="Aufzhlungszeichen"/>
        <w:spacing w:after="60" w:line="240" w:lineRule="auto"/>
        <w:ind w:left="357" w:hanging="357"/>
        <w:contextualSpacing w:val="0"/>
      </w:pPr>
      <w:r>
        <w:t>Versorgung von jungen Erwachsenen aus Jugendwohlfahrtseinrichtungen / junge wo</w:t>
      </w:r>
      <w:r>
        <w:t>h</w:t>
      </w:r>
      <w:r>
        <w:t xml:space="preserve">nungslose Erwachsene / Jugendwohnungen  </w:t>
      </w:r>
    </w:p>
    <w:p w:rsidR="00791CF3" w:rsidRDefault="00791CF3" w:rsidP="00791CF3">
      <w:pPr>
        <w:pStyle w:val="Aufzhlungszeichen"/>
        <w:spacing w:after="60" w:line="240" w:lineRule="auto"/>
        <w:ind w:left="357" w:hanging="357"/>
        <w:contextualSpacing w:val="0"/>
      </w:pPr>
      <w:r>
        <w:t xml:space="preserve">Delogierungspräventionsstelle, 2 Wohnungen für von Delogierung betroffene Menschen </w:t>
      </w:r>
    </w:p>
    <w:p w:rsidR="00791CF3" w:rsidRDefault="00791CF3" w:rsidP="00791CF3">
      <w:pPr>
        <w:pStyle w:val="Aufzhlungszeichen"/>
        <w:spacing w:after="60" w:line="240" w:lineRule="auto"/>
        <w:ind w:left="357" w:hanging="357"/>
        <w:contextualSpacing w:val="0"/>
      </w:pPr>
      <w:r>
        <w:t>keine Notschlafstelle bzw. Krisenwohnung im Bezirk</w:t>
      </w:r>
    </w:p>
    <w:p w:rsidR="0027256F" w:rsidRDefault="0027256F" w:rsidP="0027256F">
      <w:pPr>
        <w:pStyle w:val="Aufzhlungszeichen"/>
        <w:spacing w:after="60" w:line="240" w:lineRule="auto"/>
        <w:ind w:left="357" w:hanging="357"/>
        <w:contextualSpacing w:val="0"/>
      </w:pPr>
      <w:r>
        <w:t>Kontingente für Notfallwohnungen / soz. Wohnungsvergabe</w:t>
      </w:r>
      <w:r w:rsidRPr="00791CF3">
        <w:t xml:space="preserve"> </w:t>
      </w:r>
      <w:r>
        <w:t>/ betreute Übergangswo</w:t>
      </w:r>
      <w:r>
        <w:t>h</w:t>
      </w:r>
      <w:r>
        <w:t xml:space="preserve">nung </w:t>
      </w:r>
    </w:p>
    <w:p w:rsidR="0027256F" w:rsidRDefault="00FD5B5A" w:rsidP="0027256F">
      <w:pPr>
        <w:pStyle w:val="Aufzhlungszeichen"/>
        <w:spacing w:after="60" w:line="240" w:lineRule="auto"/>
        <w:ind w:left="357" w:hanging="357"/>
        <w:contextualSpacing w:val="0"/>
      </w:pPr>
      <w:r w:rsidRPr="00664069">
        <w:t>Seniorenwohnanlage</w:t>
      </w:r>
      <w:r w:rsidR="00664069" w:rsidRPr="00664069">
        <w:t xml:space="preserve"> / </w:t>
      </w:r>
      <w:r w:rsidR="0027256F">
        <w:t>SeniorInnenwohnungen im Ärztezentrum sind vorhanden, jedoch zu wenige, Betreuung muss dabei von den einzelnen BewohnerInnen selbst organisiert we</w:t>
      </w:r>
      <w:r w:rsidR="0027256F">
        <w:t>r</w:t>
      </w:r>
      <w:r w:rsidR="0027256F">
        <w:t>den (Essen auf Rädern, ambulante Dienste, etc.)</w:t>
      </w:r>
    </w:p>
    <w:p w:rsidR="00FD5B5A" w:rsidRDefault="00FD5B5A" w:rsidP="00FD5B5A">
      <w:pPr>
        <w:pStyle w:val="Aufzhlungszeichen"/>
        <w:spacing w:after="60" w:line="240" w:lineRule="auto"/>
        <w:ind w:left="357" w:hanging="357"/>
        <w:contextualSpacing w:val="0"/>
      </w:pPr>
      <w:r>
        <w:t>anerkannte Flüchtlinge: nicht über Gemeindebau, aber über Wohnprojekte des Fonds soz</w:t>
      </w:r>
      <w:r>
        <w:t>i</w:t>
      </w:r>
      <w:r>
        <w:t>ales Wien auch: Österr. Integrationsfonds, aber mit unsinnigen Auflagen (Arbeitsplatz) und intransparenten Vergabekriterien</w:t>
      </w:r>
    </w:p>
    <w:p w:rsidR="00791CF3" w:rsidRDefault="00FD5B5A" w:rsidP="00791CF3">
      <w:pPr>
        <w:pStyle w:val="Aufzhlungszeichen"/>
        <w:spacing w:after="60" w:line="240" w:lineRule="auto"/>
        <w:ind w:left="357" w:hanging="357"/>
        <w:contextualSpacing w:val="0"/>
      </w:pPr>
      <w:r>
        <w:t xml:space="preserve">Wohnungen für Behinderte / für </w:t>
      </w:r>
      <w:r w:rsidRPr="00791CF3">
        <w:rPr>
          <w:lang w:val="de-AT"/>
        </w:rPr>
        <w:t xml:space="preserve">HIV positive bzw. aidskranke Personen / </w:t>
      </w:r>
      <w:r>
        <w:t xml:space="preserve">für alkoholkranke Personen nach einem Entzug </w:t>
      </w:r>
      <w:r w:rsidR="00791CF3">
        <w:t>/ für psychisch beeinträchtigte Menschen / für substanza</w:t>
      </w:r>
      <w:r w:rsidR="00791CF3">
        <w:t>b</w:t>
      </w:r>
      <w:r w:rsidR="00791CF3">
        <w:t xml:space="preserve">hängige, substituierte Personen / </w:t>
      </w:r>
      <w:r w:rsidR="00664069">
        <w:t xml:space="preserve">für </w:t>
      </w:r>
      <w:r w:rsidR="00791CF3">
        <w:t>behandelte Drogenabhängige</w:t>
      </w:r>
    </w:p>
    <w:p w:rsidR="00FD5B5A" w:rsidRDefault="00FD5B5A" w:rsidP="00FD5B5A">
      <w:pPr>
        <w:pStyle w:val="Aufzhlungszeichen"/>
        <w:spacing w:after="60" w:line="240" w:lineRule="auto"/>
        <w:ind w:left="357" w:hanging="357"/>
        <w:contextualSpacing w:val="0"/>
      </w:pPr>
      <w:r>
        <w:t>Wohnen und arbeiten zuhause</w:t>
      </w:r>
    </w:p>
    <w:p w:rsidR="00FD5B5A" w:rsidRDefault="00FD5B5A" w:rsidP="00FD5B5A">
      <w:pPr>
        <w:pStyle w:val="Aufzhlungszeichen"/>
        <w:spacing w:after="60" w:line="240" w:lineRule="auto"/>
        <w:ind w:left="357" w:hanging="357"/>
        <w:contextualSpacing w:val="0"/>
      </w:pPr>
      <w:r>
        <w:t>StudentInnen</w:t>
      </w:r>
      <w:r w:rsidRPr="00FD5B5A">
        <w:t xml:space="preserve"> </w:t>
      </w:r>
      <w:r>
        <w:t xml:space="preserve">/ </w:t>
      </w:r>
      <w:r w:rsidRPr="00E13B99">
        <w:t>Studentenwohnungen</w:t>
      </w:r>
      <w:r>
        <w:t xml:space="preserve"> / PolizistInnen / Pflegepersonal</w:t>
      </w:r>
    </w:p>
    <w:p w:rsidR="0027256F" w:rsidRDefault="0027256F" w:rsidP="0027256F">
      <w:pPr>
        <w:pStyle w:val="Aufzhlungszeichen"/>
        <w:spacing w:after="60" w:line="240" w:lineRule="auto"/>
        <w:ind w:left="357" w:hanging="357"/>
        <w:contextualSpacing w:val="0"/>
      </w:pPr>
      <w:r>
        <w:t>Wohnen mit besonderen Sicherheitseinrichtungen</w:t>
      </w:r>
    </w:p>
    <w:p w:rsidR="00FD5B5A" w:rsidRDefault="00FD5B5A" w:rsidP="00FD5B5A">
      <w:pPr>
        <w:pStyle w:val="Aufzhlungszeichen"/>
        <w:spacing w:after="60" w:line="240" w:lineRule="auto"/>
        <w:ind w:left="357" w:hanging="357"/>
        <w:contextualSpacing w:val="0"/>
        <w:rPr>
          <w:lang w:val="de-AT"/>
        </w:rPr>
      </w:pPr>
      <w:r>
        <w:t>straffällig gewordene Menschen</w:t>
      </w:r>
      <w:r>
        <w:br/>
      </w:r>
    </w:p>
    <w:p w:rsidR="0027256F" w:rsidRDefault="0027256F" w:rsidP="0027256F">
      <w:pPr>
        <w:rPr>
          <w:lang w:val="de-AT"/>
        </w:rPr>
      </w:pPr>
      <w:r>
        <w:rPr>
          <w:lang w:val="de-AT"/>
        </w:rPr>
        <w:t>Die RespondentInnen verweisen insbesondere auf entsprechende Wohnversorgungsvorsorgen für Frauen, die entweder von häuslicher Gewalt betroffen und / oder in Begleitung von mi</w:t>
      </w:r>
      <w:r>
        <w:rPr>
          <w:lang w:val="de-AT"/>
        </w:rPr>
        <w:t>n</w:t>
      </w:r>
      <w:r>
        <w:rPr>
          <w:lang w:val="de-AT"/>
        </w:rPr>
        <w:t xml:space="preserve">derjährigen Kindern mit existenzieller Wohnungsnot konfrontiert sind. Weiters werden hier Wohnversorgungsangebote für Menschen mit unterschiedlichen Behinderungen und / oder Erkrankungen erwähnt, für die spezielle Wohnungsangebote bereit gehalten werden. </w:t>
      </w:r>
      <w:r w:rsidR="00823173">
        <w:rPr>
          <w:lang w:val="de-AT"/>
        </w:rPr>
        <w:t>Betreute Übergangswohnungen und Notfallwohnungen sowie Nächtigungsangebote im engeren Kontext von Beratungseinrichtungen stellen weitere problemspezifische Vorsorgen dar.</w:t>
      </w:r>
    </w:p>
    <w:p w:rsidR="00823173" w:rsidRDefault="00823173" w:rsidP="0027256F">
      <w:pPr>
        <w:rPr>
          <w:lang w:val="de-AT"/>
        </w:rPr>
      </w:pPr>
      <w:r>
        <w:rPr>
          <w:lang w:val="de-AT"/>
        </w:rPr>
        <w:t>Demgegenüber betont eine RespondentIn, dass es in ihrem/seinem Wohnbezirk keinerlei Vo</w:t>
      </w:r>
      <w:r>
        <w:rPr>
          <w:lang w:val="de-AT"/>
        </w:rPr>
        <w:t>r</w:t>
      </w:r>
      <w:r>
        <w:rPr>
          <w:lang w:val="de-AT"/>
        </w:rPr>
        <w:t>sorgen für Menschen gibt, die von Wohnungslosigkeit bedroht oder betroffen sind.</w:t>
      </w:r>
    </w:p>
    <w:p w:rsidR="00823173" w:rsidRDefault="00823173">
      <w:pPr>
        <w:spacing w:before="180" w:after="240" w:line="336" w:lineRule="auto"/>
        <w:jc w:val="center"/>
        <w:rPr>
          <w:lang w:val="de-AT"/>
        </w:rPr>
      </w:pPr>
    </w:p>
    <w:p w:rsidR="0056123E" w:rsidRDefault="0056123E">
      <w:pPr>
        <w:spacing w:before="180" w:after="240" w:line="336" w:lineRule="auto"/>
        <w:jc w:val="center"/>
        <w:rPr>
          <w:rStyle w:val="SchwacherVerweis"/>
        </w:rPr>
      </w:pPr>
      <w:r>
        <w:rPr>
          <w:rStyle w:val="SchwacherVerweis"/>
        </w:rPr>
        <w:br w:type="page"/>
      </w:r>
    </w:p>
    <w:p w:rsidR="0027256F" w:rsidRPr="00823173" w:rsidRDefault="00823173" w:rsidP="0027256F">
      <w:pPr>
        <w:rPr>
          <w:rStyle w:val="SchwacherVerweis"/>
        </w:rPr>
      </w:pPr>
      <w:r>
        <w:rPr>
          <w:rStyle w:val="SchwacherVerweis"/>
        </w:rPr>
        <w:lastRenderedPageBreak/>
        <w:t>Grafik 29: Spezifische Wohnversorgungsvorsorgen nach Einrichtungsart</w:t>
      </w:r>
    </w:p>
    <w:p w:rsidR="00F81E5C" w:rsidRDefault="00BB1E1F">
      <w:pPr>
        <w:rPr>
          <w:lang w:val="de-AT"/>
        </w:rPr>
      </w:pPr>
      <w:r w:rsidRPr="00BB1E1F">
        <w:rPr>
          <w:noProof/>
          <w:lang w:val="de-AT" w:eastAsia="de-AT"/>
        </w:rPr>
        <w:drawing>
          <wp:inline distT="0" distB="0" distL="0" distR="0">
            <wp:extent cx="5758574" cy="4301544"/>
            <wp:effectExtent l="19050" t="0" r="13576" b="3756"/>
            <wp:docPr id="36" name="Diagram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E13B99" w:rsidRDefault="00BB1E1F">
      <w:pPr>
        <w:rPr>
          <w:lang w:val="de-AT"/>
        </w:rPr>
      </w:pPr>
      <w:r>
        <w:rPr>
          <w:lang w:val="de-AT"/>
        </w:rPr>
        <w:br/>
      </w:r>
      <w:r w:rsidR="0016347C">
        <w:rPr>
          <w:lang w:val="de-AT"/>
        </w:rPr>
        <w:t>Beim Vergleich der spezifischen Wohnversorgungsschienen und –vorsorgen für einzelne Zie</w:t>
      </w:r>
      <w:r w:rsidR="0016347C">
        <w:rPr>
          <w:lang w:val="de-AT"/>
        </w:rPr>
        <w:t>l</w:t>
      </w:r>
      <w:r w:rsidR="0016347C">
        <w:rPr>
          <w:lang w:val="de-AT"/>
        </w:rPr>
        <w:t xml:space="preserve">gruppen bzw. Problembereiche fällt auf, dass insbesondere die Gemeinnützigen </w:t>
      </w:r>
      <w:r w:rsidR="00ED5B59">
        <w:rPr>
          <w:lang w:val="de-AT"/>
        </w:rPr>
        <w:t>Wohnbautr</w:t>
      </w:r>
      <w:r w:rsidR="00ED5B59">
        <w:rPr>
          <w:lang w:val="de-AT"/>
        </w:rPr>
        <w:t>ä</w:t>
      </w:r>
      <w:r w:rsidR="00ED5B59">
        <w:rPr>
          <w:lang w:val="de-AT"/>
        </w:rPr>
        <w:t>ger</w:t>
      </w:r>
      <w:r w:rsidR="0016347C">
        <w:rPr>
          <w:lang w:val="de-AT"/>
        </w:rPr>
        <w:t xml:space="preserve"> vergleichsweise häufig für die Wohnbedarfe von SeniorInnen und Jungfamilien vorsorgen</w:t>
      </w:r>
      <w:r w:rsidR="00ED5B59">
        <w:rPr>
          <w:lang w:val="de-AT"/>
        </w:rPr>
        <w:t>, bei der Wohnversorgung von anerkannten Asylsuchenden sowie von Drittstaatsangehörigen jedoch tendenziell zurückhaltend agieren. Diese Versorgungsbedarfe sind demgegenüber eher eine Domäne von Beratungs- und Betreuungseinrichtungen, die – so wie es aussieht – auch den überwiegenden Teil der Vorsorgen für die Bekämpfung von Armut und Wohnungslosigkeit tragen.</w:t>
      </w:r>
    </w:p>
    <w:p w:rsidR="00ED5B59" w:rsidRDefault="00ED5B59">
      <w:pPr>
        <w:rPr>
          <w:lang w:val="de-AT"/>
        </w:rPr>
      </w:pPr>
      <w:r>
        <w:rPr>
          <w:lang w:val="de-AT"/>
        </w:rPr>
        <w:t>Kommunale Wohnungsämter beteiligen sich überdurchschnittlich intensiv an der Versorgung von SeniorInnen</w:t>
      </w:r>
      <w:r w:rsidR="00DA2ED7">
        <w:rPr>
          <w:lang w:val="de-AT"/>
        </w:rPr>
        <w:t>. Weitere Bedarfslagen sind in diesem Kontext eher nicht in einem nennen</w:t>
      </w:r>
      <w:r w:rsidR="00DA2ED7">
        <w:rPr>
          <w:lang w:val="de-AT"/>
        </w:rPr>
        <w:t>s</w:t>
      </w:r>
      <w:r w:rsidR="00DA2ED7">
        <w:rPr>
          <w:lang w:val="de-AT"/>
        </w:rPr>
        <w:t>werten Umfang als eigenständige Versorgungsschienen gewährleistet</w:t>
      </w:r>
    </w:p>
    <w:p w:rsidR="00ED5B59" w:rsidRDefault="00ED5B59">
      <w:pPr>
        <w:rPr>
          <w:lang w:val="de-AT"/>
        </w:rPr>
      </w:pPr>
      <w:r>
        <w:rPr>
          <w:lang w:val="de-AT"/>
        </w:rPr>
        <w:t>Auffällig ist in diesem Zusammenhang noch, dass auch die privaten Bauträger in vielen Bere</w:t>
      </w:r>
      <w:r>
        <w:rPr>
          <w:lang w:val="de-AT"/>
        </w:rPr>
        <w:t>i</w:t>
      </w:r>
      <w:r>
        <w:rPr>
          <w:lang w:val="de-AT"/>
        </w:rPr>
        <w:t xml:space="preserve">chen spezifischer Wohnversorgungsvorsorgen zu nennenswerten Anteilen beteiligt sind. </w:t>
      </w:r>
    </w:p>
    <w:p w:rsidR="00E13B99" w:rsidRDefault="00E13B99" w:rsidP="009F3C41">
      <w:pPr>
        <w:rPr>
          <w:rFonts w:eastAsiaTheme="majorEastAsia"/>
          <w:lang w:val="de-AT"/>
        </w:rPr>
      </w:pPr>
    </w:p>
    <w:p w:rsidR="00805442" w:rsidRDefault="00F13CD7" w:rsidP="00664069">
      <w:pPr>
        <w:pStyle w:val="IntensivesAnfhrungszeichen"/>
        <w:numPr>
          <w:ilvl w:val="0"/>
          <w:numId w:val="31"/>
        </w:numPr>
        <w:ind w:left="2268" w:hanging="972"/>
        <w:jc w:val="right"/>
      </w:pPr>
      <w:r>
        <w:lastRenderedPageBreak/>
        <w:t>Administrative</w:t>
      </w:r>
      <w:r w:rsidR="00805442">
        <w:t xml:space="preserve"> V</w:t>
      </w:r>
      <w:r w:rsidR="009F3C41">
        <w:t>ergabepraxis</w:t>
      </w:r>
    </w:p>
    <w:p w:rsidR="00260CE1" w:rsidRDefault="00664069" w:rsidP="00260CE1">
      <w:pPr>
        <w:rPr>
          <w:lang w:val="de-AT"/>
        </w:rPr>
      </w:pPr>
      <w:r>
        <w:rPr>
          <w:lang w:val="de-AT"/>
        </w:rPr>
        <w:br/>
      </w:r>
      <w:r w:rsidR="00650F7E">
        <w:rPr>
          <w:lang w:val="de-AT"/>
        </w:rPr>
        <w:t>Die administrative Praxis der Vergabe öffentlicher Wohnungen kommt in der Beurteilung durch die TeilnehmerInnen an der Fragebogenerhebung ausgesprochen gut weg. So wird den R</w:t>
      </w:r>
      <w:r w:rsidR="00650F7E">
        <w:rPr>
          <w:lang w:val="de-AT"/>
        </w:rPr>
        <w:t>e</w:t>
      </w:r>
      <w:r w:rsidR="00650F7E">
        <w:rPr>
          <w:lang w:val="de-AT"/>
        </w:rPr>
        <w:t>gelwerken mit hoher Zustimmung bescheinigt, dass wichtige Bedarfslagen erfasst werden können und auf besondere Umstände individuell eingegangen werden kann.</w:t>
      </w:r>
      <w:r w:rsidR="00650F7E">
        <w:rPr>
          <w:lang w:val="de-AT"/>
        </w:rPr>
        <w:br/>
      </w:r>
    </w:p>
    <w:p w:rsidR="002254C2" w:rsidRPr="00260CE1" w:rsidRDefault="00260CE1" w:rsidP="002254C2">
      <w:pPr>
        <w:rPr>
          <w:rStyle w:val="SchwacherVerweis"/>
        </w:rPr>
      </w:pPr>
      <w:r>
        <w:rPr>
          <w:rStyle w:val="SchwacherVerweis"/>
        </w:rPr>
        <w:t xml:space="preserve">Grafik </w:t>
      </w:r>
      <w:r w:rsidR="0016347C">
        <w:rPr>
          <w:rStyle w:val="SchwacherVerweis"/>
        </w:rPr>
        <w:t>30</w:t>
      </w:r>
      <w:r>
        <w:rPr>
          <w:rStyle w:val="SchwacherVerweis"/>
        </w:rPr>
        <w:t>: Beurteilung der administrativen Vergabepraxis</w:t>
      </w:r>
    </w:p>
    <w:p w:rsidR="00E246DB" w:rsidRDefault="00E246DB" w:rsidP="00E246DB">
      <w:pPr>
        <w:rPr>
          <w:lang w:val="de-AT"/>
        </w:rPr>
      </w:pPr>
      <w:r w:rsidRPr="00E246DB">
        <w:rPr>
          <w:noProof/>
          <w:lang w:val="de-AT" w:eastAsia="de-AT"/>
        </w:rPr>
        <w:drawing>
          <wp:inline distT="0" distB="0" distL="0" distR="0">
            <wp:extent cx="5758574" cy="3689797"/>
            <wp:effectExtent l="19050" t="0" r="13576" b="5903"/>
            <wp:docPr id="37" name="Diagram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650F7E" w:rsidRDefault="001A71A6" w:rsidP="00E246DB">
      <w:pPr>
        <w:rPr>
          <w:lang w:val="de-AT"/>
        </w:rPr>
      </w:pPr>
      <w:r>
        <w:rPr>
          <w:lang w:val="de-AT"/>
        </w:rPr>
        <w:br/>
        <w:t>Überwiegend sind die RespondentInnen der Ansicht, dass bei der Reihung nach Dringlichkeit alle wichtigen Bedarfslagen berücksichtigt werden (66%). Ähnlich hoch ist auch die Zusti</w:t>
      </w:r>
      <w:r>
        <w:rPr>
          <w:lang w:val="de-AT"/>
        </w:rPr>
        <w:t>m</w:t>
      </w:r>
      <w:r>
        <w:rPr>
          <w:lang w:val="de-AT"/>
        </w:rPr>
        <w:t>mung zur Aussage, dass die gegebenen Spielräume ausreichen, um individuelle Umstände entsprechend zu berücksichtigen (64%).</w:t>
      </w:r>
      <w:r w:rsidR="00C449C2">
        <w:rPr>
          <w:lang w:val="de-AT"/>
        </w:rPr>
        <w:t xml:space="preserve"> </w:t>
      </w:r>
      <w:r w:rsidR="00204B47">
        <w:rPr>
          <w:lang w:val="de-AT"/>
        </w:rPr>
        <w:t>In Frage steht dabei jedoch, wie es unter diesen Vo</w:t>
      </w:r>
      <w:r w:rsidR="00204B47">
        <w:rPr>
          <w:lang w:val="de-AT"/>
        </w:rPr>
        <w:t>r</w:t>
      </w:r>
      <w:r w:rsidR="00204B47">
        <w:rPr>
          <w:lang w:val="de-AT"/>
        </w:rPr>
        <w:t>zeichen um Kriterien ausreichender Transparenz sowie Wahrung der Interessen von Wo</w:t>
      </w:r>
      <w:r w:rsidR="00204B47">
        <w:rPr>
          <w:lang w:val="de-AT"/>
        </w:rPr>
        <w:t>h</w:t>
      </w:r>
      <w:r w:rsidR="00204B47">
        <w:rPr>
          <w:lang w:val="de-AT"/>
        </w:rPr>
        <w:t>nungswerberInnen, die z.B. abgelehnt wurden, bestellt ist. Hinweise aus Interviews und G</w:t>
      </w:r>
      <w:r w:rsidR="00204B47">
        <w:rPr>
          <w:lang w:val="de-AT"/>
        </w:rPr>
        <w:t>e</w:t>
      </w:r>
      <w:r w:rsidR="00204B47">
        <w:rPr>
          <w:lang w:val="de-AT"/>
        </w:rPr>
        <w:t>sprächsrunden lassen jedenfalls befürchten, dass z.B. abgelehnte WohnungswerberInnen ke</w:t>
      </w:r>
      <w:r w:rsidR="00204B47">
        <w:rPr>
          <w:lang w:val="de-AT"/>
        </w:rPr>
        <w:t>i</w:t>
      </w:r>
      <w:r w:rsidR="00204B47">
        <w:rPr>
          <w:lang w:val="de-AT"/>
        </w:rPr>
        <w:t>ne Einsicht in die Entscheidungsgründe erhalten.</w:t>
      </w:r>
    </w:p>
    <w:p w:rsidR="00C931F6" w:rsidRDefault="00650F7E" w:rsidP="00E246DB">
      <w:pPr>
        <w:rPr>
          <w:lang w:val="de-AT"/>
        </w:rPr>
      </w:pPr>
      <w:r>
        <w:rPr>
          <w:lang w:val="de-AT"/>
        </w:rPr>
        <w:t xml:space="preserve">Bemerkenswert hoch fällt auch die Zustimmung zur Einschätzung aus, dass </w:t>
      </w:r>
      <w:r w:rsidR="001A71A6">
        <w:rPr>
          <w:lang w:val="de-AT"/>
        </w:rPr>
        <w:t>eine diskrimini</w:t>
      </w:r>
      <w:r w:rsidR="001A71A6">
        <w:rPr>
          <w:lang w:val="de-AT"/>
        </w:rPr>
        <w:t>e</w:t>
      </w:r>
      <w:r w:rsidR="001A71A6">
        <w:rPr>
          <w:lang w:val="de-AT"/>
        </w:rPr>
        <w:t>rungsfreie Vergabe nicht ausreiche, um die Benachteiligung von MigrantInnen auf dem Wo</w:t>
      </w:r>
      <w:r w:rsidR="001A71A6">
        <w:rPr>
          <w:lang w:val="de-AT"/>
        </w:rPr>
        <w:t>h</w:t>
      </w:r>
      <w:r w:rsidR="001A71A6">
        <w:rPr>
          <w:lang w:val="de-AT"/>
        </w:rPr>
        <w:lastRenderedPageBreak/>
        <w:t>nungsmarkt tatsächlich verhindern zu können.</w:t>
      </w:r>
      <w:r w:rsidR="00C449C2">
        <w:rPr>
          <w:lang w:val="de-AT"/>
        </w:rPr>
        <w:t xml:space="preserve"> </w:t>
      </w:r>
      <w:r>
        <w:rPr>
          <w:lang w:val="de-AT"/>
        </w:rPr>
        <w:t>Knapp die Hälfte der RespondentInnen (46%) unterstützt diese Einschätzung</w:t>
      </w:r>
      <w:r w:rsidR="00B63DF5">
        <w:rPr>
          <w:lang w:val="de-AT"/>
        </w:rPr>
        <w:t xml:space="preserve"> und unterstreicht damit den Bedarf nach alternativen wohnpol</w:t>
      </w:r>
      <w:r w:rsidR="00B63DF5">
        <w:rPr>
          <w:lang w:val="de-AT"/>
        </w:rPr>
        <w:t>i</w:t>
      </w:r>
      <w:r w:rsidR="00B63DF5">
        <w:rPr>
          <w:lang w:val="de-AT"/>
        </w:rPr>
        <w:t>tischen Modellen, die über den engeren Bereich der Wohnungsvergabe hinausgehen</w:t>
      </w:r>
      <w:r>
        <w:rPr>
          <w:lang w:val="de-AT"/>
        </w:rPr>
        <w:t xml:space="preserve">. </w:t>
      </w:r>
      <w:r w:rsidR="00582B37">
        <w:rPr>
          <w:lang w:val="de-AT"/>
        </w:rPr>
        <w:br/>
      </w:r>
    </w:p>
    <w:p w:rsidR="00C931F6" w:rsidRPr="00C931F6" w:rsidRDefault="00F13CD7" w:rsidP="00F13CD7">
      <w:pPr>
        <w:pStyle w:val="berschrift3"/>
      </w:pPr>
      <w:r>
        <w:t>4</w:t>
      </w:r>
      <w:r w:rsidR="00C931F6" w:rsidRPr="00C931F6">
        <w:t xml:space="preserve">.1 </w:t>
      </w:r>
      <w:r w:rsidR="00C931F6" w:rsidRPr="00C931F6">
        <w:tab/>
        <w:t>Unterschied</w:t>
      </w:r>
      <w:r>
        <w:t>lich</w:t>
      </w:r>
      <w:r w:rsidR="00C931F6" w:rsidRPr="00C931F6">
        <w:t xml:space="preserve">e Bewertung </w:t>
      </w:r>
      <w:r>
        <w:t xml:space="preserve">der administrativen Praxis </w:t>
      </w:r>
      <w:r w:rsidR="00C931F6" w:rsidRPr="00C931F6">
        <w:t>nach Art der Einric</w:t>
      </w:r>
      <w:r w:rsidR="00C931F6" w:rsidRPr="00C931F6">
        <w:t>h</w:t>
      </w:r>
      <w:r w:rsidR="00C931F6" w:rsidRPr="00C931F6">
        <w:t>tung</w:t>
      </w:r>
    </w:p>
    <w:p w:rsidR="001A71A6" w:rsidRDefault="00F13CD7" w:rsidP="00E246DB">
      <w:pPr>
        <w:rPr>
          <w:lang w:val="de-AT"/>
        </w:rPr>
      </w:pPr>
      <w:r>
        <w:rPr>
          <w:lang w:val="de-AT"/>
        </w:rPr>
        <w:br/>
      </w:r>
      <w:r w:rsidR="00E40AD4">
        <w:rPr>
          <w:lang w:val="de-AT"/>
        </w:rPr>
        <w:t xml:space="preserve">In </w:t>
      </w:r>
      <w:r w:rsidR="001A71A6">
        <w:rPr>
          <w:lang w:val="de-AT"/>
        </w:rPr>
        <w:t>diesen Fragestellungen zeigen sich auffällige Unterschiede in der Einschätzung</w:t>
      </w:r>
      <w:r w:rsidR="00030AFC">
        <w:rPr>
          <w:lang w:val="de-AT"/>
        </w:rPr>
        <w:t>,</w:t>
      </w:r>
      <w:r w:rsidR="001A71A6">
        <w:rPr>
          <w:lang w:val="de-AT"/>
        </w:rPr>
        <w:t xml:space="preserve"> je nachdem in welcher Einrichtung die RespondentInnen beschäftigt sind.</w:t>
      </w:r>
      <w:r w:rsidR="001A71A6">
        <w:rPr>
          <w:lang w:val="de-AT"/>
        </w:rPr>
        <w:br/>
      </w:r>
    </w:p>
    <w:p w:rsidR="00260CE1" w:rsidRPr="00260CE1" w:rsidRDefault="00D029CF" w:rsidP="00E246DB">
      <w:pPr>
        <w:rPr>
          <w:rStyle w:val="SchwacherVerweis"/>
        </w:rPr>
      </w:pPr>
      <w:r>
        <w:rPr>
          <w:rStyle w:val="SchwacherVerweis"/>
        </w:rPr>
        <w:t>Grafik 31</w:t>
      </w:r>
      <w:r w:rsidR="00260CE1" w:rsidRPr="00260CE1">
        <w:rPr>
          <w:rStyle w:val="SchwacherVerweis"/>
        </w:rPr>
        <w:t>: Bevorzugung von ÖsterreicherInnen</w:t>
      </w:r>
    </w:p>
    <w:p w:rsidR="001A71A6" w:rsidRPr="00E246DB" w:rsidRDefault="009A0FBF" w:rsidP="00E246DB">
      <w:pPr>
        <w:rPr>
          <w:lang w:val="de-AT"/>
        </w:rPr>
      </w:pPr>
      <w:r w:rsidRPr="009A0FBF">
        <w:rPr>
          <w:noProof/>
          <w:lang w:val="de-AT" w:eastAsia="de-AT"/>
        </w:rPr>
        <w:drawing>
          <wp:inline distT="0" distB="0" distL="0" distR="0">
            <wp:extent cx="4572000" cy="2743200"/>
            <wp:effectExtent l="19050" t="0" r="19050" b="0"/>
            <wp:docPr id="38" name="Diagram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C931F6" w:rsidRDefault="009A0FBF" w:rsidP="00C931F6">
      <w:pPr>
        <w:rPr>
          <w:lang w:val="de-AT"/>
        </w:rPr>
      </w:pPr>
      <w:r>
        <w:rPr>
          <w:lang w:val="de-AT"/>
        </w:rPr>
        <w:br/>
      </w:r>
      <w:r w:rsidR="00C931F6">
        <w:rPr>
          <w:lang w:val="de-AT"/>
        </w:rPr>
        <w:t>Mit wenigen Ausnahmen (19%) lehnen die TeilnehmerInnen an der Fragebogenerhebung die Behauptung ab, dass SachbearbeiterInnen zur Bevorzugung österreichischer StaatsbürgerI</w:t>
      </w:r>
      <w:r w:rsidR="00C931F6">
        <w:rPr>
          <w:lang w:val="de-AT"/>
        </w:rPr>
        <w:t>n</w:t>
      </w:r>
      <w:r w:rsidR="00C931F6">
        <w:rPr>
          <w:lang w:val="de-AT"/>
        </w:rPr>
        <w:t>nen angehalten wären. Nur wenige RespondentInnen aus dem Bereich der kommunalen Wo</w:t>
      </w:r>
      <w:r w:rsidR="00C931F6">
        <w:rPr>
          <w:lang w:val="de-AT"/>
        </w:rPr>
        <w:t>h</w:t>
      </w:r>
      <w:r w:rsidR="00C931F6">
        <w:rPr>
          <w:lang w:val="de-AT"/>
        </w:rPr>
        <w:t xml:space="preserve">nungsämter (8%) bestätigen, dass es Anweisungen zur Bevorzugung von österreichischen Haushalten gäbe. Im Bereich der gemeinnützigen sowie der privaten Bauträger </w:t>
      </w:r>
      <w:r w:rsidR="0063002F">
        <w:rPr>
          <w:lang w:val="de-AT"/>
        </w:rPr>
        <w:t xml:space="preserve">liegt </w:t>
      </w:r>
      <w:r w:rsidR="00C931F6">
        <w:rPr>
          <w:lang w:val="de-AT"/>
        </w:rPr>
        <w:t>die Z</w:t>
      </w:r>
      <w:r w:rsidR="00C931F6">
        <w:rPr>
          <w:lang w:val="de-AT"/>
        </w:rPr>
        <w:t>u</w:t>
      </w:r>
      <w:r w:rsidR="00C931F6">
        <w:rPr>
          <w:lang w:val="de-AT"/>
        </w:rPr>
        <w:t xml:space="preserve">stimmung zu dieser Aussage mit 18 bzw. 19% </w:t>
      </w:r>
      <w:r w:rsidR="0063002F">
        <w:rPr>
          <w:lang w:val="de-AT"/>
        </w:rPr>
        <w:t xml:space="preserve">bereits </w:t>
      </w:r>
      <w:r w:rsidR="00C931F6">
        <w:rPr>
          <w:lang w:val="de-AT"/>
        </w:rPr>
        <w:t xml:space="preserve">deutlich </w:t>
      </w:r>
      <w:r w:rsidR="0063002F">
        <w:rPr>
          <w:lang w:val="de-AT"/>
        </w:rPr>
        <w:t>darüber</w:t>
      </w:r>
      <w:r w:rsidR="00C931F6">
        <w:rPr>
          <w:lang w:val="de-AT"/>
        </w:rPr>
        <w:t xml:space="preserve">. </w:t>
      </w:r>
      <w:r w:rsidR="0063002F">
        <w:rPr>
          <w:lang w:val="de-AT"/>
        </w:rPr>
        <w:t>RespondentInnen aus dem Kontext von Beratungseinrichtungen sind demgegenüber zu einem sehr hohen Anteil von 30%</w:t>
      </w:r>
      <w:r w:rsidR="00C931F6">
        <w:rPr>
          <w:lang w:val="de-AT"/>
        </w:rPr>
        <w:t xml:space="preserve"> der Ansicht</w:t>
      </w:r>
      <w:r w:rsidR="0063002F">
        <w:rPr>
          <w:lang w:val="de-AT"/>
        </w:rPr>
        <w:t>, dass die Bevorzugung von InländerInnen gewissermaßen in Auftrag geg</w:t>
      </w:r>
      <w:r w:rsidR="0063002F">
        <w:rPr>
          <w:lang w:val="de-AT"/>
        </w:rPr>
        <w:t>e</w:t>
      </w:r>
      <w:r w:rsidR="0063002F">
        <w:rPr>
          <w:lang w:val="de-AT"/>
        </w:rPr>
        <w:t>ben wird</w:t>
      </w:r>
      <w:r w:rsidR="00C931F6">
        <w:rPr>
          <w:lang w:val="de-AT"/>
        </w:rPr>
        <w:t xml:space="preserve">. </w:t>
      </w:r>
    </w:p>
    <w:p w:rsidR="0063002F" w:rsidRDefault="0063002F">
      <w:pPr>
        <w:spacing w:before="180" w:after="240" w:line="336" w:lineRule="auto"/>
        <w:jc w:val="center"/>
        <w:rPr>
          <w:lang w:val="de-AT"/>
        </w:rPr>
      </w:pPr>
      <w:r>
        <w:rPr>
          <w:lang w:val="de-AT"/>
        </w:rPr>
        <w:br w:type="page"/>
      </w:r>
    </w:p>
    <w:p w:rsidR="004D1171" w:rsidRDefault="004D1171" w:rsidP="004D1171">
      <w:pPr>
        <w:rPr>
          <w:lang w:val="de-AT"/>
        </w:rPr>
      </w:pPr>
      <w:r>
        <w:rPr>
          <w:lang w:val="de-AT"/>
        </w:rPr>
        <w:lastRenderedPageBreak/>
        <w:t>Zum Teil könnte dieser hohe Zuspruch von BeraterInnen zum Verdacht auf eine Bevorzugung von ÖsterreicherInnen damit erklärt werden, dass Beratungsstellen ja überwiegend mit einer entsprechenden Praxis der Sozialhilfe bzw. aktuell der Bedarfsorientierten Mindestsicherung konfrontiert sind, wonach der Zugang zum Betreuten Wohnen nur sehr selektiv ermöglicht und Nicht-ÖsterreicherInnen der Zugang tendenziell verwehrt wird.</w:t>
      </w:r>
    </w:p>
    <w:p w:rsidR="00260CE1" w:rsidRDefault="004D1171" w:rsidP="00805442">
      <w:pPr>
        <w:rPr>
          <w:lang w:val="de-AT"/>
        </w:rPr>
      </w:pPr>
      <w:r>
        <w:rPr>
          <w:lang w:val="de-AT"/>
        </w:rPr>
        <w:t xml:space="preserve">Ungeachtet dessen stellt sich auf Perspektive </w:t>
      </w:r>
      <w:r w:rsidR="00C931F6">
        <w:rPr>
          <w:lang w:val="de-AT"/>
        </w:rPr>
        <w:t xml:space="preserve">wohl die Frage, wie es um die Kommunikation zwischen </w:t>
      </w:r>
      <w:r w:rsidR="00792952">
        <w:rPr>
          <w:lang w:val="de-AT"/>
        </w:rPr>
        <w:t>Wohnungsämtern auf der einen Seite und externen Beratungseinrichtungen auf der anderen Seite bestellt ist. Die deutliche Kluft in der Beurteilung der administrativen Vergab</w:t>
      </w:r>
      <w:r w:rsidR="00792952">
        <w:rPr>
          <w:lang w:val="de-AT"/>
        </w:rPr>
        <w:t>e</w:t>
      </w:r>
      <w:r w:rsidR="00792952">
        <w:rPr>
          <w:lang w:val="de-AT"/>
        </w:rPr>
        <w:t>praxis weist ganz offensichtlich auf einen Bedarf nach einer Intensivierung bzw. Verbesserung der Kooperationsstrukturen zwischen diesen wohnungsmarktrelevanten Segmenten hin.</w:t>
      </w:r>
      <w:r w:rsidR="00792952">
        <w:rPr>
          <w:lang w:val="de-AT"/>
        </w:rPr>
        <w:br/>
      </w:r>
    </w:p>
    <w:p w:rsidR="00805442" w:rsidRPr="00260CE1" w:rsidRDefault="00260CE1" w:rsidP="00805442">
      <w:pPr>
        <w:rPr>
          <w:rStyle w:val="SchwacherVerweis"/>
        </w:rPr>
      </w:pPr>
      <w:r w:rsidRPr="00260CE1">
        <w:rPr>
          <w:rStyle w:val="SchwacherVerweis"/>
        </w:rPr>
        <w:t>Grafik 3</w:t>
      </w:r>
      <w:r w:rsidR="00D029CF">
        <w:rPr>
          <w:rStyle w:val="SchwacherVerweis"/>
        </w:rPr>
        <w:t>2</w:t>
      </w:r>
      <w:r w:rsidRPr="00260CE1">
        <w:rPr>
          <w:rStyle w:val="SchwacherVerweis"/>
        </w:rPr>
        <w:t>: Erfassung aller wichtigen Bedarfslagen</w:t>
      </w:r>
    </w:p>
    <w:p w:rsidR="009A0FBF" w:rsidRDefault="009A0FBF" w:rsidP="00805442">
      <w:pPr>
        <w:rPr>
          <w:lang w:val="de-AT"/>
        </w:rPr>
      </w:pPr>
      <w:r w:rsidRPr="009A0FBF">
        <w:rPr>
          <w:noProof/>
          <w:lang w:val="de-AT" w:eastAsia="de-AT"/>
        </w:rPr>
        <w:drawing>
          <wp:inline distT="0" distB="0" distL="0" distR="0">
            <wp:extent cx="4572000" cy="2743200"/>
            <wp:effectExtent l="19050" t="0" r="19050" b="0"/>
            <wp:docPr id="39" name="Diagram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4E649D" w:rsidRDefault="00792952" w:rsidP="00805442">
      <w:pPr>
        <w:rPr>
          <w:lang w:val="de-AT"/>
        </w:rPr>
      </w:pPr>
      <w:r>
        <w:rPr>
          <w:lang w:val="de-AT"/>
        </w:rPr>
        <w:br/>
        <w:t>Während RespondentInnen aus kommunalen Wohnungsämtern nahezu einstimmig (96%) der Meinung sind, dass bei der Reihung der WohnungswerberInnen alle wichtigen Bedarfslagen erfasst werden, fällt die Zustimmung zu dieser Beurteilung bei den MitarbeiterInnen aus and</w:t>
      </w:r>
      <w:r>
        <w:rPr>
          <w:lang w:val="de-AT"/>
        </w:rPr>
        <w:t>e</w:t>
      </w:r>
      <w:r>
        <w:rPr>
          <w:lang w:val="de-AT"/>
        </w:rPr>
        <w:t>ren wohnversorgungsrelevanten Sektoren deutlich ab. So sind die VertreterInnen von gemei</w:t>
      </w:r>
      <w:r>
        <w:rPr>
          <w:lang w:val="de-AT"/>
        </w:rPr>
        <w:t>n</w:t>
      </w:r>
      <w:r>
        <w:rPr>
          <w:lang w:val="de-AT"/>
        </w:rPr>
        <w:t>nützigen (81%) und privaten Bauträgern (75%) immerhin noch zu erheblichen Anteilen dieser Ansicht.</w:t>
      </w:r>
    </w:p>
    <w:p w:rsidR="00792952" w:rsidRDefault="00792952" w:rsidP="00805442">
      <w:pPr>
        <w:rPr>
          <w:lang w:val="de-AT"/>
        </w:rPr>
      </w:pPr>
      <w:r>
        <w:rPr>
          <w:lang w:val="de-AT"/>
        </w:rPr>
        <w:t xml:space="preserve">Bei den VertreterInnen der externen Beratungseinrichtungen liegt die Zustimmung zu dieser Einstimmung mit einer Quote von 60% gravierend niedriger. </w:t>
      </w:r>
    </w:p>
    <w:p w:rsidR="00792952" w:rsidRDefault="00243E84" w:rsidP="00805442">
      <w:pPr>
        <w:rPr>
          <w:lang w:val="de-AT"/>
        </w:rPr>
      </w:pPr>
      <w:r>
        <w:rPr>
          <w:lang w:val="de-AT"/>
        </w:rPr>
        <w:t>Eine mögliche Begründung für diese eklatanten Unterschiede in der Bewertung der administr</w:t>
      </w:r>
      <w:r>
        <w:rPr>
          <w:lang w:val="de-AT"/>
        </w:rPr>
        <w:t>a</w:t>
      </w:r>
      <w:r>
        <w:rPr>
          <w:lang w:val="de-AT"/>
        </w:rPr>
        <w:t xml:space="preserve">tiven Vorsorgen für die Vergabe von öffentlichen Wohnungen könnte wohl darin liegen, dass </w:t>
      </w:r>
      <w:r>
        <w:rPr>
          <w:lang w:val="de-AT"/>
        </w:rPr>
        <w:lastRenderedPageBreak/>
        <w:t>die Aufgabenstellung von Beratungseinrichtungen sich wesentlich von den Tätigkeitsschwe</w:t>
      </w:r>
      <w:r>
        <w:rPr>
          <w:lang w:val="de-AT"/>
        </w:rPr>
        <w:t>r</w:t>
      </w:r>
      <w:r>
        <w:rPr>
          <w:lang w:val="de-AT"/>
        </w:rPr>
        <w:t>punkten der Wohnungsämter unterscheidet. Während in der Beratung und Betreuung von WohnungswerberInnen eher (Selbst)Zuschreibungen der Interessensvertretung und der akt</w:t>
      </w:r>
      <w:r>
        <w:rPr>
          <w:lang w:val="de-AT"/>
        </w:rPr>
        <w:t>i</w:t>
      </w:r>
      <w:r>
        <w:rPr>
          <w:lang w:val="de-AT"/>
        </w:rPr>
        <w:t>ven Hilfestellung bei der Wohnungssuche im Vordergrund stehen, sind Wohnungsämter te</w:t>
      </w:r>
      <w:r>
        <w:rPr>
          <w:lang w:val="de-AT"/>
        </w:rPr>
        <w:t>n</w:t>
      </w:r>
      <w:r>
        <w:rPr>
          <w:lang w:val="de-AT"/>
        </w:rPr>
        <w:t>denziell damit konfrontiert, das verfügbare Angebot an leistbaren Wohnungen möglichst ko</w:t>
      </w:r>
      <w:r>
        <w:rPr>
          <w:lang w:val="de-AT"/>
        </w:rPr>
        <w:t>r</w:t>
      </w:r>
      <w:r>
        <w:rPr>
          <w:lang w:val="de-AT"/>
        </w:rPr>
        <w:t>rekt und fair zu verwalten.</w:t>
      </w:r>
    </w:p>
    <w:p w:rsidR="00243E84" w:rsidRDefault="00243E84" w:rsidP="00805442">
      <w:pPr>
        <w:rPr>
          <w:lang w:val="de-AT"/>
        </w:rPr>
      </w:pPr>
      <w:r>
        <w:rPr>
          <w:lang w:val="de-AT"/>
        </w:rPr>
        <w:t>Auch dieses Detailergebnis lässt sich somit als Indiz für den Bedarf nach strukturellen Ansä</w:t>
      </w:r>
      <w:r>
        <w:rPr>
          <w:lang w:val="de-AT"/>
        </w:rPr>
        <w:t>t</w:t>
      </w:r>
      <w:r>
        <w:rPr>
          <w:lang w:val="de-AT"/>
        </w:rPr>
        <w:t>zen für Austausch, Kommunikation und Kooperation zwischen den Angebotsbereichen der Wohnungsverwaltung einerseits und der Hilfestellung bis Interessensvertretung für Wo</w:t>
      </w:r>
      <w:r>
        <w:rPr>
          <w:lang w:val="de-AT"/>
        </w:rPr>
        <w:t>h</w:t>
      </w:r>
      <w:r>
        <w:rPr>
          <w:lang w:val="de-AT"/>
        </w:rPr>
        <w:t>nungssuchende andererseits interpretieren.</w:t>
      </w:r>
      <w:r w:rsidR="00E40AD4">
        <w:rPr>
          <w:lang w:val="de-AT"/>
        </w:rPr>
        <w:br/>
      </w:r>
    </w:p>
    <w:p w:rsidR="004E649D" w:rsidRPr="00260CE1" w:rsidRDefault="00260CE1" w:rsidP="00805442">
      <w:pPr>
        <w:rPr>
          <w:rStyle w:val="SchwacherVerweis"/>
        </w:rPr>
      </w:pPr>
      <w:r w:rsidRPr="00260CE1">
        <w:rPr>
          <w:rStyle w:val="SchwacherVerweis"/>
        </w:rPr>
        <w:t>Grafik 3</w:t>
      </w:r>
      <w:r w:rsidR="00D029CF">
        <w:rPr>
          <w:rStyle w:val="SchwacherVerweis"/>
        </w:rPr>
        <w:t>3</w:t>
      </w:r>
      <w:r w:rsidRPr="00260CE1">
        <w:rPr>
          <w:rStyle w:val="SchwacherVerweis"/>
        </w:rPr>
        <w:t xml:space="preserve">: Spielraum für Berücksichtigung individueller Umstände </w:t>
      </w:r>
    </w:p>
    <w:p w:rsidR="00455E4C" w:rsidRDefault="004E649D" w:rsidP="00805442">
      <w:pPr>
        <w:rPr>
          <w:lang w:val="de-AT"/>
        </w:rPr>
      </w:pPr>
      <w:r w:rsidRPr="004E649D">
        <w:rPr>
          <w:noProof/>
          <w:lang w:val="de-AT" w:eastAsia="de-AT"/>
        </w:rPr>
        <w:drawing>
          <wp:inline distT="0" distB="0" distL="0" distR="0">
            <wp:extent cx="4572000" cy="2743200"/>
            <wp:effectExtent l="19050" t="0" r="19050" b="0"/>
            <wp:docPr id="40" name="Diagram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4E649D" w:rsidRDefault="005617E0" w:rsidP="00805442">
      <w:pPr>
        <w:rPr>
          <w:lang w:val="de-AT"/>
        </w:rPr>
      </w:pPr>
      <w:r>
        <w:rPr>
          <w:lang w:val="de-AT"/>
        </w:rPr>
        <w:br/>
      </w:r>
      <w:r w:rsidR="00237ED0">
        <w:rPr>
          <w:lang w:val="de-AT"/>
        </w:rPr>
        <w:t>Die Vergabekriterien und Vorgaben zur Reihung der WohnungswerberInnen nach Dringlichkeit etc. lassen nach Meinung der meisten RespondentInnen ausreichend Spielraum, die je indiv</w:t>
      </w:r>
      <w:r w:rsidR="00237ED0">
        <w:rPr>
          <w:lang w:val="de-AT"/>
        </w:rPr>
        <w:t>i</w:t>
      </w:r>
      <w:r w:rsidR="00237ED0">
        <w:rPr>
          <w:lang w:val="de-AT"/>
        </w:rPr>
        <w:t xml:space="preserve">duellen Bedarfslagen der WohnungswerberInnen zu berücksichtigen. </w:t>
      </w:r>
    </w:p>
    <w:p w:rsidR="00237ED0" w:rsidRDefault="00237ED0" w:rsidP="00805442">
      <w:pPr>
        <w:rPr>
          <w:lang w:val="de-AT"/>
        </w:rPr>
      </w:pPr>
      <w:r>
        <w:rPr>
          <w:lang w:val="de-AT"/>
        </w:rPr>
        <w:t>Auch in dieser Frage zeichnet sich jedoch das oben bereits angetroffene Gefälle in der Bewe</w:t>
      </w:r>
      <w:r>
        <w:rPr>
          <w:lang w:val="de-AT"/>
        </w:rPr>
        <w:t>r</w:t>
      </w:r>
      <w:r>
        <w:rPr>
          <w:lang w:val="de-AT"/>
        </w:rPr>
        <w:t>tung je nach Art der Einrichtung ab. So steht eine hohe Zustimmung (87%) vonseiten der RespondentInnen aus den kommunalen Wohnungsämtern einer doch eher skeptischen Ha</w:t>
      </w:r>
      <w:r>
        <w:rPr>
          <w:lang w:val="de-AT"/>
        </w:rPr>
        <w:t>l</w:t>
      </w:r>
      <w:r>
        <w:rPr>
          <w:lang w:val="de-AT"/>
        </w:rPr>
        <w:t xml:space="preserve">tung bei den Rückmeldungen aus Beratungseinrichtungen (55%) gegenüber. </w:t>
      </w:r>
      <w:r>
        <w:rPr>
          <w:lang w:val="de-AT"/>
        </w:rPr>
        <w:br/>
      </w:r>
    </w:p>
    <w:p w:rsidR="00E40AD4" w:rsidRDefault="00E40AD4">
      <w:pPr>
        <w:spacing w:before="180" w:after="240" w:line="336" w:lineRule="auto"/>
        <w:jc w:val="center"/>
        <w:rPr>
          <w:rStyle w:val="SchwacherVerweis"/>
        </w:rPr>
      </w:pPr>
      <w:r>
        <w:rPr>
          <w:rStyle w:val="SchwacherVerweis"/>
        </w:rPr>
        <w:br w:type="page"/>
      </w:r>
    </w:p>
    <w:p w:rsidR="009A0FBF" w:rsidRPr="00260CE1" w:rsidRDefault="00260CE1" w:rsidP="00805442">
      <w:pPr>
        <w:rPr>
          <w:rStyle w:val="SchwacherVerweis"/>
        </w:rPr>
      </w:pPr>
      <w:r w:rsidRPr="00260CE1">
        <w:rPr>
          <w:rStyle w:val="SchwacherVerweis"/>
        </w:rPr>
        <w:lastRenderedPageBreak/>
        <w:t>Grafik 3</w:t>
      </w:r>
      <w:r w:rsidR="00D029CF">
        <w:rPr>
          <w:rStyle w:val="SchwacherVerweis"/>
        </w:rPr>
        <w:t>4</w:t>
      </w:r>
      <w:r w:rsidRPr="00260CE1">
        <w:rPr>
          <w:rStyle w:val="SchwacherVerweis"/>
        </w:rPr>
        <w:t>: Benachteiligung trotz Gleichbehandlung</w:t>
      </w:r>
    </w:p>
    <w:p w:rsidR="004E649D" w:rsidRDefault="0025017F" w:rsidP="00805442">
      <w:pPr>
        <w:rPr>
          <w:lang w:val="de-AT"/>
        </w:rPr>
      </w:pPr>
      <w:r w:rsidRPr="0025017F">
        <w:rPr>
          <w:noProof/>
          <w:lang w:val="de-AT" w:eastAsia="de-AT"/>
        </w:rPr>
        <w:drawing>
          <wp:inline distT="0" distB="0" distL="0" distR="0">
            <wp:extent cx="4572000" cy="2743200"/>
            <wp:effectExtent l="19050" t="0" r="19050" b="0"/>
            <wp:docPr id="41" name="Diagramm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237ED0" w:rsidRDefault="00E40AD4" w:rsidP="00805442">
      <w:pPr>
        <w:rPr>
          <w:lang w:val="de-AT"/>
        </w:rPr>
      </w:pPr>
      <w:r>
        <w:rPr>
          <w:lang w:val="de-AT"/>
        </w:rPr>
        <w:br/>
      </w:r>
      <w:r w:rsidR="00237ED0">
        <w:rPr>
          <w:lang w:val="de-AT"/>
        </w:rPr>
        <w:t xml:space="preserve">Bei der Frage, ob und inwieweit </w:t>
      </w:r>
      <w:r w:rsidR="00B04E57">
        <w:rPr>
          <w:lang w:val="de-AT"/>
        </w:rPr>
        <w:t xml:space="preserve">es trotz der </w:t>
      </w:r>
      <w:r w:rsidR="00237ED0">
        <w:rPr>
          <w:lang w:val="de-AT"/>
        </w:rPr>
        <w:t>Vorgaben zur Gewährleistung von Gleichbehan</w:t>
      </w:r>
      <w:r w:rsidR="00237ED0">
        <w:rPr>
          <w:lang w:val="de-AT"/>
        </w:rPr>
        <w:t>d</w:t>
      </w:r>
      <w:r w:rsidR="00237ED0">
        <w:rPr>
          <w:lang w:val="de-AT"/>
        </w:rPr>
        <w:t xml:space="preserve">lung </w:t>
      </w:r>
      <w:r w:rsidR="00B04E57">
        <w:rPr>
          <w:lang w:val="de-AT"/>
        </w:rPr>
        <w:t>und deren Berücksichtigung in der Vergabepraxis zur</w:t>
      </w:r>
      <w:r w:rsidR="00237ED0">
        <w:rPr>
          <w:lang w:val="de-AT"/>
        </w:rPr>
        <w:t xml:space="preserve"> Benachteiligung von MigrantInnen auf dem Wohnungsmarkt </w:t>
      </w:r>
      <w:r w:rsidR="00B04E57">
        <w:rPr>
          <w:lang w:val="de-AT"/>
        </w:rPr>
        <w:t>kommt</w:t>
      </w:r>
      <w:r w:rsidR="00237ED0">
        <w:rPr>
          <w:lang w:val="de-AT"/>
        </w:rPr>
        <w:t xml:space="preserve">, </w:t>
      </w:r>
      <w:r w:rsidR="00B04E57">
        <w:rPr>
          <w:lang w:val="de-AT"/>
        </w:rPr>
        <w:t>wird die große Kluft zwischen den unterschiedlichen Agent</w:t>
      </w:r>
      <w:r w:rsidR="00B04E57">
        <w:rPr>
          <w:lang w:val="de-AT"/>
        </w:rPr>
        <w:t>u</w:t>
      </w:r>
      <w:r w:rsidR="00B04E57">
        <w:rPr>
          <w:lang w:val="de-AT"/>
        </w:rPr>
        <w:t>ren des Wohnungsmarktes erneut unterstrichen. Allem voran die RespondentInnen aus den Beratungseinrichtungen sind zu hohen Anteilen (59%) der Meinung, dass die Einhaltung von Gleichbehandlungsvorgaben nicht ausreicht, dass es also weiterer Maßnahmen und Angebote zur Bekämpfung von Diskriminierung und Benachteiligung bedarf. Dieser Ansicht können sich nur wenige RespondentInnen aus dem Bereich der gemeinnützigen Wohnbauträger (22%) anschließen. Auch die Zustimmung von Seiten der privaten Wohnbauträger (28%) oder der Wohnungsämter (31%) hält sich deutlich in Grenzen.</w:t>
      </w:r>
    </w:p>
    <w:p w:rsidR="004D1171" w:rsidRDefault="004D1171" w:rsidP="00805442">
      <w:pPr>
        <w:rPr>
          <w:lang w:val="de-AT"/>
        </w:rPr>
      </w:pPr>
      <w:r>
        <w:rPr>
          <w:lang w:val="de-AT"/>
        </w:rPr>
        <w:t>Offensichtlich haben die Beratungseinrichtungen mehr Erfahrungen mit nachgehenden Formen der sozialen Arbeit respektive der Gemeinwesenarbeit und sind mithin sensibler bezüglich we</w:t>
      </w:r>
      <w:r>
        <w:rPr>
          <w:lang w:val="de-AT"/>
        </w:rPr>
        <w:t>i</w:t>
      </w:r>
      <w:r>
        <w:rPr>
          <w:lang w:val="de-AT"/>
        </w:rPr>
        <w:t>tergehender Bedarfslagen, die über den engeren Bereich der Wohnungsverwaltung respektive der gleichbehandlungskonformen Vergabe von öffentlichem Wohnraum hinausreichen.</w:t>
      </w:r>
    </w:p>
    <w:p w:rsidR="004D1171" w:rsidRDefault="004D1171">
      <w:pPr>
        <w:spacing w:before="180" w:after="240" w:line="336" w:lineRule="auto"/>
        <w:jc w:val="center"/>
        <w:rPr>
          <w:u w:val="single"/>
          <w:lang w:val="de-AT"/>
        </w:rPr>
      </w:pPr>
      <w:r>
        <w:rPr>
          <w:u w:val="single"/>
          <w:lang w:val="de-AT"/>
        </w:rPr>
        <w:br w:type="page"/>
      </w:r>
    </w:p>
    <w:p w:rsidR="00237ED0" w:rsidRPr="00237ED0" w:rsidRDefault="008613B8" w:rsidP="008613B8">
      <w:pPr>
        <w:pStyle w:val="berschrift3"/>
      </w:pPr>
      <w:r>
        <w:lastRenderedPageBreak/>
        <w:t>4</w:t>
      </w:r>
      <w:r w:rsidR="00237ED0" w:rsidRPr="00237ED0">
        <w:t>.2</w:t>
      </w:r>
      <w:r w:rsidR="00237ED0" w:rsidRPr="00237ED0">
        <w:tab/>
        <w:t>Regionale Unterschiede in der Bewertung der Vergabepraxis</w:t>
      </w:r>
      <w:r w:rsidR="00237ED0" w:rsidRPr="00237ED0">
        <w:br/>
      </w:r>
    </w:p>
    <w:p w:rsidR="00237ED0" w:rsidRDefault="00DD6B05" w:rsidP="00237ED0">
      <w:pPr>
        <w:rPr>
          <w:lang w:val="de-AT"/>
        </w:rPr>
      </w:pPr>
      <w:r>
        <w:rPr>
          <w:lang w:val="de-AT"/>
        </w:rPr>
        <w:t>In den Interviews und Gesprächsrunden gehen die teilnehmenden ExpertInnen auf Fragen ein, wie relativ strikte Vorgaben (Punktereihung nach Dringlichkeit, Objektivität und Transp</w:t>
      </w:r>
      <w:r>
        <w:rPr>
          <w:lang w:val="de-AT"/>
        </w:rPr>
        <w:t>a</w:t>
      </w:r>
      <w:r>
        <w:rPr>
          <w:lang w:val="de-AT"/>
        </w:rPr>
        <w:t>renz, Gleichbehandlungsnormen) mit den ideellen Zielen der Berücksichtigung individueller Bedarfslagen sowie städteplanerischer Überlegungen zur Förderung von Integration möglichst friktionsfrei kombiniert werden können. Unterm Strich erweist sich demnach die administrative Praxis der Wohnungsvergabe als ständige Gratwanderung.</w:t>
      </w:r>
      <w:r>
        <w:rPr>
          <w:lang w:val="de-AT"/>
        </w:rPr>
        <w:br/>
      </w:r>
    </w:p>
    <w:p w:rsidR="00DD6B05" w:rsidRPr="00237ED0" w:rsidRDefault="00DD6B05" w:rsidP="00F65C95">
      <w:pPr>
        <w:tabs>
          <w:tab w:val="right" w:pos="9072"/>
        </w:tabs>
        <w:ind w:left="708"/>
        <w:rPr>
          <w:lang w:val="de-AT"/>
        </w:rPr>
      </w:pPr>
      <w:r>
        <w:rPr>
          <w:i/>
          <w:sz w:val="20"/>
        </w:rPr>
        <w:t>„</w:t>
      </w:r>
      <w:r w:rsidRPr="00DD6B05">
        <w:rPr>
          <w:i/>
          <w:sz w:val="20"/>
        </w:rPr>
        <w:t xml:space="preserve">Es gibt sicher ein </w:t>
      </w:r>
      <w:r w:rsidRPr="008613B8">
        <w:rPr>
          <w:i/>
          <w:sz w:val="20"/>
        </w:rPr>
        <w:t>Spannungsverhältnis</w:t>
      </w:r>
      <w:r w:rsidRPr="00DD6B05">
        <w:rPr>
          <w:i/>
          <w:sz w:val="20"/>
        </w:rPr>
        <w:t>, insofern, als man das Bedürfnis hat, die Belegung der Wohnhausanlagen nach unterschiedlichen Kriterien zu steuern. Und dass dabei dieser Anford</w:t>
      </w:r>
      <w:r w:rsidRPr="00DD6B05">
        <w:rPr>
          <w:i/>
          <w:sz w:val="20"/>
        </w:rPr>
        <w:t>e</w:t>
      </w:r>
      <w:r w:rsidRPr="00DD6B05">
        <w:rPr>
          <w:i/>
          <w:sz w:val="20"/>
        </w:rPr>
        <w:t>rung der Gleichbehandlung, egal in welche Richtung, manchmal nicht zu 100 Prozent entspr</w:t>
      </w:r>
      <w:r w:rsidRPr="00DD6B05">
        <w:rPr>
          <w:i/>
          <w:sz w:val="20"/>
        </w:rPr>
        <w:t>o</w:t>
      </w:r>
      <w:r w:rsidRPr="00DD6B05">
        <w:rPr>
          <w:i/>
          <w:sz w:val="20"/>
        </w:rPr>
        <w:t>chen wird. Zum Beispiel möchte man manchmal auch altersmäßig mischen und dies steht der Gleichbehandlung und der sozialen Bedürftigkeit entgegen.</w:t>
      </w:r>
      <w:r>
        <w:rPr>
          <w:i/>
          <w:sz w:val="20"/>
        </w:rPr>
        <w:t>“</w:t>
      </w:r>
      <w:r>
        <w:rPr>
          <w:i/>
          <w:sz w:val="20"/>
        </w:rPr>
        <w:br/>
      </w:r>
      <w:r>
        <w:rPr>
          <w:i/>
          <w:sz w:val="20"/>
        </w:rPr>
        <w:tab/>
        <w:t>Interview Expertin</w:t>
      </w:r>
      <w:r w:rsidR="00F65C95">
        <w:rPr>
          <w:i/>
          <w:sz w:val="20"/>
          <w:lang w:val="de-AT"/>
        </w:rPr>
        <w:br/>
      </w:r>
    </w:p>
    <w:p w:rsidR="00237ED0" w:rsidRPr="005617E0" w:rsidRDefault="00237ED0" w:rsidP="00237ED0">
      <w:pPr>
        <w:rPr>
          <w:u w:val="single"/>
          <w:lang w:val="de-AT"/>
        </w:rPr>
      </w:pPr>
      <w:r>
        <w:rPr>
          <w:u w:val="single"/>
          <w:lang w:val="de-AT"/>
        </w:rPr>
        <w:t>Fallbeispiel Bregenz</w:t>
      </w:r>
    </w:p>
    <w:tbl>
      <w:tblPr>
        <w:tblStyle w:val="Tabellengitternetz"/>
        <w:tblW w:w="0" w:type="auto"/>
        <w:tblLook w:val="04A0"/>
      </w:tblPr>
      <w:tblGrid>
        <w:gridCol w:w="9212"/>
      </w:tblGrid>
      <w:tr w:rsidR="00237ED0" w:rsidRPr="00DA5171" w:rsidTr="00237ED0">
        <w:tc>
          <w:tcPr>
            <w:tcW w:w="9212" w:type="dxa"/>
          </w:tcPr>
          <w:p w:rsidR="00587957" w:rsidRDefault="00237ED0" w:rsidP="00044AF0">
            <w:pPr>
              <w:spacing w:beforeLines="40" w:afterLines="40" w:line="240" w:lineRule="auto"/>
              <w:jc w:val="left"/>
              <w:rPr>
                <w:i/>
                <w:sz w:val="20"/>
                <w:szCs w:val="24"/>
              </w:rPr>
            </w:pPr>
            <w:r w:rsidRPr="003B054A">
              <w:rPr>
                <w:i/>
                <w:sz w:val="20"/>
              </w:rPr>
              <w:t>Bei der Vergabe der Wohnungen wird zum überwiegenden Teil auf die Liste der WohnungswerberIn</w:t>
            </w:r>
            <w:r w:rsidR="008613B8">
              <w:rPr>
                <w:i/>
                <w:sz w:val="20"/>
              </w:rPr>
              <w:softHyphen/>
            </w:r>
            <w:r w:rsidRPr="003B054A">
              <w:rPr>
                <w:i/>
                <w:sz w:val="20"/>
              </w:rPr>
              <w:t>nen, nach Punkten gereiht, Bezug genommen, daneben gibt es jedoch auch Spielraum für die Ent</w:t>
            </w:r>
            <w:r w:rsidR="008613B8">
              <w:rPr>
                <w:i/>
                <w:sz w:val="20"/>
              </w:rPr>
              <w:softHyphen/>
            </w:r>
            <w:r w:rsidRPr="003B054A">
              <w:rPr>
                <w:i/>
                <w:sz w:val="20"/>
              </w:rPr>
              <w:t>scheidungsfindung, wonach es möglich ist, auf besondere Bedürfnisse etc. und spezielle Überlegun</w:t>
            </w:r>
            <w:r w:rsidR="008613B8">
              <w:rPr>
                <w:i/>
                <w:sz w:val="20"/>
              </w:rPr>
              <w:softHyphen/>
            </w:r>
            <w:r w:rsidRPr="003B054A">
              <w:rPr>
                <w:i/>
                <w:sz w:val="20"/>
              </w:rPr>
              <w:t>gen in Hinblick auf die Lage der zu vergebenen Wohnung (aktueller sozialer / ethnische</w:t>
            </w:r>
            <w:r w:rsidR="00B13E33">
              <w:rPr>
                <w:i/>
                <w:sz w:val="20"/>
              </w:rPr>
              <w:t xml:space="preserve">r Mix etc.) Rücksicht zu nehmen; </w:t>
            </w:r>
            <w:r w:rsidRPr="003B054A">
              <w:rPr>
                <w:i/>
                <w:sz w:val="20"/>
              </w:rPr>
              <w:t xml:space="preserve">bei etwa 20% der Vergaben </w:t>
            </w:r>
            <w:r w:rsidR="008613B8">
              <w:rPr>
                <w:i/>
                <w:sz w:val="20"/>
              </w:rPr>
              <w:t>steh</w:t>
            </w:r>
            <w:r w:rsidRPr="003B054A">
              <w:rPr>
                <w:i/>
                <w:sz w:val="20"/>
              </w:rPr>
              <w:t>en Interessenserwägungen (in Hinblick auf Stadtplanung, Siedlungsstruktur, positive Diskriminierung etc.) i</w:t>
            </w:r>
            <w:r w:rsidR="008613B8">
              <w:rPr>
                <w:i/>
                <w:sz w:val="20"/>
              </w:rPr>
              <w:t>m Vordergrund</w:t>
            </w:r>
            <w:r w:rsidRPr="003B054A">
              <w:rPr>
                <w:i/>
                <w:sz w:val="20"/>
              </w:rPr>
              <w:t>.</w:t>
            </w:r>
          </w:p>
          <w:p w:rsidR="001E30B4" w:rsidRDefault="00237ED0" w:rsidP="00044AF0">
            <w:pPr>
              <w:spacing w:beforeLines="40" w:afterLines="40" w:line="240" w:lineRule="auto"/>
              <w:jc w:val="right"/>
              <w:rPr>
                <w:i/>
                <w:sz w:val="20"/>
                <w:szCs w:val="24"/>
              </w:rPr>
            </w:pPr>
            <w:r>
              <w:rPr>
                <w:i/>
                <w:sz w:val="20"/>
              </w:rPr>
              <w:t>Interview Sozial-/Wohnungsverwaltung</w:t>
            </w:r>
          </w:p>
        </w:tc>
      </w:tr>
    </w:tbl>
    <w:p w:rsidR="008613B8" w:rsidRDefault="008613B8" w:rsidP="00237ED0">
      <w:pPr>
        <w:rPr>
          <w:u w:val="single"/>
        </w:rPr>
      </w:pPr>
      <w:r>
        <w:rPr>
          <w:u w:val="single"/>
        </w:rPr>
        <w:br/>
        <w:t>Fallbeispiel Linz</w:t>
      </w:r>
    </w:p>
    <w:tbl>
      <w:tblPr>
        <w:tblStyle w:val="Tabellengitternetz"/>
        <w:tblW w:w="0" w:type="auto"/>
        <w:tblLook w:val="04A0"/>
      </w:tblPr>
      <w:tblGrid>
        <w:gridCol w:w="9212"/>
      </w:tblGrid>
      <w:tr w:rsidR="008613B8" w:rsidRPr="00DA5171" w:rsidTr="00CD40A6">
        <w:tc>
          <w:tcPr>
            <w:tcW w:w="9212" w:type="dxa"/>
          </w:tcPr>
          <w:p w:rsidR="00587957" w:rsidRDefault="00063282" w:rsidP="00044AF0">
            <w:pPr>
              <w:spacing w:beforeLines="40" w:afterLines="40" w:line="240" w:lineRule="auto"/>
              <w:jc w:val="left"/>
              <w:rPr>
                <w:i/>
                <w:sz w:val="20"/>
                <w:szCs w:val="24"/>
              </w:rPr>
            </w:pPr>
            <w:r w:rsidRPr="00063282">
              <w:rPr>
                <w:i/>
                <w:sz w:val="20"/>
                <w:szCs w:val="26"/>
              </w:rPr>
              <w:t xml:space="preserve">Die Vergabe von geförderten Wohnungen erfolgt auf der Grundlage einer bewährten Kooperation zwischen WLH und Gemeinnützigen Wohnbauträgern (insbesondere im Kontext der Vernetzung in der Wohnplattform) und ist von wechselseitigem Vertrauen bestimmt. Eine Empfehlung durch eine MitarbeiterIn des Betreuten Wohnens stellt in diesem Sinne auch eine Verpflichtungserklärung dar, bei Problemen </w:t>
            </w:r>
            <w:r>
              <w:rPr>
                <w:i/>
                <w:sz w:val="20"/>
                <w:szCs w:val="26"/>
              </w:rPr>
              <w:t xml:space="preserve">wie z.B. Mietrückstand </w:t>
            </w:r>
            <w:r w:rsidRPr="00063282">
              <w:rPr>
                <w:i/>
                <w:sz w:val="20"/>
                <w:szCs w:val="26"/>
              </w:rPr>
              <w:t xml:space="preserve">/ </w:t>
            </w:r>
            <w:r>
              <w:rPr>
                <w:i/>
                <w:sz w:val="20"/>
                <w:szCs w:val="26"/>
              </w:rPr>
              <w:t>Nachbarschaftsk</w:t>
            </w:r>
            <w:r w:rsidRPr="00063282">
              <w:rPr>
                <w:i/>
                <w:sz w:val="20"/>
                <w:szCs w:val="26"/>
              </w:rPr>
              <w:t>onflikten / Beschwerden einzuspringen.</w:t>
            </w:r>
          </w:p>
          <w:p w:rsidR="001E30B4" w:rsidRDefault="008613B8" w:rsidP="00044AF0">
            <w:pPr>
              <w:spacing w:beforeLines="40" w:afterLines="40" w:line="240" w:lineRule="auto"/>
              <w:jc w:val="right"/>
              <w:rPr>
                <w:i/>
                <w:sz w:val="20"/>
                <w:szCs w:val="24"/>
              </w:rPr>
            </w:pPr>
            <w:r>
              <w:rPr>
                <w:i/>
                <w:sz w:val="20"/>
              </w:rPr>
              <w:t>Interview Wohnbetreuung</w:t>
            </w:r>
          </w:p>
        </w:tc>
      </w:tr>
    </w:tbl>
    <w:p w:rsidR="00237ED0" w:rsidRPr="005617E0" w:rsidRDefault="0056123E" w:rsidP="00237ED0">
      <w:pPr>
        <w:rPr>
          <w:u w:val="single"/>
        </w:rPr>
      </w:pPr>
      <w:r>
        <w:rPr>
          <w:u w:val="single"/>
        </w:rPr>
        <w:br/>
      </w:r>
      <w:r w:rsidR="00237ED0" w:rsidRPr="005617E0">
        <w:rPr>
          <w:u w:val="single"/>
        </w:rPr>
        <w:t>Fallbeispiel Niederösterreich</w:t>
      </w:r>
    </w:p>
    <w:tbl>
      <w:tblPr>
        <w:tblStyle w:val="Tabellengitternetz"/>
        <w:tblW w:w="0" w:type="auto"/>
        <w:tblLook w:val="04A0"/>
      </w:tblPr>
      <w:tblGrid>
        <w:gridCol w:w="9288"/>
      </w:tblGrid>
      <w:tr w:rsidR="00237ED0" w:rsidRPr="00DA5171" w:rsidTr="00237ED0">
        <w:tc>
          <w:tcPr>
            <w:tcW w:w="9288" w:type="dxa"/>
          </w:tcPr>
          <w:p w:rsidR="00587957" w:rsidRDefault="00B13E33" w:rsidP="00044AF0">
            <w:pPr>
              <w:spacing w:beforeLines="40" w:afterLines="40" w:line="240" w:lineRule="auto"/>
              <w:jc w:val="left"/>
              <w:rPr>
                <w:rFonts w:cs="Tahoma"/>
                <w:i/>
                <w:smallCaps/>
                <w:color w:val="C0504D" w:themeColor="accent2"/>
                <w:sz w:val="20"/>
                <w:szCs w:val="24"/>
              </w:rPr>
            </w:pPr>
            <w:r w:rsidRPr="00B13E33">
              <w:rPr>
                <w:rFonts w:cs="Tahoma"/>
                <w:i/>
                <w:smallCaps/>
                <w:color w:val="C0504D" w:themeColor="accent2"/>
                <w:sz w:val="20"/>
              </w:rPr>
              <w:t>Spielraum wegen unscharfer Begriffsbestimmung</w:t>
            </w:r>
          </w:p>
          <w:p w:rsidR="001E30B4" w:rsidRDefault="00237ED0" w:rsidP="00044AF0">
            <w:pPr>
              <w:spacing w:beforeLines="40" w:afterLines="40" w:line="240" w:lineRule="auto"/>
              <w:jc w:val="left"/>
              <w:rPr>
                <w:rFonts w:cs="Tahoma"/>
                <w:i/>
                <w:sz w:val="20"/>
                <w:szCs w:val="24"/>
              </w:rPr>
            </w:pPr>
            <w:r w:rsidRPr="003B054A">
              <w:rPr>
                <w:rFonts w:cs="Tahoma"/>
                <w:i/>
                <w:sz w:val="20"/>
              </w:rPr>
              <w:t>Das Gesetz spricht ganz neutral von Bedarf. Es gibt ein paar Kommentare dazu, was Wohnbedarf bedeutet und wie dieser bewertet / festgestellt wird. Diesbezüglich gibt es aber einen Interpretation</w:t>
            </w:r>
            <w:r w:rsidRPr="003B054A">
              <w:rPr>
                <w:rFonts w:cs="Tahoma"/>
                <w:i/>
                <w:sz w:val="20"/>
              </w:rPr>
              <w:t>s</w:t>
            </w:r>
            <w:r w:rsidRPr="003B054A">
              <w:rPr>
                <w:rFonts w:cs="Tahoma"/>
                <w:i/>
                <w:sz w:val="20"/>
              </w:rPr>
              <w:t>spielraum. Notlagen werden in jedem Fall vorgezogen.</w:t>
            </w:r>
            <w:r w:rsidR="00063282">
              <w:rPr>
                <w:rFonts w:cs="Tahoma"/>
                <w:i/>
                <w:sz w:val="20"/>
              </w:rPr>
              <w:br/>
            </w:r>
          </w:p>
          <w:p w:rsidR="001E30B4" w:rsidRDefault="00B13E33" w:rsidP="00044AF0">
            <w:pPr>
              <w:spacing w:beforeLines="40" w:afterLines="40" w:line="240" w:lineRule="auto"/>
              <w:jc w:val="left"/>
              <w:rPr>
                <w:rFonts w:cs="Tahoma"/>
                <w:i/>
                <w:smallCaps/>
                <w:color w:val="C0504D" w:themeColor="accent2"/>
                <w:sz w:val="20"/>
                <w:szCs w:val="24"/>
              </w:rPr>
            </w:pPr>
            <w:r w:rsidRPr="00B13E33">
              <w:rPr>
                <w:rFonts w:cs="Tahoma"/>
                <w:i/>
                <w:smallCaps/>
                <w:color w:val="C0504D" w:themeColor="accent2"/>
                <w:sz w:val="20"/>
              </w:rPr>
              <w:lastRenderedPageBreak/>
              <w:t xml:space="preserve">Problem: Information </w:t>
            </w:r>
          </w:p>
          <w:p w:rsidR="001E30B4" w:rsidRDefault="00B13E33" w:rsidP="00044AF0">
            <w:pPr>
              <w:spacing w:beforeLines="40" w:afterLines="40" w:line="240" w:lineRule="auto"/>
              <w:jc w:val="left"/>
              <w:rPr>
                <w:rFonts w:cs="Tahoma"/>
                <w:i/>
                <w:smallCaps/>
                <w:color w:val="C0504D" w:themeColor="accent2"/>
                <w:sz w:val="18"/>
                <w:szCs w:val="24"/>
              </w:rPr>
            </w:pPr>
            <w:r w:rsidRPr="00B13E33">
              <w:rPr>
                <w:rFonts w:cs="Tahoma"/>
                <w:i/>
                <w:sz w:val="20"/>
              </w:rPr>
              <w:t>Informationsdistribution findet gleichmäßig über lokales Fernsehen, Zeitungen, Zeitschriften, Einric</w:t>
            </w:r>
            <w:r w:rsidRPr="00B13E33">
              <w:rPr>
                <w:rFonts w:cs="Tahoma"/>
                <w:i/>
                <w:sz w:val="20"/>
              </w:rPr>
              <w:t>h</w:t>
            </w:r>
            <w:r w:rsidRPr="00B13E33">
              <w:rPr>
                <w:rFonts w:cs="Tahoma"/>
                <w:i/>
                <w:sz w:val="20"/>
              </w:rPr>
              <w:t>tungen statt. Aber: Für Personen mit sprachlichen Problemen oder mit wenig Bildung bleibt das Pro</w:t>
            </w:r>
            <w:r w:rsidRPr="00B13E33">
              <w:rPr>
                <w:rFonts w:cs="Tahoma"/>
                <w:i/>
                <w:sz w:val="20"/>
              </w:rPr>
              <w:t>b</w:t>
            </w:r>
            <w:r w:rsidRPr="00B13E33">
              <w:rPr>
                <w:rFonts w:cs="Tahoma"/>
                <w:i/>
                <w:sz w:val="20"/>
              </w:rPr>
              <w:t>lem, dass sie den Zugang zum Segment des geförderten Wohnungsmarktes, auf sich alleine gestellt, nicht bewältigen.</w:t>
            </w:r>
          </w:p>
          <w:p w:rsidR="001E30B4" w:rsidRDefault="00B13E33" w:rsidP="00044AF0">
            <w:pPr>
              <w:spacing w:beforeLines="40" w:afterLines="40" w:line="240" w:lineRule="auto"/>
              <w:jc w:val="left"/>
              <w:rPr>
                <w:rFonts w:cs="Tahoma"/>
                <w:i/>
                <w:smallCaps/>
                <w:color w:val="C0504D" w:themeColor="accent2"/>
                <w:sz w:val="20"/>
                <w:szCs w:val="24"/>
              </w:rPr>
            </w:pPr>
            <w:r>
              <w:rPr>
                <w:rFonts w:cs="Tahoma"/>
                <w:i/>
                <w:smallCaps/>
                <w:color w:val="C0504D" w:themeColor="accent2"/>
                <w:sz w:val="20"/>
              </w:rPr>
              <w:t xml:space="preserve">Problem: </w:t>
            </w:r>
            <w:r w:rsidRPr="00B13E33">
              <w:rPr>
                <w:rFonts w:cs="Tahoma"/>
                <w:i/>
                <w:smallCaps/>
                <w:color w:val="C0504D" w:themeColor="accent2"/>
                <w:sz w:val="20"/>
              </w:rPr>
              <w:t>Transparenz</w:t>
            </w:r>
          </w:p>
          <w:p w:rsidR="001E30B4" w:rsidRDefault="00B13E33" w:rsidP="00044AF0">
            <w:pPr>
              <w:spacing w:beforeLines="40" w:afterLines="40" w:line="240" w:lineRule="auto"/>
              <w:jc w:val="left"/>
              <w:rPr>
                <w:rFonts w:cs="Tahoma"/>
                <w:i/>
                <w:sz w:val="20"/>
                <w:szCs w:val="24"/>
              </w:rPr>
            </w:pPr>
            <w:r w:rsidRPr="00B13E33">
              <w:rPr>
                <w:rFonts w:cs="Tahoma"/>
                <w:i/>
                <w:sz w:val="20"/>
              </w:rPr>
              <w:t>Die WBF-Bestimmungen sind Laien im Detail nicht ohne weiteres nachvollziehbar. Die tun sich schwer, das System (Anmeldung und Überprüfung der Anspruchsberechtigung</w:t>
            </w:r>
            <w:r w:rsidR="008613B8">
              <w:rPr>
                <w:rFonts w:cs="Tahoma"/>
                <w:i/>
                <w:sz w:val="20"/>
              </w:rPr>
              <w:t xml:space="preserve"> /</w:t>
            </w:r>
            <w:r w:rsidRPr="00B13E33">
              <w:rPr>
                <w:rFonts w:cs="Tahoma"/>
                <w:i/>
                <w:sz w:val="20"/>
              </w:rPr>
              <w:t xml:space="preserve"> Bemessung der Dringlichkeit der Wohnversorgung </w:t>
            </w:r>
            <w:r w:rsidR="008613B8">
              <w:rPr>
                <w:rFonts w:cs="Tahoma"/>
                <w:i/>
                <w:sz w:val="20"/>
              </w:rPr>
              <w:t>/</w:t>
            </w:r>
            <w:r w:rsidRPr="00B13E33">
              <w:rPr>
                <w:rFonts w:cs="Tahoma"/>
                <w:i/>
                <w:sz w:val="20"/>
              </w:rPr>
              <w:t xml:space="preserve"> Berechnung der Wohnkosten und der allfälligen Beihilfen) zu verstehen. Bei vielen Fragen, wo es Intransparenz gibt, geht es überhaupt nicht um Diskriminierung, das ist eben eine Sache der Komplexität des Systems.</w:t>
            </w:r>
          </w:p>
          <w:p w:rsidR="001E30B4" w:rsidRDefault="00B13E33" w:rsidP="00044AF0">
            <w:pPr>
              <w:spacing w:beforeLines="40" w:afterLines="40" w:line="240" w:lineRule="auto"/>
              <w:jc w:val="left"/>
              <w:rPr>
                <w:rFonts w:cs="Tahoma"/>
                <w:i/>
                <w:smallCaps/>
                <w:color w:val="C0504D" w:themeColor="accent2"/>
                <w:sz w:val="20"/>
                <w:szCs w:val="24"/>
              </w:rPr>
            </w:pPr>
            <w:r w:rsidRPr="00B13E33">
              <w:rPr>
                <w:rFonts w:cs="Tahoma"/>
                <w:i/>
                <w:smallCaps/>
                <w:color w:val="C0504D" w:themeColor="accent2"/>
                <w:sz w:val="20"/>
              </w:rPr>
              <w:t>Problem: finanzielle Einstiegshürden</w:t>
            </w:r>
          </w:p>
          <w:p w:rsidR="001E30B4" w:rsidRDefault="00B13E33" w:rsidP="00044AF0">
            <w:pPr>
              <w:spacing w:beforeLines="40" w:afterLines="40" w:line="240" w:lineRule="auto"/>
              <w:jc w:val="left"/>
              <w:rPr>
                <w:rFonts w:cs="Tahoma"/>
                <w:i/>
                <w:sz w:val="16"/>
                <w:szCs w:val="24"/>
              </w:rPr>
            </w:pPr>
            <w:r w:rsidRPr="00B13E33">
              <w:rPr>
                <w:rFonts w:cs="Tahoma"/>
                <w:i/>
                <w:sz w:val="20"/>
              </w:rPr>
              <w:t>Gleichbehandlung bedeutet in der Praxis des Wohnungsmarktes, dass Schwache schwach bleiben. Benachteiligung bringt man (nur!) mit Gleichbehandlung nicht weg. Insgesamt stellen die Finanzi</w:t>
            </w:r>
            <w:r w:rsidRPr="00B13E33">
              <w:rPr>
                <w:rFonts w:cs="Tahoma"/>
                <w:i/>
                <w:sz w:val="20"/>
              </w:rPr>
              <w:t>e</w:t>
            </w:r>
            <w:r w:rsidRPr="00B13E33">
              <w:rPr>
                <w:rFonts w:cs="Tahoma"/>
                <w:i/>
                <w:sz w:val="20"/>
              </w:rPr>
              <w:t>rungsbeiträge gemäß der Praxiserfahrungen der Wohnassistenz eine große Hürde für viele Wohnung</w:t>
            </w:r>
            <w:r w:rsidRPr="00B13E33">
              <w:rPr>
                <w:rFonts w:cs="Tahoma"/>
                <w:i/>
                <w:sz w:val="20"/>
              </w:rPr>
              <w:t>s</w:t>
            </w:r>
            <w:r w:rsidRPr="00B13E33">
              <w:rPr>
                <w:rFonts w:cs="Tahoma"/>
                <w:i/>
                <w:sz w:val="20"/>
              </w:rPr>
              <w:t xml:space="preserve">suchende dar. Das betrifft </w:t>
            </w:r>
            <w:r w:rsidR="00C63F08">
              <w:rPr>
                <w:rFonts w:cs="Tahoma"/>
                <w:i/>
                <w:sz w:val="20"/>
              </w:rPr>
              <w:t>insbesondere</w:t>
            </w:r>
            <w:r w:rsidRPr="00B13E33">
              <w:rPr>
                <w:rFonts w:cs="Tahoma"/>
                <w:i/>
                <w:sz w:val="20"/>
              </w:rPr>
              <w:t xml:space="preserve"> Armutshaushalte, die nicht und nicht vom Rand wegkommen. Armut und soziale Ausgrenzung werden tendenziell vererbt. Das hat </w:t>
            </w:r>
            <w:r>
              <w:rPr>
                <w:rFonts w:cs="Tahoma"/>
                <w:i/>
                <w:sz w:val="20"/>
              </w:rPr>
              <w:t>unter anderem</w:t>
            </w:r>
            <w:r w:rsidRPr="00B13E33">
              <w:rPr>
                <w:rFonts w:cs="Tahoma"/>
                <w:i/>
                <w:sz w:val="20"/>
              </w:rPr>
              <w:t xml:space="preserve"> mit Bildung und Berufsbildung zu tun, aber insbesondere auch mit den Wohnverhältnissen.</w:t>
            </w:r>
          </w:p>
          <w:p w:rsidR="001E30B4" w:rsidRDefault="00237ED0" w:rsidP="00044AF0">
            <w:pPr>
              <w:spacing w:beforeLines="40" w:afterLines="40" w:line="240" w:lineRule="auto"/>
              <w:jc w:val="right"/>
              <w:rPr>
                <w:i/>
                <w:sz w:val="20"/>
                <w:szCs w:val="24"/>
              </w:rPr>
            </w:pPr>
            <w:r>
              <w:rPr>
                <w:rFonts w:cs="Tahoma"/>
                <w:i/>
                <w:sz w:val="20"/>
              </w:rPr>
              <w:t>Gesprächsrunde mit ExpertInnen</w:t>
            </w:r>
          </w:p>
        </w:tc>
      </w:tr>
    </w:tbl>
    <w:p w:rsidR="00237ED0" w:rsidRDefault="00237ED0" w:rsidP="00237ED0">
      <w:pPr>
        <w:rPr>
          <w:lang w:val="de-AT"/>
        </w:rPr>
      </w:pPr>
    </w:p>
    <w:p w:rsidR="00237ED0" w:rsidRPr="005617E0" w:rsidRDefault="00237ED0" w:rsidP="00237ED0">
      <w:pPr>
        <w:rPr>
          <w:u w:val="single"/>
          <w:lang w:val="de-AT"/>
        </w:rPr>
      </w:pPr>
      <w:r w:rsidRPr="005617E0">
        <w:rPr>
          <w:u w:val="single"/>
          <w:lang w:val="de-AT"/>
        </w:rPr>
        <w:t>Fallbeispiel Tirol</w:t>
      </w:r>
    </w:p>
    <w:tbl>
      <w:tblPr>
        <w:tblStyle w:val="Tabellengitternetz"/>
        <w:tblW w:w="0" w:type="auto"/>
        <w:tblLook w:val="04A0"/>
      </w:tblPr>
      <w:tblGrid>
        <w:gridCol w:w="9288"/>
      </w:tblGrid>
      <w:tr w:rsidR="00237ED0" w:rsidRPr="00DA5171" w:rsidTr="00237ED0">
        <w:tc>
          <w:tcPr>
            <w:tcW w:w="9288" w:type="dxa"/>
          </w:tcPr>
          <w:p w:rsidR="00587957" w:rsidRDefault="00E559D7" w:rsidP="00044AF0">
            <w:pPr>
              <w:spacing w:beforeLines="40" w:afterLines="40" w:line="240" w:lineRule="auto"/>
              <w:jc w:val="left"/>
              <w:rPr>
                <w:i/>
                <w:smallCaps/>
                <w:color w:val="C0504D" w:themeColor="accent2"/>
                <w:sz w:val="20"/>
                <w:szCs w:val="24"/>
              </w:rPr>
            </w:pPr>
            <w:r w:rsidRPr="00E559D7">
              <w:rPr>
                <w:i/>
                <w:smallCaps/>
                <w:color w:val="C0504D" w:themeColor="accent2"/>
                <w:sz w:val="20"/>
              </w:rPr>
              <w:t>Berücksichtigung individueller Wünsche</w:t>
            </w:r>
          </w:p>
          <w:p w:rsidR="001E30B4" w:rsidRDefault="00237ED0" w:rsidP="00044AF0">
            <w:pPr>
              <w:spacing w:beforeLines="40" w:afterLines="40" w:line="240" w:lineRule="auto"/>
              <w:jc w:val="left"/>
              <w:rPr>
                <w:i/>
                <w:sz w:val="20"/>
                <w:szCs w:val="24"/>
              </w:rPr>
            </w:pPr>
            <w:r w:rsidRPr="003B054A">
              <w:rPr>
                <w:i/>
                <w:sz w:val="20"/>
              </w:rPr>
              <w:t>Nach Möglichkeit wird bei den Vergabeentscheidungen auf individuelle Wünsche, z.B. nach bevorzu</w:t>
            </w:r>
            <w:r w:rsidRPr="003B054A">
              <w:rPr>
                <w:i/>
                <w:sz w:val="20"/>
              </w:rPr>
              <w:t>g</w:t>
            </w:r>
            <w:r w:rsidRPr="003B054A">
              <w:rPr>
                <w:i/>
                <w:sz w:val="20"/>
              </w:rPr>
              <w:t>tem Stadtteil</w:t>
            </w:r>
            <w:r w:rsidR="00030AFC">
              <w:rPr>
                <w:i/>
                <w:sz w:val="20"/>
              </w:rPr>
              <w:t xml:space="preserve"> oder</w:t>
            </w:r>
            <w:r w:rsidRPr="003B054A">
              <w:rPr>
                <w:i/>
                <w:sz w:val="20"/>
              </w:rPr>
              <w:t xml:space="preserve"> Lage der Wohnung etc., eingegangen</w:t>
            </w:r>
          </w:p>
          <w:p w:rsidR="001E30B4" w:rsidRDefault="00237ED0" w:rsidP="00044AF0">
            <w:pPr>
              <w:spacing w:beforeLines="40" w:afterLines="40" w:line="240" w:lineRule="auto"/>
              <w:jc w:val="right"/>
              <w:rPr>
                <w:i/>
                <w:sz w:val="20"/>
                <w:szCs w:val="24"/>
              </w:rPr>
            </w:pPr>
            <w:r>
              <w:rPr>
                <w:i/>
                <w:sz w:val="20"/>
              </w:rPr>
              <w:t>Interview Wohnungsvergabe</w:t>
            </w:r>
          </w:p>
          <w:p w:rsidR="001E30B4" w:rsidRDefault="00E559D7" w:rsidP="00044AF0">
            <w:pPr>
              <w:spacing w:beforeLines="40" w:afterLines="40" w:line="240" w:lineRule="auto"/>
              <w:jc w:val="left"/>
              <w:rPr>
                <w:i/>
                <w:smallCaps/>
                <w:color w:val="C0504D" w:themeColor="accent2"/>
                <w:sz w:val="20"/>
                <w:szCs w:val="24"/>
              </w:rPr>
            </w:pPr>
            <w:r w:rsidRPr="009F2FE3">
              <w:rPr>
                <w:i/>
                <w:smallCaps/>
                <w:color w:val="C0504D" w:themeColor="accent2"/>
                <w:sz w:val="20"/>
              </w:rPr>
              <w:t>Spielraum durch weiche Kriterien</w:t>
            </w:r>
          </w:p>
          <w:p w:rsidR="001E30B4" w:rsidRDefault="00E559D7" w:rsidP="00044AF0">
            <w:pPr>
              <w:spacing w:beforeLines="40" w:afterLines="40" w:line="240" w:lineRule="auto"/>
              <w:jc w:val="left"/>
              <w:rPr>
                <w:i/>
                <w:sz w:val="20"/>
                <w:szCs w:val="24"/>
                <w:lang w:val="de-AT" w:eastAsia="de-AT"/>
              </w:rPr>
            </w:pPr>
            <w:r w:rsidRPr="009F2FE3">
              <w:rPr>
                <w:i/>
                <w:sz w:val="20"/>
                <w:lang w:val="de-AT" w:eastAsia="de-AT"/>
              </w:rPr>
              <w:t xml:space="preserve">In Frage steht, inwieweit es überhaupt möglich ist, Spielräume, die sich durch weiche Faktoren (wie z.B. ehrenamtliches Engagement in der Gemeinde) </w:t>
            </w:r>
            <w:r w:rsidR="009F2FE3">
              <w:rPr>
                <w:i/>
                <w:sz w:val="20"/>
                <w:lang w:val="de-AT" w:eastAsia="de-AT"/>
              </w:rPr>
              <w:t xml:space="preserve">ergeben, </w:t>
            </w:r>
            <w:r w:rsidRPr="009F2FE3">
              <w:rPr>
                <w:i/>
                <w:sz w:val="20"/>
                <w:lang w:val="de-AT" w:eastAsia="de-AT"/>
              </w:rPr>
              <w:t xml:space="preserve">transparent </w:t>
            </w:r>
            <w:r w:rsidR="009F2FE3">
              <w:rPr>
                <w:i/>
                <w:sz w:val="20"/>
                <w:lang w:val="de-AT" w:eastAsia="de-AT"/>
              </w:rPr>
              <w:t xml:space="preserve">zu </w:t>
            </w:r>
            <w:r w:rsidRPr="009F2FE3">
              <w:rPr>
                <w:i/>
                <w:sz w:val="20"/>
                <w:lang w:val="de-AT" w:eastAsia="de-AT"/>
              </w:rPr>
              <w:t>gestalten, ob und inwi</w:t>
            </w:r>
            <w:r w:rsidRPr="009F2FE3">
              <w:rPr>
                <w:i/>
                <w:sz w:val="20"/>
                <w:lang w:val="de-AT" w:eastAsia="de-AT"/>
              </w:rPr>
              <w:t>e</w:t>
            </w:r>
            <w:r w:rsidRPr="009F2FE3">
              <w:rPr>
                <w:i/>
                <w:sz w:val="20"/>
                <w:lang w:val="de-AT" w:eastAsia="de-AT"/>
              </w:rPr>
              <w:t>weit Objektivität und Transparenz durchgängige Ziele der relevanten AkteurInnen in der Vergabe von geförderten Wohnungen im Bundesland Tirol darstellen.</w:t>
            </w:r>
          </w:p>
          <w:p w:rsidR="001E30B4" w:rsidRDefault="00E559D7" w:rsidP="00044AF0">
            <w:pPr>
              <w:spacing w:beforeLines="40" w:afterLines="40" w:line="240" w:lineRule="auto"/>
              <w:jc w:val="right"/>
              <w:rPr>
                <w:i/>
                <w:sz w:val="20"/>
                <w:szCs w:val="24"/>
              </w:rPr>
            </w:pPr>
            <w:r w:rsidRPr="009F2FE3">
              <w:rPr>
                <w:i/>
                <w:sz w:val="20"/>
                <w:lang w:val="de-AT" w:eastAsia="de-AT"/>
              </w:rPr>
              <w:t>Gesprächsrunde mit ExpertInnen</w:t>
            </w:r>
          </w:p>
        </w:tc>
      </w:tr>
    </w:tbl>
    <w:p w:rsidR="00237ED0" w:rsidRDefault="00237ED0" w:rsidP="00237ED0"/>
    <w:p w:rsidR="00237ED0" w:rsidRPr="005617E0" w:rsidRDefault="00237ED0" w:rsidP="00237ED0">
      <w:pPr>
        <w:rPr>
          <w:u w:val="single"/>
        </w:rPr>
      </w:pPr>
      <w:r w:rsidRPr="005617E0">
        <w:rPr>
          <w:u w:val="single"/>
        </w:rPr>
        <w:t>Fallbeispiel Wien</w:t>
      </w:r>
    </w:p>
    <w:tbl>
      <w:tblPr>
        <w:tblStyle w:val="Tabellengitternetz"/>
        <w:tblW w:w="0" w:type="auto"/>
        <w:tblLook w:val="04A0"/>
      </w:tblPr>
      <w:tblGrid>
        <w:gridCol w:w="9288"/>
      </w:tblGrid>
      <w:tr w:rsidR="00237ED0" w:rsidRPr="00DA5171" w:rsidTr="00237ED0">
        <w:tc>
          <w:tcPr>
            <w:tcW w:w="9288" w:type="dxa"/>
          </w:tcPr>
          <w:p w:rsidR="001E30B4" w:rsidRDefault="00237ED0" w:rsidP="00044AF0">
            <w:pPr>
              <w:spacing w:beforeLines="40" w:afterLines="40" w:line="240" w:lineRule="auto"/>
              <w:jc w:val="left"/>
              <w:rPr>
                <w:rStyle w:val="SchwacherVerweis"/>
                <w:i/>
                <w:sz w:val="20"/>
                <w:szCs w:val="20"/>
              </w:rPr>
            </w:pPr>
            <w:r w:rsidRPr="003B054A">
              <w:rPr>
                <w:rStyle w:val="SchwacherVerweis"/>
                <w:i/>
                <w:sz w:val="20"/>
                <w:szCs w:val="20"/>
              </w:rPr>
              <w:t>WLH:</w:t>
            </w:r>
          </w:p>
          <w:p w:rsidR="001E30B4" w:rsidRDefault="00237ED0" w:rsidP="00044AF0">
            <w:pPr>
              <w:spacing w:beforeLines="40" w:afterLines="40" w:line="240" w:lineRule="auto"/>
              <w:jc w:val="left"/>
              <w:rPr>
                <w:i/>
                <w:sz w:val="20"/>
                <w:szCs w:val="20"/>
              </w:rPr>
            </w:pPr>
            <w:r w:rsidRPr="003B054A">
              <w:rPr>
                <w:i/>
                <w:sz w:val="20"/>
                <w:szCs w:val="20"/>
              </w:rPr>
              <w:t>In dringlichen Fällen können Ausnahmen gemacht werden</w:t>
            </w:r>
          </w:p>
          <w:p w:rsidR="001E30B4" w:rsidRDefault="00062F19" w:rsidP="00044AF0">
            <w:pPr>
              <w:spacing w:beforeLines="40" w:afterLines="40" w:line="240" w:lineRule="auto"/>
              <w:jc w:val="left"/>
              <w:rPr>
                <w:rStyle w:val="SchwacherVerweis"/>
                <w:i/>
                <w:sz w:val="20"/>
                <w:szCs w:val="20"/>
              </w:rPr>
            </w:pPr>
            <w:r>
              <w:rPr>
                <w:rStyle w:val="SchwacherVerweis"/>
                <w:i/>
                <w:sz w:val="20"/>
                <w:szCs w:val="20"/>
              </w:rPr>
              <w:t>Beteiligung von MieterInnen</w:t>
            </w:r>
          </w:p>
          <w:p w:rsidR="001E30B4" w:rsidRDefault="00062F19" w:rsidP="00044AF0">
            <w:pPr>
              <w:spacing w:beforeLines="40" w:afterLines="40" w:line="240" w:lineRule="auto"/>
              <w:jc w:val="left"/>
              <w:rPr>
                <w:rStyle w:val="SchwacherVerweis"/>
                <w:i/>
                <w:sz w:val="18"/>
                <w:szCs w:val="20"/>
              </w:rPr>
            </w:pPr>
            <w:r w:rsidRPr="00062F19">
              <w:rPr>
                <w:i/>
                <w:sz w:val="20"/>
              </w:rPr>
              <w:t>Eine große Wiener Gemeinnützige Genossenschaft hat ihren Mietern das Präsentationsrecht eing</w:t>
            </w:r>
            <w:r w:rsidRPr="00062F19">
              <w:rPr>
                <w:i/>
                <w:sz w:val="20"/>
              </w:rPr>
              <w:t>e</w:t>
            </w:r>
            <w:r w:rsidRPr="00062F19">
              <w:rPr>
                <w:i/>
                <w:sz w:val="20"/>
              </w:rPr>
              <w:t>räumt, das heißt nicht, dass der Mieter die Wohnung selbst vergeben darf, sondern, dass er einen Nachmieter suchen darf, welchen die Genossenschaft akzeptieren kann, aber nicht muss.</w:t>
            </w:r>
          </w:p>
          <w:p w:rsidR="001E30B4" w:rsidRDefault="009F2FE3" w:rsidP="00044AF0">
            <w:pPr>
              <w:spacing w:beforeLines="40" w:afterLines="40" w:line="240" w:lineRule="auto"/>
              <w:jc w:val="left"/>
              <w:rPr>
                <w:rStyle w:val="SchwacherVerweis"/>
                <w:i/>
                <w:sz w:val="20"/>
                <w:szCs w:val="20"/>
              </w:rPr>
            </w:pPr>
            <w:r>
              <w:rPr>
                <w:rStyle w:val="SchwacherVerweis"/>
                <w:i/>
                <w:sz w:val="20"/>
                <w:szCs w:val="20"/>
              </w:rPr>
              <w:t>Gemeinnützige</w:t>
            </w:r>
            <w:r w:rsidRPr="003B054A">
              <w:rPr>
                <w:rStyle w:val="SchwacherVerweis"/>
                <w:i/>
                <w:sz w:val="20"/>
                <w:szCs w:val="20"/>
              </w:rPr>
              <w:t xml:space="preserve"> </w:t>
            </w:r>
            <w:r w:rsidR="00237ED0" w:rsidRPr="003B054A">
              <w:rPr>
                <w:rStyle w:val="SchwacherVerweis"/>
                <w:i/>
                <w:sz w:val="20"/>
                <w:szCs w:val="20"/>
              </w:rPr>
              <w:t>Wohnba</w:t>
            </w:r>
            <w:r>
              <w:rPr>
                <w:rStyle w:val="SchwacherVerweis"/>
                <w:i/>
                <w:sz w:val="20"/>
                <w:szCs w:val="20"/>
              </w:rPr>
              <w:t>uträger</w:t>
            </w:r>
            <w:r w:rsidR="00237ED0" w:rsidRPr="003B054A">
              <w:rPr>
                <w:rStyle w:val="SchwacherVerweis"/>
                <w:i/>
                <w:sz w:val="20"/>
                <w:szCs w:val="20"/>
              </w:rPr>
              <w:t>:</w:t>
            </w:r>
          </w:p>
          <w:p w:rsidR="001E30B4" w:rsidRDefault="00237ED0" w:rsidP="00044AF0">
            <w:pPr>
              <w:spacing w:beforeLines="40" w:afterLines="40" w:line="240" w:lineRule="auto"/>
              <w:jc w:val="left"/>
              <w:rPr>
                <w:i/>
                <w:sz w:val="20"/>
                <w:szCs w:val="20"/>
              </w:rPr>
            </w:pPr>
            <w:r w:rsidRPr="003B054A">
              <w:rPr>
                <w:i/>
                <w:sz w:val="20"/>
                <w:szCs w:val="20"/>
              </w:rPr>
              <w:t>Ausschlaggebend sind alleine die Förderrichtlinien, Einkommen im konkreten Fall auch die Sche</w:t>
            </w:r>
            <w:r w:rsidRPr="003B054A">
              <w:rPr>
                <w:i/>
                <w:sz w:val="20"/>
                <w:szCs w:val="20"/>
              </w:rPr>
              <w:t>i</w:t>
            </w:r>
            <w:r w:rsidRPr="003B054A">
              <w:rPr>
                <w:i/>
                <w:sz w:val="20"/>
                <w:szCs w:val="20"/>
              </w:rPr>
              <w:t>dungsurkunde, De</w:t>
            </w:r>
            <w:r w:rsidR="009F2FE3">
              <w:rPr>
                <w:i/>
                <w:sz w:val="20"/>
                <w:szCs w:val="20"/>
              </w:rPr>
              <w:t>utschkenntnisse sind irrelevant</w:t>
            </w:r>
          </w:p>
          <w:p w:rsidR="001E30B4" w:rsidRDefault="00237ED0" w:rsidP="00044AF0">
            <w:pPr>
              <w:spacing w:beforeLines="40" w:afterLines="40" w:line="240" w:lineRule="auto"/>
              <w:jc w:val="left"/>
              <w:rPr>
                <w:rStyle w:val="SchwacherVerweis"/>
                <w:i/>
                <w:sz w:val="20"/>
                <w:szCs w:val="20"/>
              </w:rPr>
            </w:pPr>
            <w:r w:rsidRPr="003B054A">
              <w:rPr>
                <w:rStyle w:val="SchwacherVerweis"/>
                <w:i/>
                <w:sz w:val="20"/>
                <w:szCs w:val="20"/>
              </w:rPr>
              <w:t>Beratu</w:t>
            </w:r>
            <w:r w:rsidR="009F2FE3">
              <w:rPr>
                <w:rStyle w:val="SchwacherVerweis"/>
                <w:i/>
                <w:sz w:val="20"/>
                <w:szCs w:val="20"/>
              </w:rPr>
              <w:t>ng / Betreuung von MigrantInnen</w:t>
            </w:r>
          </w:p>
          <w:p w:rsidR="001E30B4" w:rsidRDefault="00237ED0" w:rsidP="00044AF0">
            <w:pPr>
              <w:spacing w:beforeLines="40" w:afterLines="40" w:line="240" w:lineRule="auto"/>
              <w:jc w:val="left"/>
              <w:rPr>
                <w:i/>
                <w:sz w:val="20"/>
                <w:szCs w:val="20"/>
              </w:rPr>
            </w:pPr>
            <w:r w:rsidRPr="003B054A">
              <w:rPr>
                <w:i/>
                <w:sz w:val="20"/>
                <w:szCs w:val="20"/>
              </w:rPr>
              <w:t>Keine fixen Regeln, sondern Vergabe auf der Grundlage des persönlichen Beratungsgesprächs</w:t>
            </w:r>
          </w:p>
        </w:tc>
      </w:tr>
    </w:tbl>
    <w:p w:rsidR="00237ED0" w:rsidRPr="005617E0" w:rsidRDefault="00237ED0" w:rsidP="00237ED0"/>
    <w:p w:rsidR="0092650B" w:rsidRDefault="00D029CF" w:rsidP="00063282">
      <w:pPr>
        <w:pStyle w:val="IntensivesAnfhrungszeichen"/>
        <w:numPr>
          <w:ilvl w:val="0"/>
          <w:numId w:val="31"/>
        </w:numPr>
        <w:ind w:left="2268" w:hanging="972"/>
        <w:jc w:val="right"/>
      </w:pPr>
      <w:r>
        <w:lastRenderedPageBreak/>
        <w:t xml:space="preserve">Bedarf </w:t>
      </w:r>
      <w:r w:rsidR="00063282">
        <w:t xml:space="preserve">und Perspektiven bezüglich </w:t>
      </w:r>
      <w:r w:rsidR="00063282">
        <w:br/>
        <w:t>weitergehender</w:t>
      </w:r>
      <w:r>
        <w:t xml:space="preserve"> Vorsorgen </w:t>
      </w:r>
    </w:p>
    <w:p w:rsidR="00126E08" w:rsidRDefault="00063282">
      <w:pPr>
        <w:rPr>
          <w:lang w:val="de-AT"/>
        </w:rPr>
      </w:pPr>
      <w:r>
        <w:rPr>
          <w:lang w:val="de-AT"/>
        </w:rPr>
        <w:br/>
      </w:r>
      <w:r w:rsidR="00CC0E97">
        <w:rPr>
          <w:lang w:val="de-AT"/>
        </w:rPr>
        <w:t>Insbesondere RespondentInnen aus Beratungseinrichtungen deponierten in ihren Rückme</w:t>
      </w:r>
      <w:r w:rsidR="00CC0E97">
        <w:rPr>
          <w:lang w:val="de-AT"/>
        </w:rPr>
        <w:t>l</w:t>
      </w:r>
      <w:r w:rsidR="00CC0E97">
        <w:rPr>
          <w:lang w:val="de-AT"/>
        </w:rPr>
        <w:t>dungen (siehe dazu oben) einen generellen Vorbehalt, wonach objektive und gleichbehan</w:t>
      </w:r>
      <w:r w:rsidR="00CC0E97">
        <w:rPr>
          <w:lang w:val="de-AT"/>
        </w:rPr>
        <w:t>d</w:t>
      </w:r>
      <w:r w:rsidR="00CC0E97">
        <w:rPr>
          <w:lang w:val="de-AT"/>
        </w:rPr>
        <w:t>lungskonforme Vergaberegelungen und –kriterien nur unzureichend in der Lage seien, Gleic</w:t>
      </w:r>
      <w:r w:rsidR="00CC0E97">
        <w:rPr>
          <w:lang w:val="de-AT"/>
        </w:rPr>
        <w:t>h</w:t>
      </w:r>
      <w:r w:rsidR="00CC0E97">
        <w:rPr>
          <w:lang w:val="de-AT"/>
        </w:rPr>
        <w:t xml:space="preserve">behandlung zu gewährleisten und Benachteiligung auf dem Wohnungsmarkt nachhaltig zu bekämpfen. </w:t>
      </w:r>
      <w:r w:rsidR="00CC0E97">
        <w:rPr>
          <w:lang w:val="de-AT"/>
        </w:rPr>
        <w:br/>
      </w:r>
    </w:p>
    <w:p w:rsidR="005C377C" w:rsidRPr="005C377C" w:rsidRDefault="005C377C">
      <w:pPr>
        <w:rPr>
          <w:rStyle w:val="SchwacherVerweis"/>
        </w:rPr>
      </w:pPr>
      <w:r>
        <w:rPr>
          <w:rStyle w:val="SchwacherVerweis"/>
        </w:rPr>
        <w:t>Grafik 3</w:t>
      </w:r>
      <w:r w:rsidR="00D029CF">
        <w:rPr>
          <w:rStyle w:val="SchwacherVerweis"/>
        </w:rPr>
        <w:t>5</w:t>
      </w:r>
      <w:r>
        <w:rPr>
          <w:rStyle w:val="SchwacherVerweis"/>
        </w:rPr>
        <w:t>: Vorsorgen und Begleitmaßnahmen</w:t>
      </w:r>
    </w:p>
    <w:p w:rsidR="00C449C2" w:rsidRDefault="00C449C2">
      <w:pPr>
        <w:rPr>
          <w:lang w:val="de-AT"/>
        </w:rPr>
      </w:pPr>
      <w:r w:rsidRPr="00C449C2">
        <w:rPr>
          <w:noProof/>
          <w:lang w:val="de-AT" w:eastAsia="de-AT"/>
        </w:rPr>
        <w:drawing>
          <wp:inline distT="0" distB="0" distL="0" distR="0">
            <wp:extent cx="5353050" cy="4381501"/>
            <wp:effectExtent l="19050" t="0" r="19050" b="0"/>
            <wp:docPr id="42" name="Diagramm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974C90" w:rsidRDefault="00E40AD4">
      <w:pPr>
        <w:rPr>
          <w:lang w:val="de-AT"/>
        </w:rPr>
      </w:pPr>
      <w:r>
        <w:rPr>
          <w:lang w:val="de-AT"/>
        </w:rPr>
        <w:br/>
      </w:r>
      <w:r w:rsidR="00CC0E97">
        <w:rPr>
          <w:lang w:val="de-AT"/>
        </w:rPr>
        <w:t>Dementsprechend finden sich in der Frage nach den benötigten ergänzenden Maßnahmen und Vorsorgen hohe Zustimmungsquoten, insbesondere aus dem Sektor der Beratungseinrichtun</w:t>
      </w:r>
      <w:r w:rsidR="00FD2286">
        <w:rPr>
          <w:lang w:val="de-AT"/>
        </w:rPr>
        <w:softHyphen/>
      </w:r>
      <w:r w:rsidR="00CC0E97">
        <w:rPr>
          <w:lang w:val="de-AT"/>
        </w:rPr>
        <w:t xml:space="preserve">gen. Vor allem unterstreichen die RespondentInnen einen großen Bedarf nach </w:t>
      </w:r>
      <w:r w:rsidR="00C12BEA">
        <w:rPr>
          <w:lang w:val="de-AT"/>
        </w:rPr>
        <w:t>Öffentlichkeits</w:t>
      </w:r>
      <w:r w:rsidR="00FD2286">
        <w:rPr>
          <w:lang w:val="de-AT"/>
        </w:rPr>
        <w:softHyphen/>
      </w:r>
      <w:r w:rsidR="00C12BEA">
        <w:rPr>
          <w:lang w:val="de-AT"/>
        </w:rPr>
        <w:t>arbeit zur Verbesserung der Akzeptanz für die Wohnversorgung von Haushalten mit Migra</w:t>
      </w:r>
      <w:r w:rsidR="00FD2286">
        <w:rPr>
          <w:lang w:val="de-AT"/>
        </w:rPr>
        <w:softHyphen/>
      </w:r>
      <w:r w:rsidR="00C12BEA">
        <w:rPr>
          <w:lang w:val="de-AT"/>
        </w:rPr>
        <w:lastRenderedPageBreak/>
        <w:t>tionshintergrund, nach begleitenden Maßnahmen auf der Ebene der Hausgemeinschaften s</w:t>
      </w:r>
      <w:r w:rsidR="00C12BEA">
        <w:rPr>
          <w:lang w:val="de-AT"/>
        </w:rPr>
        <w:t>o</w:t>
      </w:r>
      <w:r w:rsidR="00C12BEA">
        <w:rPr>
          <w:lang w:val="de-AT"/>
        </w:rPr>
        <w:t>wie nach entsprechenden Schwerpunktsetzungen bei der Stadt- und Siedlungsplanung.</w:t>
      </w:r>
    </w:p>
    <w:p w:rsidR="00063282" w:rsidRDefault="00063282">
      <w:pPr>
        <w:rPr>
          <w:lang w:val="de-AT"/>
        </w:rPr>
      </w:pPr>
    </w:p>
    <w:p w:rsidR="00805442" w:rsidRPr="00805442" w:rsidRDefault="00805442" w:rsidP="00805442">
      <w:pPr>
        <w:rPr>
          <w:rStyle w:val="SchwacherVerweis"/>
        </w:rPr>
      </w:pPr>
      <w:r w:rsidRPr="00805442">
        <w:rPr>
          <w:rStyle w:val="SchwacherVerweis"/>
        </w:rPr>
        <w:t>Um Benachteiligungen abbauen zu können, bedarf es nach Meinung einzelner RespondentInnen weiterer Vorsorgen und Maßnahmen</w:t>
      </w:r>
    </w:p>
    <w:p w:rsidR="00805442" w:rsidRDefault="00805442" w:rsidP="00C449C2">
      <w:pPr>
        <w:pStyle w:val="Aufzhlungszeichen"/>
        <w:spacing w:after="60" w:line="240" w:lineRule="auto"/>
        <w:ind w:left="357" w:hanging="357"/>
        <w:contextualSpacing w:val="0"/>
      </w:pPr>
      <w:r>
        <w:t>Ich habe mich immer dafür eingesetzt, dass einziges Kriterium die Frage des legalen Au</w:t>
      </w:r>
      <w:r>
        <w:t>f</w:t>
      </w:r>
      <w:r>
        <w:t>enthaltes und die Frage der legalen Beschäftigung und damit die Entrichtung von Woh</w:t>
      </w:r>
      <w:r>
        <w:t>n</w:t>
      </w:r>
      <w:r>
        <w:t>bauförderungsbeiträgen sein darf.</w:t>
      </w:r>
    </w:p>
    <w:p w:rsidR="00805442" w:rsidRDefault="00805442" w:rsidP="00C449C2">
      <w:pPr>
        <w:pStyle w:val="Aufzhlungszeichen"/>
        <w:spacing w:after="60" w:line="240" w:lineRule="auto"/>
        <w:ind w:left="357" w:hanging="357"/>
        <w:contextualSpacing w:val="0"/>
      </w:pPr>
      <w:r>
        <w:t>Sozialer, leistbarer Wohnbau, Benachteiligung kann nicht immer über die ethnische Karte gespielt werden, denn soziale Probleme als ethnische/kulturelle zu verpacken, ist ein ra</w:t>
      </w:r>
      <w:r>
        <w:t>s</w:t>
      </w:r>
      <w:r>
        <w:t>sistisches Denkschema.</w:t>
      </w:r>
    </w:p>
    <w:p w:rsidR="00805442" w:rsidRDefault="00805442" w:rsidP="00C449C2">
      <w:pPr>
        <w:pStyle w:val="Aufzhlungszeichen"/>
        <w:spacing w:after="60" w:line="240" w:lineRule="auto"/>
        <w:ind w:left="357" w:hanging="357"/>
        <w:contextualSpacing w:val="0"/>
      </w:pPr>
      <w:r>
        <w:t>keine Unterscheidung der Widmung der Mittel nach Herkunft, Sprache etc. sondern sozi</w:t>
      </w:r>
      <w:r>
        <w:t>a</w:t>
      </w:r>
      <w:r>
        <w:t>lem Status (v.a</w:t>
      </w:r>
      <w:r w:rsidR="00BE27D5">
        <w:t>.</w:t>
      </w:r>
      <w:r>
        <w:t xml:space="preserve"> Familieneinkommen)!!</w:t>
      </w:r>
    </w:p>
    <w:p w:rsidR="00805442" w:rsidRDefault="00805442" w:rsidP="00C449C2">
      <w:pPr>
        <w:pStyle w:val="Aufzhlungszeichen"/>
        <w:spacing w:after="60" w:line="240" w:lineRule="auto"/>
        <w:ind w:left="357" w:hanging="357"/>
        <w:contextualSpacing w:val="0"/>
      </w:pPr>
      <w:r>
        <w:t>im geförderten Wohnbau sind Werber mit Migrationshintergrund ohnehin bevorzugt, meist auf Grund der Anzahl der Kinder und des Einkommens. Österreicher ohne Kinder mit höh</w:t>
      </w:r>
      <w:r>
        <w:t>e</w:t>
      </w:r>
      <w:r>
        <w:t>rem Einkommen haben weniger Chancen auf eine geförderte Wohnung, das sollte auch bedacht werden!!!</w:t>
      </w:r>
    </w:p>
    <w:p w:rsidR="00805442" w:rsidRDefault="00805442" w:rsidP="00C449C2">
      <w:pPr>
        <w:pStyle w:val="Aufzhlungszeichen"/>
        <w:spacing w:after="60" w:line="240" w:lineRule="auto"/>
        <w:ind w:left="357" w:hanging="357"/>
        <w:contextualSpacing w:val="0"/>
      </w:pPr>
      <w:r>
        <w:t>Ghettobildung muss vermieden werden (Subkultur).</w:t>
      </w:r>
    </w:p>
    <w:p w:rsidR="00805442" w:rsidRDefault="00805442" w:rsidP="00C449C2">
      <w:pPr>
        <w:pStyle w:val="Aufzhlungszeichen"/>
        <w:spacing w:after="60" w:line="240" w:lineRule="auto"/>
        <w:ind w:left="357" w:hanging="357"/>
        <w:contextualSpacing w:val="0"/>
      </w:pPr>
      <w:r>
        <w:t>Medienberichte dürfen nicht tendenziös sein, Journalisten sollten ihre Rechercheaufgaben ernster nehmen (müssen): Probleme entstehen oft nicht</w:t>
      </w:r>
      <w:r w:rsidR="00C449C2">
        <w:t>,</w:t>
      </w:r>
      <w:r>
        <w:t xml:space="preserve"> WEIL einer der Betreffenden Migrationshintergrund hat</w:t>
      </w:r>
      <w:r w:rsidR="00C449C2">
        <w:t>,</w:t>
      </w:r>
      <w:r>
        <w:t xml:space="preserve"> sondern unabhängig davon z</w:t>
      </w:r>
      <w:r w:rsidR="00BE27D5">
        <w:t>.</w:t>
      </w:r>
      <w:r>
        <w:t>B</w:t>
      </w:r>
      <w:r w:rsidR="00C449C2">
        <w:t>.</w:t>
      </w:r>
      <w:r>
        <w:t xml:space="preserve"> aus einem Generationenko</w:t>
      </w:r>
      <w:r>
        <w:t>n</w:t>
      </w:r>
      <w:r>
        <w:t>flikt</w:t>
      </w:r>
    </w:p>
    <w:p w:rsidR="00805442" w:rsidRDefault="00C449C2" w:rsidP="00C449C2">
      <w:pPr>
        <w:pStyle w:val="Aufzhlungszeichen"/>
        <w:spacing w:after="60" w:line="240" w:lineRule="auto"/>
        <w:ind w:left="357" w:hanging="357"/>
        <w:contextualSpacing w:val="0"/>
      </w:pPr>
      <w:r>
        <w:t>Kooperation aller</w:t>
      </w:r>
      <w:r w:rsidR="00805442">
        <w:t xml:space="preserve"> AkteurInnen </w:t>
      </w:r>
    </w:p>
    <w:p w:rsidR="00805442" w:rsidRDefault="00805442" w:rsidP="00C449C2">
      <w:pPr>
        <w:pStyle w:val="Aufzhlungszeichen"/>
        <w:spacing w:after="60" w:line="240" w:lineRule="auto"/>
        <w:ind w:left="357" w:hanging="357"/>
        <w:contextualSpacing w:val="0"/>
      </w:pPr>
      <w:r>
        <w:t xml:space="preserve">Schulung von MitarbeiterInnen, vor allem derer mit Kundenkontakt, um die Akzeptanz und positive Erledigung zu fördern. </w:t>
      </w:r>
    </w:p>
    <w:p w:rsidR="00805442" w:rsidRDefault="00805442" w:rsidP="00C449C2">
      <w:pPr>
        <w:pStyle w:val="Aufzhlungszeichen"/>
        <w:spacing w:after="60" w:line="240" w:lineRule="auto"/>
        <w:ind w:left="357" w:hanging="357"/>
        <w:contextualSpacing w:val="0"/>
      </w:pPr>
      <w:r>
        <w:t xml:space="preserve">Kontakte mit MigrantInnenorganisationen und </w:t>
      </w:r>
      <w:r w:rsidR="00483645">
        <w:t>Stakeholdern</w:t>
      </w:r>
      <w:r w:rsidR="00C449C2">
        <w:t>, um die Informationslage der MigrantInnen</w:t>
      </w:r>
      <w:r>
        <w:t xml:space="preserve"> zu verbessern, aufsuchend. </w:t>
      </w:r>
    </w:p>
    <w:p w:rsidR="00805442" w:rsidRDefault="00805442" w:rsidP="00C449C2">
      <w:pPr>
        <w:pStyle w:val="Aufzhlungszeichen"/>
        <w:spacing w:after="60" w:line="240" w:lineRule="auto"/>
        <w:ind w:left="357" w:hanging="357"/>
        <w:contextualSpacing w:val="0"/>
      </w:pPr>
      <w:r>
        <w:t xml:space="preserve">in die betreffenden Quartiere gehen. </w:t>
      </w:r>
    </w:p>
    <w:p w:rsidR="00805442" w:rsidRDefault="00805442" w:rsidP="00C449C2">
      <w:pPr>
        <w:pStyle w:val="Aufzhlungszeichen"/>
        <w:spacing w:after="60" w:line="240" w:lineRule="auto"/>
        <w:ind w:left="357" w:hanging="357"/>
        <w:contextualSpacing w:val="0"/>
      </w:pPr>
      <w:r>
        <w:t>Einbinden in Gestaltung. Akzeptanz auch auf dieser Seite!</w:t>
      </w:r>
      <w:r w:rsidR="00C449C2">
        <w:br/>
      </w:r>
    </w:p>
    <w:p w:rsidR="007D7FBF" w:rsidRDefault="00BE27D5" w:rsidP="007D7FBF">
      <w:pPr>
        <w:rPr>
          <w:lang w:val="de-AT"/>
        </w:rPr>
      </w:pPr>
      <w:r>
        <w:rPr>
          <w:lang w:val="de-AT"/>
        </w:rPr>
        <w:t>Unter anderem weisen einzelne RespondentInnen daraufhin, dass bei der Analyse von Konfli</w:t>
      </w:r>
      <w:r>
        <w:rPr>
          <w:lang w:val="de-AT"/>
        </w:rPr>
        <w:t>k</w:t>
      </w:r>
      <w:r>
        <w:rPr>
          <w:lang w:val="de-AT"/>
        </w:rPr>
        <w:t>ten und Beschwerden sorgfältig vorgegangen werden muss, um nicht in vorschnelle und ve</w:t>
      </w:r>
      <w:r>
        <w:rPr>
          <w:lang w:val="de-AT"/>
        </w:rPr>
        <w:t>r</w:t>
      </w:r>
      <w:r>
        <w:rPr>
          <w:lang w:val="de-AT"/>
        </w:rPr>
        <w:t>einfachende Erklärungsmuster zu verfallen. Diese Grundhaltung müsste auch bei Maßnahmen der Öffentlichkeitsarbeit beachtet werden, um so eine Unterscheidung zwischen sozialen Urs</w:t>
      </w:r>
      <w:r>
        <w:rPr>
          <w:lang w:val="de-AT"/>
        </w:rPr>
        <w:t>a</w:t>
      </w:r>
      <w:r>
        <w:rPr>
          <w:lang w:val="de-AT"/>
        </w:rPr>
        <w:t>chen einerseits sowie ethnischen Hintergründen von Problem- und Bedarfslagen gewährleisten zu können.</w:t>
      </w:r>
      <w:r>
        <w:rPr>
          <w:lang w:val="de-AT"/>
        </w:rPr>
        <w:br/>
      </w:r>
    </w:p>
    <w:p w:rsidR="00063282" w:rsidRDefault="00BE27D5" w:rsidP="00063282">
      <w:pPr>
        <w:tabs>
          <w:tab w:val="right" w:pos="9072"/>
        </w:tabs>
        <w:rPr>
          <w:i/>
          <w:sz w:val="20"/>
        </w:rPr>
      </w:pPr>
      <w:r>
        <w:rPr>
          <w:i/>
          <w:sz w:val="20"/>
        </w:rPr>
        <w:t>„</w:t>
      </w:r>
      <w:r w:rsidRPr="00BE27D5">
        <w:rPr>
          <w:i/>
          <w:sz w:val="20"/>
        </w:rPr>
        <w:t xml:space="preserve">Hinsichtlich der Spannungen in Bezug auf ethnische Herkunft hört man schon, dass es einfacher ist, diese Spannungen in Neubauten </w:t>
      </w:r>
      <w:r>
        <w:rPr>
          <w:i/>
          <w:sz w:val="20"/>
        </w:rPr>
        <w:t xml:space="preserve">zu vermeiden </w:t>
      </w:r>
      <w:r w:rsidRPr="00BE27D5">
        <w:rPr>
          <w:i/>
          <w:sz w:val="20"/>
        </w:rPr>
        <w:t xml:space="preserve">als in bestehenden Objekten. </w:t>
      </w:r>
      <w:r>
        <w:rPr>
          <w:i/>
          <w:sz w:val="20"/>
        </w:rPr>
        <w:t>Bei Wiedervergaben in bestehenden Siedlungen</w:t>
      </w:r>
      <w:r w:rsidRPr="00BE27D5">
        <w:rPr>
          <w:i/>
          <w:sz w:val="20"/>
        </w:rPr>
        <w:t xml:space="preserve"> kommt das Generation</w:t>
      </w:r>
      <w:r w:rsidR="002F2B8A">
        <w:rPr>
          <w:i/>
          <w:sz w:val="20"/>
        </w:rPr>
        <w:t>en</w:t>
      </w:r>
      <w:r w:rsidRPr="00BE27D5">
        <w:rPr>
          <w:i/>
          <w:sz w:val="20"/>
        </w:rPr>
        <w:t>problem dazu, PensionistInnen leben dort vermehrt, diese beschweren sich beispielsweise über laute Kinder. In Neubauten sind die Bewohner in der Regel altershomogener. Nun ist das generell nicht unbedingt ein Gleichbehandlungsproblem.</w:t>
      </w:r>
      <w:r>
        <w:rPr>
          <w:i/>
          <w:sz w:val="20"/>
        </w:rPr>
        <w:t>“</w:t>
      </w:r>
      <w:r w:rsidR="00063282">
        <w:rPr>
          <w:i/>
          <w:sz w:val="20"/>
        </w:rPr>
        <w:t xml:space="preserve"> </w:t>
      </w:r>
      <w:r>
        <w:rPr>
          <w:i/>
          <w:sz w:val="20"/>
        </w:rPr>
        <w:t>Expertin</w:t>
      </w:r>
    </w:p>
    <w:p w:rsidR="00BE27D5" w:rsidRPr="00063282" w:rsidRDefault="00BE27D5" w:rsidP="00063282"/>
    <w:p w:rsidR="00C12BEA" w:rsidRPr="00C12BEA" w:rsidRDefault="00063282" w:rsidP="00063282">
      <w:pPr>
        <w:pStyle w:val="berschrift3"/>
      </w:pPr>
      <w:r>
        <w:t>5</w:t>
      </w:r>
      <w:r w:rsidR="00C12BEA">
        <w:t>.1</w:t>
      </w:r>
      <w:r w:rsidR="00C12BEA">
        <w:tab/>
        <w:t>Maßnahmenvorschläge sind je nach Einrichtungsart unterschiedlich gewic</w:t>
      </w:r>
      <w:r w:rsidR="00C12BEA">
        <w:t>h</w:t>
      </w:r>
      <w:r w:rsidR="00C12BEA">
        <w:t>tet</w:t>
      </w:r>
      <w:r w:rsidR="00BE27D5">
        <w:br/>
      </w:r>
    </w:p>
    <w:p w:rsidR="00C12BEA" w:rsidRDefault="00C12BEA" w:rsidP="00C12BEA">
      <w:pPr>
        <w:rPr>
          <w:lang w:val="de-AT"/>
        </w:rPr>
      </w:pPr>
      <w:r>
        <w:rPr>
          <w:lang w:val="de-AT"/>
        </w:rPr>
        <w:t>Die hier vorgeschlagenen Maßnahmenpakete zur Bekämpfung / Vermeidung von Diskrimini</w:t>
      </w:r>
      <w:r>
        <w:rPr>
          <w:lang w:val="de-AT"/>
        </w:rPr>
        <w:t>e</w:t>
      </w:r>
      <w:r>
        <w:rPr>
          <w:lang w:val="de-AT"/>
        </w:rPr>
        <w:t>rung auf dem Wohnungsmarkt werden je nach Einrichtungsart ausgesprochen unterschiedlich eingeschätzt. Dies kann in der nachstehenden Grafik eindrücklich abgelesen werden.</w:t>
      </w:r>
      <w:r>
        <w:rPr>
          <w:lang w:val="de-AT"/>
        </w:rPr>
        <w:br/>
      </w:r>
    </w:p>
    <w:p w:rsidR="00C12BEA" w:rsidRPr="005C377C" w:rsidRDefault="00C12BEA" w:rsidP="00C12BEA">
      <w:pPr>
        <w:rPr>
          <w:rStyle w:val="SchwacherVerweis"/>
        </w:rPr>
      </w:pPr>
      <w:r>
        <w:rPr>
          <w:rStyle w:val="SchwacherVerweis"/>
        </w:rPr>
        <w:t>Grafik 36: Begleitmaßnahmen nach Einrichtungsart</w:t>
      </w:r>
    </w:p>
    <w:p w:rsidR="00C12BEA" w:rsidRDefault="00C12BEA" w:rsidP="00C12BEA">
      <w:pPr>
        <w:rPr>
          <w:lang w:val="de-AT"/>
        </w:rPr>
      </w:pPr>
      <w:r w:rsidRPr="00974C90">
        <w:rPr>
          <w:noProof/>
          <w:lang w:val="de-AT" w:eastAsia="de-AT"/>
        </w:rPr>
        <w:drawing>
          <wp:inline distT="0" distB="0" distL="0" distR="0">
            <wp:extent cx="5381625" cy="4000501"/>
            <wp:effectExtent l="19050" t="0" r="9525" b="0"/>
            <wp:docPr id="43" name="Diagramm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C12BEA" w:rsidRDefault="00C12BEA" w:rsidP="00C12BEA">
      <w:pPr>
        <w:rPr>
          <w:lang w:val="de-AT"/>
        </w:rPr>
      </w:pPr>
      <w:r>
        <w:rPr>
          <w:lang w:val="de-AT"/>
        </w:rPr>
        <w:br/>
      </w:r>
      <w:r w:rsidR="00CC7CF6">
        <w:rPr>
          <w:lang w:val="de-AT"/>
        </w:rPr>
        <w:t xml:space="preserve">Hohe Zustimmungsquoten sind </w:t>
      </w:r>
      <w:r w:rsidR="00C63F08">
        <w:rPr>
          <w:lang w:val="de-AT"/>
        </w:rPr>
        <w:t>insbesondere</w:t>
      </w:r>
      <w:r w:rsidR="00CC7CF6">
        <w:rPr>
          <w:lang w:val="de-AT"/>
        </w:rPr>
        <w:t xml:space="preserve"> bei RespondentInnen aus Beratungseinrichtu</w:t>
      </w:r>
      <w:r w:rsidR="00CC7CF6">
        <w:rPr>
          <w:lang w:val="de-AT"/>
        </w:rPr>
        <w:t>n</w:t>
      </w:r>
      <w:r w:rsidR="00CC7CF6">
        <w:rPr>
          <w:lang w:val="de-AT"/>
        </w:rPr>
        <w:t>gen zu finden, welche sich in großer Mehrheit für eine gezielte Verbesserung der Akzeptanz von Wohnversorgungsangeboten für Menschen mit Migrationshintergrund aussprechen (93%). Detto finden begleitende Angebote auf der Ebene der Hausgemeinschaften sowie Schwe</w:t>
      </w:r>
      <w:r w:rsidR="00CC7CF6">
        <w:rPr>
          <w:lang w:val="de-AT"/>
        </w:rPr>
        <w:t>r</w:t>
      </w:r>
      <w:r w:rsidR="00CC7CF6">
        <w:rPr>
          <w:lang w:val="de-AT"/>
        </w:rPr>
        <w:t>punktsetzungen bei der Stadt- und Siedlungsplanung bei den Beratungseinrichtungen große Zustimmung.</w:t>
      </w:r>
    </w:p>
    <w:p w:rsidR="00030AFC" w:rsidRDefault="00030AFC">
      <w:pPr>
        <w:spacing w:before="180" w:after="240" w:line="336" w:lineRule="auto"/>
        <w:jc w:val="center"/>
        <w:rPr>
          <w:lang w:val="de-AT"/>
        </w:rPr>
      </w:pPr>
      <w:r>
        <w:rPr>
          <w:lang w:val="de-AT"/>
        </w:rPr>
        <w:br w:type="page"/>
      </w:r>
    </w:p>
    <w:p w:rsidR="00CC7CF6" w:rsidRDefault="00CC7CF6" w:rsidP="00C12BEA">
      <w:pPr>
        <w:rPr>
          <w:lang w:val="de-AT"/>
        </w:rPr>
      </w:pPr>
      <w:r>
        <w:rPr>
          <w:lang w:val="de-AT"/>
        </w:rPr>
        <w:lastRenderedPageBreak/>
        <w:t>Demgegenüber fallen die Zustimmungsquoten bei privaten und gemeinnützigen Wohnbautr</w:t>
      </w:r>
      <w:r>
        <w:rPr>
          <w:lang w:val="de-AT"/>
        </w:rPr>
        <w:t>ä</w:t>
      </w:r>
      <w:r>
        <w:rPr>
          <w:lang w:val="de-AT"/>
        </w:rPr>
        <w:t>gern zu den einzelnen vorgeschlagenen Maßnahmenpaketen deutlich ab. Bemerkenswert e</w:t>
      </w:r>
      <w:r>
        <w:rPr>
          <w:lang w:val="de-AT"/>
        </w:rPr>
        <w:t>r</w:t>
      </w:r>
      <w:r>
        <w:rPr>
          <w:lang w:val="de-AT"/>
        </w:rPr>
        <w:t>scheint hier vor allem, dass immerhin noch 66% der gemeinnützigen Bauträger begleitende Maßnahmen auf der Ebene der Hausgemeinschaften befürworten.</w:t>
      </w:r>
    </w:p>
    <w:p w:rsidR="00CC7CF6" w:rsidRDefault="00CC7CF6" w:rsidP="00C12BEA">
      <w:pPr>
        <w:rPr>
          <w:lang w:val="de-AT"/>
        </w:rPr>
      </w:pPr>
      <w:r>
        <w:rPr>
          <w:lang w:val="de-AT"/>
        </w:rPr>
        <w:t>Am Ehesten können sich die kommunalen Wohnungsämter begleitende Maßnahmen auf der Ebene der Hausgemeinschaften (immerhin noch 74%) vorstellen. Maßnahmen der Öffentlic</w:t>
      </w:r>
      <w:r>
        <w:rPr>
          <w:lang w:val="de-AT"/>
        </w:rPr>
        <w:t>h</w:t>
      </w:r>
      <w:r>
        <w:rPr>
          <w:lang w:val="de-AT"/>
        </w:rPr>
        <w:t>keitsarbeit (67%) sowie Schwerpunktsetzungen bei der Stadt- und Siedlungsplanun</w:t>
      </w:r>
      <w:r w:rsidR="0056123E">
        <w:rPr>
          <w:lang w:val="de-AT"/>
        </w:rPr>
        <w:softHyphen/>
      </w:r>
      <w:r>
        <w:rPr>
          <w:lang w:val="de-AT"/>
        </w:rPr>
        <w:t xml:space="preserve">gen (56%) finden ebenfalls eine Mehrheit unter den RespondentInnen von Wohnungsämtern. </w:t>
      </w:r>
      <w:r w:rsidR="00AA2496">
        <w:rPr>
          <w:lang w:val="de-AT"/>
        </w:rPr>
        <w:t>Festgelegte Zielvorgaben bei der Erstellung der Wohnbauförderungsbudgets (44%) sowie eine bevorzugte Förderung von MigrantInnen mit leistbaren Wohnungen (38%) werden jeweils von einer Mi</w:t>
      </w:r>
      <w:r w:rsidR="00AA2496">
        <w:rPr>
          <w:lang w:val="de-AT"/>
        </w:rPr>
        <w:t>n</w:t>
      </w:r>
      <w:r w:rsidR="00AA2496">
        <w:rPr>
          <w:lang w:val="de-AT"/>
        </w:rPr>
        <w:t>derheit der Wohnungsämter unterstützt.</w:t>
      </w:r>
      <w:r w:rsidR="00AA2496">
        <w:rPr>
          <w:lang w:val="de-AT"/>
        </w:rPr>
        <w:br/>
      </w:r>
    </w:p>
    <w:p w:rsidR="00C12BEA" w:rsidRDefault="005D517E" w:rsidP="005D517E">
      <w:pPr>
        <w:pStyle w:val="berschrift3"/>
      </w:pPr>
      <w:r>
        <w:t>5</w:t>
      </w:r>
      <w:r w:rsidR="00C12BEA" w:rsidRPr="00C12BEA">
        <w:t>.2</w:t>
      </w:r>
      <w:r w:rsidR="00C12BEA" w:rsidRPr="00C12BEA">
        <w:tab/>
      </w:r>
      <w:r w:rsidR="00C12BEA">
        <w:t>Regionale Schwerpunkte und Modelle für ergänzende Maßnahmen</w:t>
      </w:r>
      <w:r w:rsidR="00EB1E3D">
        <w:br/>
      </w:r>
    </w:p>
    <w:p w:rsidR="00C12BEA" w:rsidRDefault="00EB1E3D" w:rsidP="007D7FBF">
      <w:pPr>
        <w:rPr>
          <w:lang w:val="de-AT"/>
        </w:rPr>
      </w:pPr>
      <w:r w:rsidRPr="00EB1E3D">
        <w:rPr>
          <w:lang w:val="de-AT"/>
        </w:rPr>
        <w:t xml:space="preserve">In Interviews und </w:t>
      </w:r>
      <w:r>
        <w:rPr>
          <w:lang w:val="de-AT"/>
        </w:rPr>
        <w:t>Gesprächsrunden votieren die ExpertInnen aus der Wohnungsvergabe r</w:t>
      </w:r>
      <w:r>
        <w:rPr>
          <w:lang w:val="de-AT"/>
        </w:rPr>
        <w:t>e</w:t>
      </w:r>
      <w:r>
        <w:rPr>
          <w:lang w:val="de-AT"/>
        </w:rPr>
        <w:t>spektive der Beratung und Betreuung von MieterInnen (mit Migrationshintergrund) für Ma</w:t>
      </w:r>
      <w:r>
        <w:rPr>
          <w:lang w:val="de-AT"/>
        </w:rPr>
        <w:t>ß</w:t>
      </w:r>
      <w:r>
        <w:rPr>
          <w:lang w:val="de-AT"/>
        </w:rPr>
        <w:t>nahmen zur Verbesserung des Informationsstandes sowie der Mitwirkungsmöglichkeiten von WohnungswerberInnen. Diese Maßnahmen stehen demnach auch nicht im unmittelbaren Ko</w:t>
      </w:r>
      <w:r>
        <w:rPr>
          <w:lang w:val="de-AT"/>
        </w:rPr>
        <w:t>n</w:t>
      </w:r>
      <w:r>
        <w:rPr>
          <w:lang w:val="de-AT"/>
        </w:rPr>
        <w:t>text der Gleichbehandlungsauflagen und –normen, sondern können als modellhafte Beispiele</w:t>
      </w:r>
      <w:r w:rsidR="005D517E">
        <w:rPr>
          <w:lang w:val="de-AT"/>
        </w:rPr>
        <w:t xml:space="preserve"> für</w:t>
      </w:r>
      <w:r>
        <w:rPr>
          <w:lang w:val="de-AT"/>
        </w:rPr>
        <w:t xml:space="preserve"> ergänzende Vorsorgen zur Förderung der Integration von NachmieterInnen in bestehende Wohnanlagen verstanden werden.</w:t>
      </w:r>
      <w:r>
        <w:rPr>
          <w:lang w:val="de-AT"/>
        </w:rPr>
        <w:br/>
      </w:r>
    </w:p>
    <w:p w:rsidR="007D7FBF" w:rsidRPr="007D7FBF" w:rsidRDefault="007D7FBF" w:rsidP="007D7FBF">
      <w:pPr>
        <w:rPr>
          <w:u w:val="single"/>
          <w:lang w:val="de-AT"/>
        </w:rPr>
      </w:pPr>
      <w:r w:rsidRPr="007D7FBF">
        <w:rPr>
          <w:u w:val="single"/>
          <w:lang w:val="de-AT"/>
        </w:rPr>
        <w:t>Fallbeispiel Bregenz</w:t>
      </w:r>
    </w:p>
    <w:tbl>
      <w:tblPr>
        <w:tblStyle w:val="Tabellengitternetz"/>
        <w:tblW w:w="0" w:type="auto"/>
        <w:tblLook w:val="04A0"/>
      </w:tblPr>
      <w:tblGrid>
        <w:gridCol w:w="9288"/>
      </w:tblGrid>
      <w:tr w:rsidR="00DF5BD8" w:rsidRPr="00DA5171" w:rsidTr="00C12F9D">
        <w:tc>
          <w:tcPr>
            <w:tcW w:w="9288" w:type="dxa"/>
          </w:tcPr>
          <w:p w:rsidR="00587957" w:rsidRDefault="00DF5BD8" w:rsidP="00044AF0">
            <w:pPr>
              <w:spacing w:beforeLines="40" w:afterLines="40" w:line="240" w:lineRule="auto"/>
              <w:jc w:val="left"/>
              <w:rPr>
                <w:i/>
                <w:sz w:val="20"/>
                <w:szCs w:val="24"/>
              </w:rPr>
            </w:pPr>
            <w:r w:rsidRPr="00DF5BD8">
              <w:rPr>
                <w:i/>
                <w:sz w:val="20"/>
              </w:rPr>
              <w:t>Den WohnungswerberInnen wird eine weitgehende Mitwirkung bei der Auswahl der Wohnung (Tran</w:t>
            </w:r>
            <w:r w:rsidRPr="00DF5BD8">
              <w:rPr>
                <w:i/>
                <w:sz w:val="20"/>
              </w:rPr>
              <w:t>s</w:t>
            </w:r>
            <w:r w:rsidRPr="00DF5BD8">
              <w:rPr>
                <w:i/>
                <w:sz w:val="20"/>
              </w:rPr>
              <w:t>parenz über Internet, eigenständige Besichtigung und Auswahl einer Wunschwohnung etc.) ermö</w:t>
            </w:r>
            <w:r w:rsidRPr="00DF5BD8">
              <w:rPr>
                <w:i/>
                <w:sz w:val="20"/>
              </w:rPr>
              <w:t>g</w:t>
            </w:r>
            <w:r w:rsidRPr="00DF5BD8">
              <w:rPr>
                <w:i/>
                <w:sz w:val="20"/>
              </w:rPr>
              <w:t>licht, in der Entscheidung selbst werden diese Wünsche nach Möglichkeit berücksichtigt, spielen j</w:t>
            </w:r>
            <w:r w:rsidRPr="00DF5BD8">
              <w:rPr>
                <w:i/>
                <w:sz w:val="20"/>
              </w:rPr>
              <w:t>e</w:t>
            </w:r>
            <w:r w:rsidRPr="00DF5BD8">
              <w:rPr>
                <w:i/>
                <w:sz w:val="20"/>
              </w:rPr>
              <w:t>doch keine unmittelbare oder bindende Rolle. Aber: Es gibt kein Recht auf eine bestimmte Wohnung.</w:t>
            </w:r>
          </w:p>
          <w:p w:rsidR="00587957" w:rsidRDefault="00DF5BD8" w:rsidP="00044AF0">
            <w:pPr>
              <w:spacing w:beforeLines="40" w:afterLines="40" w:line="240" w:lineRule="auto"/>
              <w:jc w:val="right"/>
              <w:rPr>
                <w:i/>
                <w:sz w:val="20"/>
                <w:szCs w:val="24"/>
              </w:rPr>
            </w:pPr>
            <w:r>
              <w:rPr>
                <w:i/>
                <w:sz w:val="20"/>
              </w:rPr>
              <w:t>Interview Sozial-/Wohnungsverwaltung</w:t>
            </w:r>
          </w:p>
        </w:tc>
      </w:tr>
    </w:tbl>
    <w:p w:rsidR="00E40AD4" w:rsidRDefault="00E40AD4" w:rsidP="00E40AD4">
      <w:pPr>
        <w:rPr>
          <w:u w:val="single"/>
          <w:lang w:val="de-AT"/>
        </w:rPr>
      </w:pPr>
    </w:p>
    <w:p w:rsidR="007D7FBF" w:rsidRPr="007D7FBF" w:rsidRDefault="007D7FBF" w:rsidP="00E40AD4">
      <w:pPr>
        <w:rPr>
          <w:u w:val="single"/>
          <w:lang w:val="de-AT"/>
        </w:rPr>
      </w:pPr>
      <w:r w:rsidRPr="007D7FBF">
        <w:rPr>
          <w:u w:val="single"/>
          <w:lang w:val="de-AT"/>
        </w:rPr>
        <w:t>Fallbeispiel Linz</w:t>
      </w:r>
    </w:p>
    <w:tbl>
      <w:tblPr>
        <w:tblStyle w:val="Tabellengitternetz"/>
        <w:tblW w:w="0" w:type="auto"/>
        <w:tblLook w:val="04A0"/>
      </w:tblPr>
      <w:tblGrid>
        <w:gridCol w:w="9288"/>
      </w:tblGrid>
      <w:tr w:rsidR="00C12F9D" w:rsidRPr="00B545B2" w:rsidTr="00C12F9D">
        <w:tc>
          <w:tcPr>
            <w:tcW w:w="9288" w:type="dxa"/>
          </w:tcPr>
          <w:p w:rsidR="00587957" w:rsidRDefault="00C12F9D" w:rsidP="00044AF0">
            <w:pPr>
              <w:spacing w:beforeLines="40" w:afterLines="40" w:line="240" w:lineRule="auto"/>
              <w:jc w:val="left"/>
              <w:rPr>
                <w:rFonts w:cs="Tahoma"/>
                <w:i/>
                <w:sz w:val="20"/>
                <w:szCs w:val="18"/>
              </w:rPr>
            </w:pPr>
            <w:r w:rsidRPr="00C12F9D">
              <w:rPr>
                <w:rFonts w:cs="Tahoma"/>
                <w:i/>
                <w:sz w:val="20"/>
                <w:szCs w:val="18"/>
              </w:rPr>
              <w:t>Fragen rund ums Wohnen tauchen gegenüber der Integrationsstelle im Zuge der Unterstützung von Gemeinden in Integrationsfragen auf.</w:t>
            </w:r>
          </w:p>
          <w:p w:rsidR="00587957" w:rsidRDefault="00C12F9D" w:rsidP="00044AF0">
            <w:pPr>
              <w:pStyle w:val="Listenabsatz"/>
              <w:numPr>
                <w:ilvl w:val="0"/>
                <w:numId w:val="13"/>
              </w:numPr>
              <w:spacing w:beforeLines="40" w:afterLines="40" w:line="240" w:lineRule="auto"/>
              <w:jc w:val="left"/>
              <w:rPr>
                <w:rFonts w:cs="Tahoma"/>
                <w:i/>
                <w:sz w:val="20"/>
                <w:szCs w:val="18"/>
                <w:lang w:val="de-AT"/>
              </w:rPr>
            </w:pPr>
            <w:r w:rsidRPr="00C12F9D">
              <w:rPr>
                <w:rFonts w:cs="Tahoma"/>
                <w:i/>
                <w:sz w:val="20"/>
                <w:szCs w:val="18"/>
                <w:lang w:val="de-AT"/>
              </w:rPr>
              <w:t>Beratungsangebote für Gemeinden</w:t>
            </w:r>
          </w:p>
          <w:p w:rsidR="001E30B4" w:rsidRDefault="00C12F9D" w:rsidP="00044AF0">
            <w:pPr>
              <w:pStyle w:val="Listenabsatz"/>
              <w:numPr>
                <w:ilvl w:val="0"/>
                <w:numId w:val="13"/>
              </w:numPr>
              <w:spacing w:beforeLines="40" w:afterLines="40" w:line="240" w:lineRule="auto"/>
              <w:jc w:val="left"/>
              <w:rPr>
                <w:rFonts w:cs="Tahoma"/>
                <w:i/>
                <w:sz w:val="20"/>
                <w:szCs w:val="18"/>
                <w:lang w:val="de-AT"/>
              </w:rPr>
            </w:pPr>
            <w:r w:rsidRPr="00C12F9D">
              <w:rPr>
                <w:rFonts w:cs="Tahoma"/>
                <w:i/>
                <w:sz w:val="20"/>
                <w:szCs w:val="18"/>
                <w:lang w:val="de-AT"/>
              </w:rPr>
              <w:t>Zusammenspiel von Maßnahmen im Bereich Stadtentwicklung, Wohnumfeld, soziales Klima in Siedlungen/Wohnbauten, konsumationsfreie Angebote, Förderung von Begegnung, Bildung</w:t>
            </w:r>
            <w:r w:rsidRPr="00C12F9D">
              <w:rPr>
                <w:rFonts w:cs="Tahoma"/>
                <w:i/>
                <w:sz w:val="20"/>
                <w:szCs w:val="18"/>
                <w:lang w:val="de-AT"/>
              </w:rPr>
              <w:t>s</w:t>
            </w:r>
            <w:r w:rsidRPr="00C12F9D">
              <w:rPr>
                <w:rFonts w:cs="Tahoma"/>
                <w:i/>
                <w:sz w:val="20"/>
                <w:szCs w:val="18"/>
                <w:lang w:val="de-AT"/>
              </w:rPr>
              <w:t>angebote</w:t>
            </w:r>
            <w:r w:rsidR="00030AFC">
              <w:rPr>
                <w:rFonts w:cs="Tahoma"/>
                <w:i/>
                <w:sz w:val="20"/>
                <w:szCs w:val="18"/>
                <w:lang w:val="de-AT"/>
              </w:rPr>
              <w:t>n</w:t>
            </w:r>
          </w:p>
          <w:p w:rsidR="001E30B4" w:rsidRDefault="00C12F9D" w:rsidP="00044AF0">
            <w:pPr>
              <w:pStyle w:val="Listenabsatz"/>
              <w:numPr>
                <w:ilvl w:val="0"/>
                <w:numId w:val="13"/>
              </w:numPr>
              <w:spacing w:beforeLines="40" w:afterLines="40" w:line="240" w:lineRule="auto"/>
              <w:jc w:val="left"/>
              <w:rPr>
                <w:rFonts w:cs="Tahoma"/>
                <w:i/>
                <w:sz w:val="20"/>
                <w:szCs w:val="18"/>
                <w:lang w:val="de-AT"/>
              </w:rPr>
            </w:pPr>
            <w:r w:rsidRPr="00C12F9D">
              <w:rPr>
                <w:rFonts w:cs="Tahoma"/>
                <w:i/>
                <w:sz w:val="20"/>
                <w:szCs w:val="18"/>
                <w:lang w:val="de-AT"/>
              </w:rPr>
              <w:lastRenderedPageBreak/>
              <w:t>Unterstützung bei Situationsabklärung – manche Konflikte sind eher interkultureller Natur</w:t>
            </w:r>
          </w:p>
          <w:p w:rsidR="001E30B4" w:rsidRDefault="00C12F9D" w:rsidP="00044AF0">
            <w:pPr>
              <w:spacing w:beforeLines="40" w:afterLines="40" w:line="240" w:lineRule="auto"/>
              <w:ind w:left="360"/>
              <w:jc w:val="right"/>
              <w:rPr>
                <w:rFonts w:cs="Tahoma"/>
                <w:i/>
                <w:sz w:val="20"/>
                <w:szCs w:val="18"/>
                <w:lang w:val="de-AT"/>
              </w:rPr>
            </w:pPr>
            <w:r>
              <w:rPr>
                <w:rFonts w:cs="Tahoma"/>
                <w:i/>
                <w:sz w:val="20"/>
                <w:szCs w:val="18"/>
                <w:lang w:val="de-AT"/>
              </w:rPr>
              <w:t>Interview Integrationsstelle</w:t>
            </w:r>
          </w:p>
        </w:tc>
      </w:tr>
    </w:tbl>
    <w:p w:rsidR="007D7FBF" w:rsidRPr="00C12F9D" w:rsidRDefault="007D7FBF" w:rsidP="007D7FBF"/>
    <w:p w:rsidR="007D7FBF" w:rsidRPr="007D7FBF" w:rsidRDefault="007D7FBF" w:rsidP="007D7FBF">
      <w:pPr>
        <w:rPr>
          <w:u w:val="single"/>
          <w:lang w:val="de-AT"/>
        </w:rPr>
      </w:pPr>
      <w:r w:rsidRPr="007D7FBF">
        <w:rPr>
          <w:u w:val="single"/>
          <w:lang w:val="de-AT"/>
        </w:rPr>
        <w:t>Fallbeispiel Niederösterreich</w:t>
      </w:r>
    </w:p>
    <w:tbl>
      <w:tblPr>
        <w:tblStyle w:val="Tabellengitternetz"/>
        <w:tblW w:w="0" w:type="auto"/>
        <w:tblLook w:val="04A0"/>
      </w:tblPr>
      <w:tblGrid>
        <w:gridCol w:w="9288"/>
      </w:tblGrid>
      <w:tr w:rsidR="00C12F9D" w:rsidRPr="00DA5171" w:rsidTr="00C12F9D">
        <w:tc>
          <w:tcPr>
            <w:tcW w:w="9288" w:type="dxa"/>
          </w:tcPr>
          <w:p w:rsidR="00587957" w:rsidRDefault="00C12F9D" w:rsidP="00044AF0">
            <w:pPr>
              <w:spacing w:beforeLines="40" w:afterLines="40" w:line="240" w:lineRule="auto"/>
              <w:jc w:val="left"/>
              <w:rPr>
                <w:rFonts w:cs="Tahoma"/>
                <w:i/>
                <w:sz w:val="20"/>
                <w:szCs w:val="24"/>
              </w:rPr>
            </w:pPr>
            <w:r w:rsidRPr="00C12F9D">
              <w:rPr>
                <w:rFonts w:cs="Tahoma"/>
                <w:i/>
                <w:sz w:val="20"/>
              </w:rPr>
              <w:t>In der Wohnungsvergabe wird aktiv versucht zu regulieren</w:t>
            </w:r>
            <w:r w:rsidR="00EB1E3D">
              <w:rPr>
                <w:rFonts w:cs="Tahoma"/>
                <w:i/>
                <w:sz w:val="20"/>
              </w:rPr>
              <w:t>,</w:t>
            </w:r>
            <w:r w:rsidRPr="00C12F9D">
              <w:rPr>
                <w:rFonts w:cs="Tahoma"/>
                <w:i/>
                <w:sz w:val="20"/>
              </w:rPr>
              <w:t xml:space="preserve"> wie viele Drittstaatsangehörige in ein und denselben Wohnblock vermittelt werden (Beispiel tschetschenische Familien). Die richtige Mischung zu finden, dazu braucht es sehr viel Fingerspitzengefühl und Knowhow. Es bedarf der gezielten Aufmer</w:t>
            </w:r>
            <w:r w:rsidRPr="00C12F9D">
              <w:rPr>
                <w:rFonts w:cs="Tahoma"/>
                <w:i/>
                <w:sz w:val="20"/>
              </w:rPr>
              <w:t>k</w:t>
            </w:r>
            <w:r w:rsidRPr="00C12F9D">
              <w:rPr>
                <w:rFonts w:cs="Tahoma"/>
                <w:i/>
                <w:sz w:val="20"/>
              </w:rPr>
              <w:t>samkeit.</w:t>
            </w:r>
          </w:p>
          <w:p w:rsidR="00587957" w:rsidRDefault="00C12F9D" w:rsidP="00044AF0">
            <w:pPr>
              <w:spacing w:beforeLines="40" w:afterLines="40" w:line="240" w:lineRule="auto"/>
              <w:jc w:val="left"/>
              <w:rPr>
                <w:rFonts w:cs="Tahoma"/>
                <w:i/>
                <w:sz w:val="20"/>
                <w:szCs w:val="24"/>
              </w:rPr>
            </w:pPr>
            <w:r w:rsidRPr="007829E2">
              <w:rPr>
                <w:rFonts w:cs="Tahoma"/>
                <w:i/>
                <w:sz w:val="20"/>
              </w:rPr>
              <w:t xml:space="preserve">Proaktive Sensibilisierung im Wohnumfeld; </w:t>
            </w:r>
            <w:r w:rsidRPr="00DE4BBF">
              <w:rPr>
                <w:rFonts w:cs="Tahoma"/>
                <w:i/>
                <w:sz w:val="20"/>
              </w:rPr>
              <w:t>Durchmischung und Förderung der Integration</w:t>
            </w:r>
          </w:p>
          <w:p w:rsidR="00C12F9D" w:rsidRPr="00C12F9D" w:rsidRDefault="00C12F9D" w:rsidP="00C12F9D">
            <w:pPr>
              <w:spacing w:line="240" w:lineRule="auto"/>
              <w:jc w:val="right"/>
              <w:rPr>
                <w:i/>
                <w:sz w:val="20"/>
                <w:lang w:val="de-AT"/>
              </w:rPr>
            </w:pPr>
            <w:r>
              <w:rPr>
                <w:i/>
                <w:sz w:val="20"/>
                <w:lang w:val="de-AT"/>
              </w:rPr>
              <w:t>Protokoll Gesprächsrunde ExpertInnen</w:t>
            </w:r>
          </w:p>
        </w:tc>
      </w:tr>
    </w:tbl>
    <w:p w:rsidR="007D7FBF" w:rsidRDefault="007D7FBF" w:rsidP="007D7FBF"/>
    <w:p w:rsidR="007D7FBF" w:rsidRPr="007D7FBF" w:rsidRDefault="007D7FBF" w:rsidP="007D7FBF">
      <w:pPr>
        <w:rPr>
          <w:u w:val="single"/>
          <w:lang w:val="de-AT"/>
        </w:rPr>
      </w:pPr>
      <w:r w:rsidRPr="007D7FBF">
        <w:rPr>
          <w:u w:val="single"/>
          <w:lang w:val="de-AT"/>
        </w:rPr>
        <w:t>Fallbeispiel Tirol</w:t>
      </w:r>
    </w:p>
    <w:tbl>
      <w:tblPr>
        <w:tblStyle w:val="Tabellengitternetz"/>
        <w:tblW w:w="0" w:type="auto"/>
        <w:tblLook w:val="04A0"/>
      </w:tblPr>
      <w:tblGrid>
        <w:gridCol w:w="9288"/>
      </w:tblGrid>
      <w:tr w:rsidR="00C12F9D" w:rsidRPr="00DA5171" w:rsidTr="00C12F9D">
        <w:tc>
          <w:tcPr>
            <w:tcW w:w="9288" w:type="dxa"/>
          </w:tcPr>
          <w:p w:rsidR="00C12F9D" w:rsidRPr="00C12F9D" w:rsidRDefault="00C12F9D" w:rsidP="007829E2">
            <w:pPr>
              <w:spacing w:before="60" w:after="60" w:line="240" w:lineRule="auto"/>
              <w:jc w:val="left"/>
              <w:rPr>
                <w:i/>
                <w:sz w:val="20"/>
              </w:rPr>
            </w:pPr>
            <w:r w:rsidRPr="00C12F9D">
              <w:rPr>
                <w:i/>
                <w:sz w:val="20"/>
              </w:rPr>
              <w:t>In der Vergabepraxis wird danach getrachtet, viel Transparenz zu gewährleisten – das ist eine Grun</w:t>
            </w:r>
            <w:r w:rsidRPr="00C12F9D">
              <w:rPr>
                <w:i/>
                <w:sz w:val="20"/>
              </w:rPr>
              <w:t>d</w:t>
            </w:r>
            <w:r w:rsidRPr="00C12F9D">
              <w:rPr>
                <w:i/>
                <w:sz w:val="20"/>
              </w:rPr>
              <w:t>lage für die angestrebte Partizipation der Wohnungssuchenden</w:t>
            </w:r>
          </w:p>
          <w:p w:rsidR="00C12F9D" w:rsidRPr="00C12F9D" w:rsidRDefault="00C12F9D" w:rsidP="00B31556">
            <w:pPr>
              <w:pStyle w:val="Listenabsatz"/>
              <w:numPr>
                <w:ilvl w:val="0"/>
                <w:numId w:val="9"/>
              </w:numPr>
              <w:spacing w:line="240" w:lineRule="auto"/>
              <w:jc w:val="left"/>
              <w:rPr>
                <w:i/>
                <w:sz w:val="20"/>
              </w:rPr>
            </w:pPr>
            <w:r w:rsidRPr="00C12F9D">
              <w:rPr>
                <w:i/>
                <w:sz w:val="20"/>
              </w:rPr>
              <w:t>Beteiligung fördert Zufriedenheit und verbessert die Integrationschancen</w:t>
            </w:r>
          </w:p>
          <w:p w:rsidR="00587957" w:rsidRDefault="00C12F9D" w:rsidP="00044AF0">
            <w:pPr>
              <w:pStyle w:val="Listenabsatz"/>
              <w:numPr>
                <w:ilvl w:val="0"/>
                <w:numId w:val="9"/>
              </w:numPr>
              <w:spacing w:beforeLines="40" w:afterLines="40" w:line="240" w:lineRule="auto"/>
              <w:jc w:val="left"/>
              <w:rPr>
                <w:i/>
                <w:sz w:val="20"/>
                <w:szCs w:val="24"/>
              </w:rPr>
            </w:pPr>
            <w:r w:rsidRPr="00C12F9D">
              <w:rPr>
                <w:i/>
                <w:sz w:val="20"/>
              </w:rPr>
              <w:t>Individuelle Wünsche werden weitgehend berücksichtigt</w:t>
            </w:r>
          </w:p>
          <w:p w:rsidR="00587957" w:rsidRDefault="00C12F9D" w:rsidP="00044AF0">
            <w:pPr>
              <w:pStyle w:val="Listenabsatz"/>
              <w:numPr>
                <w:ilvl w:val="0"/>
                <w:numId w:val="9"/>
              </w:numPr>
              <w:spacing w:beforeLines="40" w:afterLines="40" w:line="240" w:lineRule="auto"/>
              <w:jc w:val="left"/>
              <w:rPr>
                <w:i/>
                <w:sz w:val="20"/>
                <w:szCs w:val="24"/>
              </w:rPr>
            </w:pPr>
            <w:r w:rsidRPr="00C12F9D">
              <w:rPr>
                <w:i/>
                <w:sz w:val="20"/>
              </w:rPr>
              <w:t xml:space="preserve">Transparenz und Beteiligung als Prinzipien der Wohnungsvergabe machen die Vergabepraxis zum einen komplex und </w:t>
            </w:r>
            <w:r>
              <w:rPr>
                <w:i/>
                <w:sz w:val="20"/>
              </w:rPr>
              <w:t xml:space="preserve">zum anderen </w:t>
            </w:r>
            <w:r w:rsidRPr="00C12F9D">
              <w:rPr>
                <w:i/>
                <w:sz w:val="20"/>
              </w:rPr>
              <w:t>aufwändig; das lohnt sich aber, weil Folgeaufwände aufgrund fehlender Durchmischung, unzureichender Integration bzw. hoher Unzufriedenheit wegfallen bzw. reduziert anfallen</w:t>
            </w:r>
          </w:p>
          <w:p w:rsidR="001E30B4" w:rsidRDefault="00C12F9D" w:rsidP="00044AF0">
            <w:pPr>
              <w:spacing w:beforeLines="40" w:afterLines="40" w:line="240" w:lineRule="auto"/>
              <w:ind w:left="360"/>
              <w:jc w:val="right"/>
              <w:rPr>
                <w:i/>
                <w:sz w:val="20"/>
                <w:szCs w:val="24"/>
              </w:rPr>
            </w:pPr>
            <w:r>
              <w:rPr>
                <w:i/>
                <w:sz w:val="20"/>
              </w:rPr>
              <w:t>Interview Wohnungsvergabe</w:t>
            </w:r>
          </w:p>
        </w:tc>
      </w:tr>
    </w:tbl>
    <w:p w:rsidR="007D7FBF" w:rsidRPr="00C12F9D" w:rsidRDefault="007D7FBF" w:rsidP="007D7FBF"/>
    <w:p w:rsidR="007D7FBF" w:rsidRPr="007D7FBF" w:rsidRDefault="007D7FBF" w:rsidP="007D7FBF">
      <w:pPr>
        <w:rPr>
          <w:u w:val="single"/>
          <w:lang w:val="de-AT"/>
        </w:rPr>
      </w:pPr>
      <w:r w:rsidRPr="007D7FBF">
        <w:rPr>
          <w:u w:val="single"/>
          <w:lang w:val="de-AT"/>
        </w:rPr>
        <w:t>Fallbeispiel Wien</w:t>
      </w:r>
    </w:p>
    <w:p w:rsidR="00587957" w:rsidRDefault="00256274" w:rsidP="00044AF0">
      <w:pPr>
        <w:pBdr>
          <w:top w:val="single" w:sz="4" w:space="1" w:color="auto"/>
          <w:left w:val="single" w:sz="4" w:space="4" w:color="auto"/>
          <w:bottom w:val="single" w:sz="4" w:space="1" w:color="auto"/>
          <w:right w:val="single" w:sz="4" w:space="4" w:color="auto"/>
        </w:pBdr>
        <w:spacing w:beforeLines="40" w:afterLines="40" w:line="240" w:lineRule="auto"/>
        <w:rPr>
          <w:rStyle w:val="SchwacherVerweis"/>
          <w:i/>
          <w:sz w:val="20"/>
          <w:szCs w:val="20"/>
        </w:rPr>
      </w:pPr>
      <w:r w:rsidRPr="009B1B6A">
        <w:rPr>
          <w:rStyle w:val="SchwacherVerweis"/>
          <w:i/>
          <w:sz w:val="20"/>
          <w:szCs w:val="20"/>
        </w:rPr>
        <w:t>Wohnungsvergabe</w:t>
      </w:r>
    </w:p>
    <w:p w:rsidR="00587957" w:rsidRDefault="00256274" w:rsidP="00044AF0">
      <w:pPr>
        <w:pBdr>
          <w:top w:val="single" w:sz="4" w:space="1" w:color="auto"/>
          <w:left w:val="single" w:sz="4" w:space="4" w:color="auto"/>
          <w:bottom w:val="single" w:sz="4" w:space="1" w:color="auto"/>
          <w:right w:val="single" w:sz="4" w:space="4" w:color="auto"/>
        </w:pBdr>
        <w:spacing w:beforeLines="40" w:afterLines="40" w:line="240" w:lineRule="auto"/>
        <w:rPr>
          <w:i/>
          <w:sz w:val="20"/>
          <w:szCs w:val="20"/>
        </w:rPr>
      </w:pPr>
      <w:r w:rsidRPr="009B1B6A">
        <w:rPr>
          <w:i/>
          <w:sz w:val="20"/>
          <w:szCs w:val="20"/>
        </w:rPr>
        <w:t>Die KundInnen haben direkten Zugriff zu allen relevanten Informationen und können auf dieser Grun</w:t>
      </w:r>
      <w:r w:rsidRPr="009B1B6A">
        <w:rPr>
          <w:i/>
          <w:sz w:val="20"/>
          <w:szCs w:val="20"/>
        </w:rPr>
        <w:t>d</w:t>
      </w:r>
      <w:r w:rsidRPr="009B1B6A">
        <w:rPr>
          <w:i/>
          <w:sz w:val="20"/>
          <w:szCs w:val="20"/>
        </w:rPr>
        <w:t>lage bei der Auswahl von Wohnungen mitwirken</w:t>
      </w:r>
    </w:p>
    <w:p w:rsidR="001E30B4" w:rsidRDefault="00256274" w:rsidP="00044AF0">
      <w:pPr>
        <w:pBdr>
          <w:top w:val="single" w:sz="4" w:space="1" w:color="auto"/>
          <w:left w:val="single" w:sz="4" w:space="4" w:color="auto"/>
          <w:bottom w:val="single" w:sz="4" w:space="1" w:color="auto"/>
          <w:right w:val="single" w:sz="4" w:space="4" w:color="auto"/>
        </w:pBdr>
        <w:spacing w:beforeLines="40" w:afterLines="40" w:line="240" w:lineRule="auto"/>
        <w:rPr>
          <w:rStyle w:val="SchwacherVerweis"/>
          <w:i/>
          <w:sz w:val="20"/>
          <w:szCs w:val="20"/>
        </w:rPr>
      </w:pPr>
      <w:r w:rsidRPr="009B1B6A">
        <w:rPr>
          <w:rStyle w:val="SchwacherVerweis"/>
          <w:i/>
          <w:sz w:val="20"/>
          <w:szCs w:val="20"/>
        </w:rPr>
        <w:t>Soziale Wohnungsvergabe</w:t>
      </w:r>
    </w:p>
    <w:p w:rsidR="001E30B4" w:rsidRDefault="00DE4BBF" w:rsidP="00044AF0">
      <w:pPr>
        <w:pBdr>
          <w:top w:val="single" w:sz="4" w:space="1" w:color="auto"/>
          <w:left w:val="single" w:sz="4" w:space="4" w:color="auto"/>
          <w:bottom w:val="single" w:sz="4" w:space="1" w:color="auto"/>
          <w:right w:val="single" w:sz="4" w:space="4" w:color="auto"/>
        </w:pBdr>
        <w:spacing w:beforeLines="40" w:afterLines="40" w:line="240" w:lineRule="auto"/>
        <w:rPr>
          <w:i/>
          <w:sz w:val="20"/>
          <w:szCs w:val="20"/>
        </w:rPr>
      </w:pPr>
      <w:r>
        <w:rPr>
          <w:i/>
          <w:sz w:val="20"/>
          <w:szCs w:val="20"/>
        </w:rPr>
        <w:t xml:space="preserve">Im Rahmen der sozialen Wohnungsvergabe werden etwa 60% der Vergaben in enger Absprache mit Betreuungseinrichtungen vorgenommen – auf der Grundlage von Vorlagen bezüglich Wohnungsbedarf und Wohnfähigkeit. Ein </w:t>
      </w:r>
      <w:r w:rsidR="00256274" w:rsidRPr="009B1B6A">
        <w:rPr>
          <w:i/>
          <w:sz w:val="20"/>
          <w:szCs w:val="20"/>
        </w:rPr>
        <w:t>Bezirkswunsch wird nach Maßgabe der Möglichkeiten berücksichtigt</w:t>
      </w:r>
    </w:p>
    <w:p w:rsidR="001E30B4" w:rsidRDefault="00DE4BBF" w:rsidP="00044AF0">
      <w:pPr>
        <w:pBdr>
          <w:top w:val="single" w:sz="4" w:space="1" w:color="auto"/>
          <w:left w:val="single" w:sz="4" w:space="4" w:color="auto"/>
          <w:bottom w:val="single" w:sz="4" w:space="1" w:color="auto"/>
          <w:right w:val="single" w:sz="4" w:space="4" w:color="auto"/>
        </w:pBdr>
        <w:spacing w:beforeLines="40" w:afterLines="40" w:line="240" w:lineRule="auto"/>
        <w:rPr>
          <w:i/>
          <w:sz w:val="20"/>
          <w:szCs w:val="20"/>
        </w:rPr>
      </w:pPr>
      <w:r>
        <w:rPr>
          <w:i/>
          <w:sz w:val="20"/>
          <w:szCs w:val="20"/>
        </w:rPr>
        <w:t>Die Gleichbehandlungsrichtlinie wird seit 2006 umgesetzt. Nachholbed</w:t>
      </w:r>
      <w:r w:rsidR="005D4648">
        <w:rPr>
          <w:i/>
          <w:sz w:val="20"/>
          <w:szCs w:val="20"/>
        </w:rPr>
        <w:t>a</w:t>
      </w:r>
      <w:r>
        <w:rPr>
          <w:i/>
          <w:sz w:val="20"/>
          <w:szCs w:val="20"/>
        </w:rPr>
        <w:t>rf besteht aber hinsichtlich Ve</w:t>
      </w:r>
      <w:r>
        <w:rPr>
          <w:i/>
          <w:sz w:val="20"/>
          <w:szCs w:val="20"/>
        </w:rPr>
        <w:t>r</w:t>
      </w:r>
      <w:r>
        <w:rPr>
          <w:i/>
          <w:sz w:val="20"/>
          <w:szCs w:val="20"/>
        </w:rPr>
        <w:t>besserungen im Zusammenleben … die Stadt hat viele Maßnahmen gesetzt, um Viertel und Grätzel zu verändern.</w:t>
      </w:r>
    </w:p>
    <w:p w:rsidR="001E30B4" w:rsidRDefault="00256274" w:rsidP="00044AF0">
      <w:pPr>
        <w:pBdr>
          <w:top w:val="single" w:sz="4" w:space="1" w:color="auto"/>
          <w:left w:val="single" w:sz="4" w:space="4" w:color="auto"/>
          <w:bottom w:val="single" w:sz="4" w:space="1" w:color="auto"/>
          <w:right w:val="single" w:sz="4" w:space="4" w:color="auto"/>
        </w:pBdr>
        <w:spacing w:beforeLines="40" w:afterLines="40" w:line="240" w:lineRule="auto"/>
        <w:rPr>
          <w:rStyle w:val="SchwacherVerweis"/>
          <w:i/>
          <w:sz w:val="20"/>
          <w:szCs w:val="20"/>
        </w:rPr>
      </w:pPr>
      <w:r w:rsidRPr="009B1B6A">
        <w:rPr>
          <w:rStyle w:val="SchwacherVerweis"/>
          <w:i/>
          <w:sz w:val="20"/>
          <w:szCs w:val="20"/>
        </w:rPr>
        <w:t>Gemeinnütziger Wohnbauträger</w:t>
      </w:r>
    </w:p>
    <w:p w:rsidR="007D7FBF" w:rsidRDefault="00256274" w:rsidP="00256274">
      <w:pPr>
        <w:pBdr>
          <w:top w:val="single" w:sz="4" w:space="1" w:color="auto"/>
          <w:left w:val="single" w:sz="4" w:space="4" w:color="auto"/>
          <w:bottom w:val="single" w:sz="4" w:space="1" w:color="auto"/>
          <w:right w:val="single" w:sz="4" w:space="4" w:color="auto"/>
        </w:pBdr>
        <w:rPr>
          <w:lang w:val="de-AT"/>
        </w:rPr>
      </w:pPr>
      <w:r w:rsidRPr="009B1B6A">
        <w:rPr>
          <w:i/>
          <w:sz w:val="20"/>
          <w:szCs w:val="20"/>
        </w:rPr>
        <w:t>Wünsche bzgl. Größe der Wohnung, Lage etc. werden nach Möglichkeit berücksichtigt</w:t>
      </w:r>
    </w:p>
    <w:p w:rsidR="00E40AD4" w:rsidRDefault="00E40AD4">
      <w:pPr>
        <w:spacing w:before="180" w:after="240" w:line="336" w:lineRule="auto"/>
        <w:jc w:val="center"/>
        <w:rPr>
          <w:rFonts w:eastAsiaTheme="majorEastAsia" w:cstheme="majorBidi"/>
          <w:b/>
          <w:bCs/>
          <w:color w:val="4F81BD" w:themeColor="accent1"/>
          <w:lang w:val="de-AT"/>
        </w:rPr>
      </w:pPr>
    </w:p>
    <w:p w:rsidR="00FD2286" w:rsidRDefault="00FD2286">
      <w:pPr>
        <w:spacing w:before="180" w:after="240" w:line="336" w:lineRule="auto"/>
        <w:jc w:val="center"/>
        <w:rPr>
          <w:rFonts w:eastAsiaTheme="majorEastAsia" w:cstheme="majorBidi"/>
          <w:b/>
          <w:bCs/>
          <w:color w:val="4F81BD" w:themeColor="accent1"/>
          <w:lang w:val="de-AT"/>
        </w:rPr>
      </w:pPr>
      <w:r>
        <w:br w:type="page"/>
      </w:r>
    </w:p>
    <w:p w:rsidR="00483645" w:rsidRDefault="00CD40A6" w:rsidP="00E23216">
      <w:pPr>
        <w:pStyle w:val="berschrift3"/>
      </w:pPr>
      <w:r>
        <w:lastRenderedPageBreak/>
        <w:t>5.3</w:t>
      </w:r>
      <w:r>
        <w:tab/>
      </w:r>
      <w:r w:rsidRPr="00483645">
        <w:t xml:space="preserve">Eigenständige </w:t>
      </w:r>
      <w:r w:rsidR="00483645" w:rsidRPr="00483645">
        <w:t xml:space="preserve">Vergabeschienen und/oder Vorsorgen </w:t>
      </w:r>
      <w:r>
        <w:t>für die Wohnverso</w:t>
      </w:r>
      <w:r>
        <w:t>r</w:t>
      </w:r>
      <w:r>
        <w:t>gung von Haushalten mit besonderen Belastungen</w:t>
      </w:r>
      <w:r w:rsidR="00DE4BBF">
        <w:br/>
      </w:r>
    </w:p>
    <w:p w:rsidR="00DE4BBF" w:rsidRDefault="00DE4BBF" w:rsidP="005C377C">
      <w:pPr>
        <w:rPr>
          <w:lang w:val="de-AT"/>
        </w:rPr>
      </w:pPr>
      <w:r>
        <w:rPr>
          <w:lang w:val="de-AT"/>
        </w:rPr>
        <w:t>Mit hoher Übereinstimmung votieren die RespondentInnen dafür, Beratungsangebote, soziale Arbeit und Gemeinwesenarbeit in den Siedlungen zu verstärken, um so die Integration von MigrantInnen dauerhaft und nachhaltig verbessern zu können. Die finanzielle Förderung von belasteten Familien findet in diesem Kreis ebenfalls hohe Akzeptanz.</w:t>
      </w:r>
      <w:r>
        <w:rPr>
          <w:lang w:val="de-AT"/>
        </w:rPr>
        <w:br/>
      </w:r>
    </w:p>
    <w:p w:rsidR="005C377C" w:rsidRPr="005C377C" w:rsidRDefault="005C377C" w:rsidP="005C377C">
      <w:pPr>
        <w:rPr>
          <w:rStyle w:val="SchwacherVerweis"/>
          <w:lang w:val="de-AT"/>
        </w:rPr>
      </w:pPr>
      <w:r>
        <w:rPr>
          <w:rStyle w:val="SchwacherVerweis"/>
        </w:rPr>
        <w:t>Grafik 3</w:t>
      </w:r>
      <w:r w:rsidR="00D029CF">
        <w:rPr>
          <w:rStyle w:val="SchwacherVerweis"/>
        </w:rPr>
        <w:t>7</w:t>
      </w:r>
      <w:r>
        <w:rPr>
          <w:rStyle w:val="SchwacherVerweis"/>
        </w:rPr>
        <w:t>: eigenständige Vergabeschienen für benachteiligte Haushalte</w:t>
      </w:r>
    </w:p>
    <w:p w:rsidR="00D01BA4" w:rsidRDefault="005B7897" w:rsidP="00805442">
      <w:pPr>
        <w:rPr>
          <w:lang w:val="de-AT"/>
        </w:rPr>
      </w:pPr>
      <w:r w:rsidRPr="005B7897">
        <w:rPr>
          <w:noProof/>
          <w:lang w:val="de-AT" w:eastAsia="de-AT"/>
        </w:rPr>
        <w:drawing>
          <wp:inline distT="0" distB="0" distL="0" distR="0">
            <wp:extent cx="4572000" cy="2743200"/>
            <wp:effectExtent l="19050" t="0" r="19050" b="0"/>
            <wp:docPr id="47" name="Diagramm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5B7897" w:rsidRDefault="005B7897" w:rsidP="005B7897">
      <w:pPr>
        <w:rPr>
          <w:lang w:val="de-AT"/>
        </w:rPr>
      </w:pPr>
      <w:r>
        <w:rPr>
          <w:lang w:val="de-AT"/>
        </w:rPr>
        <w:br/>
        <w:t>Kritischer wird hingegen der Vorschlag gewertet, durch die Bereitstellung von Kontingenten zu einer Verbesserung der Wohnungsmarktchancen von MigrantInnen beizutragen. Hier liegt die Zustimmungsquote bei relativ bescheidenen 50%.</w:t>
      </w:r>
      <w:r w:rsidR="0087742F">
        <w:rPr>
          <w:lang w:val="de-AT"/>
        </w:rPr>
        <w:br/>
      </w:r>
    </w:p>
    <w:p w:rsidR="00AD561B" w:rsidRPr="00AD561B" w:rsidRDefault="00AD561B" w:rsidP="00805442">
      <w:pPr>
        <w:rPr>
          <w:rStyle w:val="SchwacherVerweis"/>
        </w:rPr>
      </w:pPr>
      <w:r>
        <w:rPr>
          <w:rStyle w:val="SchwacherVerweis"/>
        </w:rPr>
        <w:t>Weitere Anmerkungen der RespondentInnen zum Thema spezieller Vorsorgen</w:t>
      </w:r>
    </w:p>
    <w:p w:rsidR="00483645" w:rsidRDefault="00483645" w:rsidP="00D01BA4">
      <w:pPr>
        <w:pStyle w:val="Aufzhlungszeichen"/>
        <w:spacing w:after="60" w:line="240" w:lineRule="auto"/>
        <w:ind w:left="357" w:hanging="357"/>
        <w:contextualSpacing w:val="0"/>
      </w:pPr>
      <w:r>
        <w:t>Vergaberichtlinien nützen jedoch nichts, wenn die Wohnbaugenossenschaften nicht auch anders bauen, menschenfreundlicher und auf die speziellen Bedürfnisse kinderreicher F</w:t>
      </w:r>
      <w:r>
        <w:t>a</w:t>
      </w:r>
      <w:r>
        <w:t>milien eingehen. Es gibt kaum 4-Zimmer Wohnungen in unserem Bezirk.</w:t>
      </w:r>
    </w:p>
    <w:p w:rsidR="00483645" w:rsidRDefault="00483645" w:rsidP="00D01BA4">
      <w:pPr>
        <w:pStyle w:val="Aufzhlungszeichen"/>
        <w:spacing w:after="60" w:line="240" w:lineRule="auto"/>
        <w:ind w:left="357" w:hanging="357"/>
        <w:contextualSpacing w:val="0"/>
      </w:pPr>
      <w:r>
        <w:t>Ich bin prinzipiell gegen Sonderbehandlungen, da diese lediglich zu Ungerechtigkeiten und damit zu vermehrten Verstimmungen führen. Der Begriff "belastete" Familien ist für mich zu unklar, weshalb ich dazu nichts ausführen kann.</w:t>
      </w:r>
    </w:p>
    <w:p w:rsidR="00483645" w:rsidRDefault="00483645" w:rsidP="00D01BA4">
      <w:pPr>
        <w:pStyle w:val="Aufzhlungszeichen"/>
        <w:spacing w:after="60" w:line="240" w:lineRule="auto"/>
        <w:ind w:left="357" w:hanging="357"/>
        <w:contextualSpacing w:val="0"/>
      </w:pPr>
      <w:r>
        <w:t>keine ethnischen Vergabekriterien einführen, das widerspricht dem Gleichbehandlung</w:t>
      </w:r>
      <w:r>
        <w:t>s</w:t>
      </w:r>
      <w:r>
        <w:t>grundsatz und verstärkt Kastenidentitäten</w:t>
      </w:r>
    </w:p>
    <w:p w:rsidR="00AD561B" w:rsidRDefault="00AD561B" w:rsidP="00D01BA4">
      <w:pPr>
        <w:pStyle w:val="Aufzhlungszeichen"/>
        <w:spacing w:after="60" w:line="240" w:lineRule="auto"/>
        <w:ind w:left="357" w:hanging="357"/>
        <w:contextualSpacing w:val="0"/>
      </w:pPr>
      <w:r>
        <w:t>Auch bei diesem Punkt ist für mich eine Unterscheidung n</w:t>
      </w:r>
      <w:r w:rsidR="00030AFC">
        <w:t>ach Kultur, Sprache, Herkunft,</w:t>
      </w:r>
      <w:r>
        <w:t xml:space="preserve"> kein geeignetes Kriterium, auch hier ist der soziale Status v.a. Familieneinkommen ma</w:t>
      </w:r>
      <w:r>
        <w:t>ß</w:t>
      </w:r>
      <w:r>
        <w:lastRenderedPageBreak/>
        <w:t>geblich!! daher kein eigenes Kontingent an Wohnungen für MigrantInnen, sondern allg</w:t>
      </w:r>
      <w:r>
        <w:t>e</w:t>
      </w:r>
      <w:r>
        <w:t>mein für sozial schwächere Menschen</w:t>
      </w:r>
    </w:p>
    <w:p w:rsidR="00AD561B" w:rsidRDefault="00AD561B" w:rsidP="00D01BA4">
      <w:pPr>
        <w:pStyle w:val="Aufzhlungszeichen"/>
        <w:spacing w:after="60" w:line="240" w:lineRule="auto"/>
        <w:ind w:left="357" w:hanging="357"/>
        <w:contextualSpacing w:val="0"/>
      </w:pPr>
      <w:r>
        <w:t>Beratungsangebote / soziale Arbeit in Wohnsiedlungen / Gemeinwesenarbeit erachte ich als eine der dringlichsten Aufgaben; funktioniert das</w:t>
      </w:r>
      <w:r w:rsidR="00CD40A6">
        <w:t>,</w:t>
      </w:r>
      <w:r>
        <w:t xml:space="preserve"> erledigt sich der Rest von selbst!</w:t>
      </w:r>
    </w:p>
    <w:p w:rsidR="00AD561B" w:rsidRDefault="00AD561B" w:rsidP="00D01BA4">
      <w:pPr>
        <w:pStyle w:val="Aufzhlungszeichen"/>
        <w:spacing w:after="60" w:line="240" w:lineRule="auto"/>
        <w:ind w:left="357" w:hanging="357"/>
        <w:contextualSpacing w:val="0"/>
      </w:pPr>
      <w:r>
        <w:t>Beratungsangebote wären für alle Bewohner sinnvoll, nicht nur für Migranten</w:t>
      </w:r>
    </w:p>
    <w:p w:rsidR="00AD561B" w:rsidRDefault="00AD561B" w:rsidP="00D01BA4">
      <w:pPr>
        <w:pStyle w:val="Aufzhlungszeichen"/>
        <w:spacing w:after="60" w:line="240" w:lineRule="auto"/>
        <w:ind w:left="357" w:hanging="357"/>
        <w:contextualSpacing w:val="0"/>
      </w:pPr>
      <w:r>
        <w:t>Die Beratung erfolgt bei MigrantInnen ohnehin im Familienkreis u. Bekanntenkreis sehr gut.</w:t>
      </w:r>
    </w:p>
    <w:p w:rsidR="00AD561B" w:rsidRPr="00483645" w:rsidRDefault="00AD561B" w:rsidP="00D01BA4">
      <w:pPr>
        <w:pStyle w:val="Aufzhlungszeichen"/>
        <w:spacing w:after="60" w:line="240" w:lineRule="auto"/>
        <w:ind w:left="357" w:hanging="357"/>
        <w:contextualSpacing w:val="0"/>
        <w:rPr>
          <w:lang w:val="en-US"/>
        </w:rPr>
      </w:pPr>
      <w:r w:rsidRPr="00483645">
        <w:rPr>
          <w:lang w:val="en-US"/>
        </w:rPr>
        <w:t>Delo-Prävention</w:t>
      </w:r>
    </w:p>
    <w:p w:rsidR="00AD561B" w:rsidRDefault="00AD561B" w:rsidP="00D01BA4">
      <w:pPr>
        <w:pStyle w:val="Aufzhlungszeichen"/>
        <w:spacing w:after="60" w:line="240" w:lineRule="auto"/>
        <w:ind w:left="357" w:hanging="357"/>
        <w:contextualSpacing w:val="0"/>
      </w:pPr>
      <w:r>
        <w:t>eher skeptisch bei 'Kontingent', ist die Quotenfrage. Integriertes Konzept ohne Sonderste</w:t>
      </w:r>
      <w:r>
        <w:t>l</w:t>
      </w:r>
      <w:r>
        <w:t>lung?</w:t>
      </w:r>
      <w:r w:rsidR="0087742F">
        <w:br/>
      </w:r>
    </w:p>
    <w:p w:rsidR="00641782" w:rsidRDefault="00641782" w:rsidP="0087742F">
      <w:r>
        <w:t>Die RespondentInnen betonen in ihren Anmerkungen vor allem ihre Skepsis gegenüber der Vorstellung, dass über Kontingentlösungen neue Formen von Quoten eingeführt werden kön</w:t>
      </w:r>
      <w:r>
        <w:t>n</w:t>
      </w:r>
      <w:r>
        <w:t>ten, die letztlich – außer für die Teilgruppe von sozial schwachen Menschen – tendenziell kon</w:t>
      </w:r>
      <w:r>
        <w:t>t</w:t>
      </w:r>
      <w:r>
        <w:t xml:space="preserve">raproduktiv wären. Stattdessen sollten eher ‚integrierte Konzepte‘ entwickelt und umgesetzt werden. </w:t>
      </w:r>
    </w:p>
    <w:p w:rsidR="0087742F" w:rsidRDefault="00641782" w:rsidP="0087742F">
      <w:r>
        <w:t>Demgegenüber wird die große Bedeutung von Beratungsangeboten sowie von sozialer Arbeit in Wohnsiedlungen, Stichwort: Gemeinwesenarbeit, hervorgehoben, die letztlich für alle Gru</w:t>
      </w:r>
      <w:r>
        <w:t>p</w:t>
      </w:r>
      <w:r>
        <w:t xml:space="preserve">pen der WohnungswerberInnen von Vorteil sein könnten. </w:t>
      </w:r>
      <w:r>
        <w:br/>
      </w:r>
    </w:p>
    <w:p w:rsidR="0087742F" w:rsidRPr="00F40B1C" w:rsidRDefault="00CD40A6" w:rsidP="0087742F">
      <w:pPr>
        <w:rPr>
          <w:u w:val="single"/>
        </w:rPr>
      </w:pPr>
      <w:r>
        <w:rPr>
          <w:u w:val="single"/>
        </w:rPr>
        <w:t>5.3</w:t>
      </w:r>
      <w:r w:rsidR="009A2131">
        <w:rPr>
          <w:u w:val="single"/>
        </w:rPr>
        <w:t>.1</w:t>
      </w:r>
      <w:r w:rsidR="009A2131">
        <w:rPr>
          <w:u w:val="single"/>
        </w:rPr>
        <w:tab/>
      </w:r>
      <w:r w:rsidR="00641782">
        <w:rPr>
          <w:u w:val="single"/>
        </w:rPr>
        <w:t>Einschätzung der Maßnahmen aus dem Blickwinkel der Einrichtungsarten</w:t>
      </w:r>
      <w:r w:rsidR="00641782">
        <w:rPr>
          <w:u w:val="single"/>
        </w:rPr>
        <w:br/>
      </w:r>
    </w:p>
    <w:p w:rsidR="0087742F" w:rsidRPr="005C377C" w:rsidRDefault="0087742F" w:rsidP="0087742F">
      <w:pPr>
        <w:rPr>
          <w:rStyle w:val="SchwacherVerweis"/>
        </w:rPr>
      </w:pPr>
      <w:r>
        <w:rPr>
          <w:rStyle w:val="SchwacherVerweis"/>
        </w:rPr>
        <w:t>Grafik 38: eigenständige Vergabeschienen nach Einrichtungsart</w:t>
      </w:r>
    </w:p>
    <w:p w:rsidR="0087742F" w:rsidRDefault="0087742F" w:rsidP="0087742F">
      <w:pPr>
        <w:rPr>
          <w:lang w:val="de-AT"/>
        </w:rPr>
      </w:pPr>
      <w:r w:rsidRPr="00BE3E77">
        <w:rPr>
          <w:noProof/>
          <w:lang w:val="de-AT" w:eastAsia="de-AT"/>
        </w:rPr>
        <w:drawing>
          <wp:inline distT="0" distB="0" distL="0" distR="0">
            <wp:extent cx="5543550" cy="3152775"/>
            <wp:effectExtent l="19050" t="0" r="19050" b="0"/>
            <wp:docPr id="44" name="Diagramm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A1353F" w:rsidRDefault="00A1353F" w:rsidP="0087742F">
      <w:pPr>
        <w:rPr>
          <w:lang w:val="de-AT"/>
        </w:rPr>
      </w:pPr>
      <w:r>
        <w:rPr>
          <w:lang w:val="de-AT"/>
        </w:rPr>
        <w:lastRenderedPageBreak/>
        <w:t>Die Zugehörigkeit zu einer der beteiligten Einrichtungsarten wirkt sich auch auf die Beantwo</w:t>
      </w:r>
      <w:r>
        <w:rPr>
          <w:lang w:val="de-AT"/>
        </w:rPr>
        <w:t>r</w:t>
      </w:r>
      <w:r>
        <w:rPr>
          <w:lang w:val="de-AT"/>
        </w:rPr>
        <w:t xml:space="preserve">tung dieser Fragestellungen aus. </w:t>
      </w:r>
    </w:p>
    <w:p w:rsidR="0087742F" w:rsidRPr="00A64692" w:rsidRDefault="00A1353F" w:rsidP="0087742F">
      <w:pPr>
        <w:rPr>
          <w:lang w:val="de-AT"/>
        </w:rPr>
      </w:pPr>
      <w:r>
        <w:rPr>
          <w:lang w:val="de-AT"/>
        </w:rPr>
        <w:t>Die abgefragten Maßnahmenpakete finanzieller Förderungen für belastete Familien bzw. sozi</w:t>
      </w:r>
      <w:r>
        <w:rPr>
          <w:lang w:val="de-AT"/>
        </w:rPr>
        <w:t>a</w:t>
      </w:r>
      <w:r>
        <w:rPr>
          <w:lang w:val="de-AT"/>
        </w:rPr>
        <w:t xml:space="preserve">ler Arbeit / Gemeinwesenarbeit in Wohnsiedlungen finden durchgängig hohe Zustimmung. Demgegenüber </w:t>
      </w:r>
      <w:r w:rsidR="00CD40A6">
        <w:rPr>
          <w:lang w:val="de-AT"/>
        </w:rPr>
        <w:t>erhält</w:t>
      </w:r>
      <w:r>
        <w:rPr>
          <w:lang w:val="de-AT"/>
        </w:rPr>
        <w:t xml:space="preserve"> die Idee zur Bereitstellung eines Kontingents für die Wohnversorgung von MigrantInnen deutlich weniger Zustimmung. </w:t>
      </w:r>
      <w:r w:rsidR="0087742F">
        <w:rPr>
          <w:lang w:val="de-AT"/>
        </w:rPr>
        <w:t xml:space="preserve">Während sich </w:t>
      </w:r>
      <w:r>
        <w:rPr>
          <w:lang w:val="de-AT"/>
        </w:rPr>
        <w:t>Wohnungsämter und gemei</w:t>
      </w:r>
      <w:r>
        <w:rPr>
          <w:lang w:val="de-AT"/>
        </w:rPr>
        <w:t>n</w:t>
      </w:r>
      <w:r>
        <w:rPr>
          <w:lang w:val="de-AT"/>
        </w:rPr>
        <w:t>nützige</w:t>
      </w:r>
      <w:r w:rsidR="0087742F">
        <w:rPr>
          <w:lang w:val="de-AT"/>
        </w:rPr>
        <w:t xml:space="preserve"> Bauträgern die Einrichtung von Vergabekontingenten für Drittstaatsangehörige eher </w:t>
      </w:r>
      <w:r>
        <w:rPr>
          <w:lang w:val="de-AT"/>
        </w:rPr>
        <w:t>nicht vorstellen können</w:t>
      </w:r>
      <w:r w:rsidR="0087742F">
        <w:rPr>
          <w:lang w:val="de-AT"/>
        </w:rPr>
        <w:t xml:space="preserve">, votieren </w:t>
      </w:r>
      <w:r w:rsidR="00C20E5A">
        <w:rPr>
          <w:lang w:val="de-AT"/>
        </w:rPr>
        <w:t>über 60%</w:t>
      </w:r>
      <w:r w:rsidR="0087742F">
        <w:rPr>
          <w:lang w:val="de-AT"/>
        </w:rPr>
        <w:t xml:space="preserve"> der RespondentInnen aus privaten Bauträgern sowie Beratungsstellen dafür</w:t>
      </w:r>
      <w:r w:rsidR="00C20E5A">
        <w:rPr>
          <w:lang w:val="de-AT"/>
        </w:rPr>
        <w:t>, dass für diese Zielgruppe entsprechende Kontingentlösungen realisiert werden</w:t>
      </w:r>
      <w:r w:rsidR="0087742F">
        <w:rPr>
          <w:lang w:val="de-AT"/>
        </w:rPr>
        <w:t>.</w:t>
      </w:r>
      <w:r w:rsidR="0087742F">
        <w:rPr>
          <w:lang w:val="de-AT"/>
        </w:rPr>
        <w:br/>
      </w:r>
    </w:p>
    <w:p w:rsidR="0087742F" w:rsidRPr="00C20E5A" w:rsidRDefault="00C20E5A" w:rsidP="00CD40A6">
      <w:pPr>
        <w:ind w:left="709" w:hanging="709"/>
        <w:rPr>
          <w:u w:val="single"/>
          <w:lang w:val="de-AT"/>
        </w:rPr>
      </w:pPr>
      <w:r>
        <w:rPr>
          <w:u w:val="single"/>
          <w:lang w:val="de-AT"/>
        </w:rPr>
        <w:t>5.</w:t>
      </w:r>
      <w:r w:rsidR="00CD40A6">
        <w:rPr>
          <w:u w:val="single"/>
          <w:lang w:val="de-AT"/>
        </w:rPr>
        <w:t>3.</w:t>
      </w:r>
      <w:r>
        <w:rPr>
          <w:u w:val="single"/>
          <w:lang w:val="de-AT"/>
        </w:rPr>
        <w:t>2</w:t>
      </w:r>
      <w:r>
        <w:rPr>
          <w:u w:val="single"/>
          <w:lang w:val="de-AT"/>
        </w:rPr>
        <w:tab/>
        <w:t xml:space="preserve">Regionale Modelle für die Einrichtung von Wohnkontingenten für spezifische </w:t>
      </w:r>
      <w:r w:rsidR="00A53586">
        <w:rPr>
          <w:u w:val="single"/>
          <w:lang w:val="de-AT"/>
        </w:rPr>
        <w:t>benachte</w:t>
      </w:r>
      <w:r w:rsidR="00A53586">
        <w:rPr>
          <w:u w:val="single"/>
          <w:lang w:val="de-AT"/>
        </w:rPr>
        <w:t>i</w:t>
      </w:r>
      <w:r w:rsidR="00A53586">
        <w:rPr>
          <w:u w:val="single"/>
          <w:lang w:val="de-AT"/>
        </w:rPr>
        <w:t xml:space="preserve">ligte </w:t>
      </w:r>
      <w:r>
        <w:rPr>
          <w:u w:val="single"/>
          <w:lang w:val="de-AT"/>
        </w:rPr>
        <w:t>Zielgruppe</w:t>
      </w:r>
      <w:r w:rsidR="00A53586">
        <w:rPr>
          <w:u w:val="single"/>
          <w:lang w:val="de-AT"/>
        </w:rPr>
        <w:t>n</w:t>
      </w:r>
      <w:r>
        <w:rPr>
          <w:u w:val="single"/>
          <w:lang w:val="de-AT"/>
        </w:rPr>
        <w:t xml:space="preserve"> sozialer Wohnpolitik</w:t>
      </w:r>
      <w:r>
        <w:rPr>
          <w:u w:val="single"/>
          <w:lang w:val="de-AT"/>
        </w:rPr>
        <w:br/>
      </w:r>
    </w:p>
    <w:p w:rsidR="00C20E5A" w:rsidRDefault="00C20E5A" w:rsidP="0087742F">
      <w:r>
        <w:t>In den vergangenen Jahren wurden insbesondere in Wien und Linz mit eigenständigen Ko</w:t>
      </w:r>
      <w:r>
        <w:t>n</w:t>
      </w:r>
      <w:r>
        <w:t xml:space="preserve">tingentmodellen für Zielgruppen, die auf dem Wohnungsmarkt deutlich benachteiligt sind, ausgesprochen positive Erfahrungen gemacht. Es handelt sich dabei um </w:t>
      </w:r>
      <w:r w:rsidR="00CD40A6">
        <w:t xml:space="preserve">die </w:t>
      </w:r>
      <w:r>
        <w:t xml:space="preserve">soziale </w:t>
      </w:r>
      <w:r w:rsidR="00CD40A6">
        <w:t xml:space="preserve">Schiene der </w:t>
      </w:r>
      <w:r>
        <w:t>Wohnversorgung in Wien</w:t>
      </w:r>
      <w:r w:rsidR="00CD40A6">
        <w:t xml:space="preserve"> und die </w:t>
      </w:r>
      <w:r>
        <w:t>Wohnplattform in Linz</w:t>
      </w:r>
      <w:r w:rsidR="00CD40A6">
        <w:t xml:space="preserve">. </w:t>
      </w:r>
      <w:r>
        <w:t>Vor wenigen Jahren hat Vorar</w:t>
      </w:r>
      <w:r>
        <w:t>l</w:t>
      </w:r>
      <w:r>
        <w:t xml:space="preserve">berg nachgezogen und ein eigenständiges Modell entwickelt, das sich vor allem durch </w:t>
      </w:r>
      <w:r w:rsidR="00CD40A6">
        <w:t>eine</w:t>
      </w:r>
      <w:r>
        <w:t xml:space="preserve"> dezentrale und vernetzte Ausführung auszeichnet.</w:t>
      </w:r>
    </w:p>
    <w:p w:rsidR="00C20E5A" w:rsidRDefault="00C20E5A" w:rsidP="0087742F">
      <w:r>
        <w:t>Die hier genannten Modelle versorgen insbesondere Personen in Wohnungsnot bzw. Wo</w:t>
      </w:r>
      <w:r>
        <w:t>h</w:t>
      </w:r>
      <w:r>
        <w:t>nungslosigkeit mit eigenständigen Wohnungen, sind in dieser Form also nicht dezidiert auf die Zielgruppe von MigrantInnen ausgerichtet. Im Vordergrund steht vielmehr die Indikation Wohnungsnot / Wohnungslosigkeit</w:t>
      </w:r>
      <w:r w:rsidR="00CD40A6">
        <w:t xml:space="preserve"> von Haushalten mit bzw. ohne Migrationshintergrund</w:t>
      </w:r>
      <w:r>
        <w:t>.</w:t>
      </w:r>
      <w:r>
        <w:br/>
      </w:r>
    </w:p>
    <w:p w:rsidR="00AD561B" w:rsidRDefault="0006729D" w:rsidP="0006729D">
      <w:pPr>
        <w:pStyle w:val="berschrift3"/>
      </w:pPr>
      <w:r>
        <w:t>5.4</w:t>
      </w:r>
      <w:r>
        <w:tab/>
      </w:r>
      <w:r w:rsidR="00C20E5A">
        <w:t>Vorkehrungen zur Bekämpfung von</w:t>
      </w:r>
      <w:r w:rsidR="00A64692" w:rsidRPr="00A64692">
        <w:t xml:space="preserve"> </w:t>
      </w:r>
      <w:r w:rsidR="00CD40A6">
        <w:t xml:space="preserve">(ethnischer etc.) </w:t>
      </w:r>
      <w:r w:rsidR="00A64692" w:rsidRPr="00A64692">
        <w:t>Diskriminierung</w:t>
      </w:r>
    </w:p>
    <w:p w:rsidR="005C377C" w:rsidRDefault="00CD40A6" w:rsidP="005C377C">
      <w:pPr>
        <w:rPr>
          <w:lang w:val="de-AT"/>
        </w:rPr>
      </w:pPr>
      <w:r>
        <w:rPr>
          <w:lang w:val="de-AT"/>
        </w:rPr>
        <w:br/>
      </w:r>
      <w:r w:rsidR="003173F7">
        <w:rPr>
          <w:lang w:val="de-AT"/>
        </w:rPr>
        <w:t>Weitergehende Vorsorgen zur Vermeidung und / oder Bekämpfung von ethnisch motivierter Diskriminierung aufgrund von Herkunft, Sprache, Religion etc. könnten in Form einer gezielten Ausbildung von SachbearbeiterInnen bzw. durch die Beiziehung von SpezialistInnen (z.B. mehrsprachigen MitarbeiterInnen) gewährleistet und beispielsweise in Maßnahmen einer pos</w:t>
      </w:r>
      <w:r w:rsidR="003173F7">
        <w:rPr>
          <w:lang w:val="de-AT"/>
        </w:rPr>
        <w:t>i</w:t>
      </w:r>
      <w:r w:rsidR="003173F7">
        <w:rPr>
          <w:lang w:val="de-AT"/>
        </w:rPr>
        <w:t>tiven Diskriminierung (affirmative action) gipfeln. Diese Fragen werden von den Responde</w:t>
      </w:r>
      <w:r w:rsidR="003173F7">
        <w:rPr>
          <w:lang w:val="de-AT"/>
        </w:rPr>
        <w:t>n</w:t>
      </w:r>
      <w:r w:rsidR="003173F7">
        <w:rPr>
          <w:lang w:val="de-AT"/>
        </w:rPr>
        <w:t>tInnen ausgesprochen differenziert beurteilt.</w:t>
      </w:r>
    </w:p>
    <w:p w:rsidR="003173F7" w:rsidRDefault="003173F7" w:rsidP="005C377C">
      <w:pPr>
        <w:rPr>
          <w:lang w:val="de-AT"/>
        </w:rPr>
      </w:pPr>
      <w:r>
        <w:rPr>
          <w:lang w:val="de-AT"/>
        </w:rPr>
        <w:lastRenderedPageBreak/>
        <w:t>So zeigt sich hier eine weitgehende Zustimmung zum Vorschlag einer entsprechenden Aus- und Weiterbildung der SachbearbeiterInnen, die in der Wohnungsvergabe tätig sind. Imme</w:t>
      </w:r>
      <w:r>
        <w:rPr>
          <w:lang w:val="de-AT"/>
        </w:rPr>
        <w:t>r</w:t>
      </w:r>
      <w:r>
        <w:rPr>
          <w:lang w:val="de-AT"/>
        </w:rPr>
        <w:t>hin noch gute zwei Drittel der Antworten befürworten die Einstellung von ausgebildeten Fac</w:t>
      </w:r>
      <w:r>
        <w:rPr>
          <w:lang w:val="de-AT"/>
        </w:rPr>
        <w:t>h</w:t>
      </w:r>
      <w:r>
        <w:rPr>
          <w:lang w:val="de-AT"/>
        </w:rPr>
        <w:t xml:space="preserve">kräften. </w:t>
      </w:r>
    </w:p>
    <w:p w:rsidR="003173F7" w:rsidRDefault="003173F7" w:rsidP="005C377C">
      <w:pPr>
        <w:rPr>
          <w:lang w:val="de-AT"/>
        </w:rPr>
      </w:pPr>
      <w:r>
        <w:rPr>
          <w:lang w:val="de-AT"/>
        </w:rPr>
        <w:t>Maßnahmen einer positiven Diskriminierung sind allerdings nur mehr für eine Minderheit der RespondentInnen von Interesse (43%).</w:t>
      </w:r>
      <w:r>
        <w:rPr>
          <w:lang w:val="de-AT"/>
        </w:rPr>
        <w:br/>
      </w:r>
    </w:p>
    <w:p w:rsidR="005C377C" w:rsidRPr="005C377C" w:rsidRDefault="005C377C" w:rsidP="005C377C">
      <w:pPr>
        <w:rPr>
          <w:rStyle w:val="SchwacherVerweis"/>
          <w:lang w:val="de-AT"/>
        </w:rPr>
      </w:pPr>
      <w:r>
        <w:rPr>
          <w:rStyle w:val="SchwacherVerweis"/>
        </w:rPr>
        <w:t>Grafik 3</w:t>
      </w:r>
      <w:r w:rsidR="00D029CF">
        <w:rPr>
          <w:rStyle w:val="SchwacherVerweis"/>
        </w:rPr>
        <w:t>9</w:t>
      </w:r>
      <w:r>
        <w:rPr>
          <w:rStyle w:val="SchwacherVerweis"/>
        </w:rPr>
        <w:t>: weitergehende Vorsorgen</w:t>
      </w:r>
    </w:p>
    <w:p w:rsidR="00A64692" w:rsidRDefault="00E547DC" w:rsidP="00A64692">
      <w:pPr>
        <w:rPr>
          <w:lang w:val="de-AT"/>
        </w:rPr>
      </w:pPr>
      <w:r w:rsidRPr="00E547DC">
        <w:rPr>
          <w:noProof/>
          <w:lang w:val="de-AT" w:eastAsia="de-AT"/>
        </w:rPr>
        <w:drawing>
          <wp:inline distT="0" distB="0" distL="0" distR="0">
            <wp:extent cx="4991100" cy="3114675"/>
            <wp:effectExtent l="19050" t="0" r="19050" b="0"/>
            <wp:docPr id="49" name="Diagramm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A64692" w:rsidRPr="00A64692" w:rsidRDefault="00506E2A" w:rsidP="00A64692">
      <w:pPr>
        <w:rPr>
          <w:rStyle w:val="SchwacherVerweis"/>
        </w:rPr>
      </w:pPr>
      <w:r>
        <w:rPr>
          <w:lang w:val="de-AT"/>
        </w:rPr>
        <w:br/>
      </w:r>
      <w:r w:rsidR="00A64692">
        <w:rPr>
          <w:rStyle w:val="SchwacherVerweis"/>
        </w:rPr>
        <w:t>Weitere Anregungen durch die RespondentInnen betreffen:</w:t>
      </w:r>
    </w:p>
    <w:p w:rsidR="00A64692" w:rsidRDefault="00A64692" w:rsidP="000D7D6D">
      <w:pPr>
        <w:pStyle w:val="Aufzhlungszeichen"/>
        <w:spacing w:after="60" w:line="240" w:lineRule="auto"/>
        <w:ind w:left="357" w:hanging="357"/>
        <w:contextualSpacing w:val="0"/>
      </w:pPr>
      <w:r>
        <w:t>SachbearbeiterInnen haben jedoch keinen wirklichen Einfluss auf die tatsächliche Vergabe, das ist die Entscheidung des Politik</w:t>
      </w:r>
    </w:p>
    <w:p w:rsidR="00A64692" w:rsidRDefault="00A64692" w:rsidP="000D7D6D">
      <w:pPr>
        <w:pStyle w:val="Aufzhlungszeichen"/>
        <w:spacing w:after="60" w:line="240" w:lineRule="auto"/>
        <w:ind w:left="357" w:hanging="357"/>
        <w:contextualSpacing w:val="0"/>
      </w:pPr>
      <w:r>
        <w:t>positive Diskriminierung allein aufgrund der Herkunft ist für soz. Wohnbau nicht zielfü</w:t>
      </w:r>
      <w:r>
        <w:t>h</w:t>
      </w:r>
      <w:r>
        <w:t>rend. Seit Öffnung der Gemeindebauten ohnehin ein hoher Anteil der vergebenen Wo</w:t>
      </w:r>
      <w:r>
        <w:t>h</w:t>
      </w:r>
      <w:r>
        <w:t>nungen an Me</w:t>
      </w:r>
      <w:r w:rsidR="00250055">
        <w:t>nschen mit nicht-deutscher Mutt</w:t>
      </w:r>
      <w:r>
        <w:t>ersprache oder Migrationsgeschichte, da diese Personengru</w:t>
      </w:r>
      <w:r w:rsidR="00A6113A">
        <w:t xml:space="preserve">ppe auch sozial schwächer ist. </w:t>
      </w:r>
    </w:p>
    <w:p w:rsidR="00A64692" w:rsidRDefault="00A64692" w:rsidP="000D7D6D">
      <w:pPr>
        <w:pStyle w:val="Aufzhlungszeichen"/>
        <w:spacing w:after="60" w:line="240" w:lineRule="auto"/>
        <w:ind w:left="357" w:hanging="357"/>
        <w:contextualSpacing w:val="0"/>
      </w:pPr>
      <w:r>
        <w:t>SachbearbeiterInnen gehören informiert, geschult und begleitet, wer kompetent ist</w:t>
      </w:r>
      <w:r w:rsidR="00A6113A">
        <w:t>,</w:t>
      </w:r>
      <w:r>
        <w:t xml:space="preserve"> kann kompetent handeln; wer allein gelassen wird und unsicher ist</w:t>
      </w:r>
      <w:r w:rsidR="00A6113A">
        <w:t>,</w:t>
      </w:r>
      <w:r>
        <w:t xml:space="preserve"> neigt zu rassistischen Di</w:t>
      </w:r>
      <w:r>
        <w:t>s</w:t>
      </w:r>
      <w:r>
        <w:t>kriminierungen (aus der Ohnmacht - nicht aus der Bösartigkeit)</w:t>
      </w:r>
    </w:p>
    <w:p w:rsidR="00A64692" w:rsidRDefault="00A64692" w:rsidP="000D7D6D">
      <w:pPr>
        <w:pStyle w:val="Aufzhlungszeichen"/>
        <w:spacing w:after="60" w:line="240" w:lineRule="auto"/>
        <w:ind w:left="357" w:hanging="357"/>
        <w:contextualSpacing w:val="0"/>
      </w:pPr>
      <w:r>
        <w:t>Verbot der Abfrage solcher Eigenschaften. Religion, Muttersprache, Ethnie geht keinen Wohnungsvergebenden etwas an.</w:t>
      </w:r>
    </w:p>
    <w:p w:rsidR="00A64692" w:rsidRDefault="00A64692" w:rsidP="000D7D6D">
      <w:pPr>
        <w:pStyle w:val="Aufzhlungszeichen"/>
        <w:spacing w:after="60" w:line="240" w:lineRule="auto"/>
        <w:ind w:left="357" w:hanging="357"/>
        <w:contextualSpacing w:val="0"/>
      </w:pPr>
      <w:r>
        <w:t>muttersprachliche SachbearbeiterInnen, SachbearbeiterInnen mit Migrationshintergrund</w:t>
      </w:r>
    </w:p>
    <w:p w:rsidR="00A64692" w:rsidRPr="00F44076" w:rsidRDefault="00A64692" w:rsidP="00A64692">
      <w:pPr>
        <w:pStyle w:val="Aufzhlungszeichen"/>
        <w:spacing w:after="60" w:line="240" w:lineRule="auto"/>
        <w:ind w:left="357" w:hanging="357"/>
        <w:contextualSpacing w:val="0"/>
        <w:rPr>
          <w:lang w:val="de-AT"/>
        </w:rPr>
      </w:pPr>
      <w:r>
        <w:t>Gleichbehandlung bei den Zugangsvoraussetzungen</w:t>
      </w:r>
      <w:r w:rsidR="00F44076">
        <w:br/>
      </w:r>
    </w:p>
    <w:p w:rsidR="008E50FB" w:rsidRDefault="003173F7" w:rsidP="008E50FB">
      <w:pPr>
        <w:pStyle w:val="Aufzhlungszeichen"/>
        <w:numPr>
          <w:ilvl w:val="0"/>
          <w:numId w:val="0"/>
        </w:numPr>
        <w:rPr>
          <w:lang w:val="de-AT"/>
        </w:rPr>
      </w:pPr>
      <w:r>
        <w:rPr>
          <w:lang w:val="de-AT"/>
        </w:rPr>
        <w:lastRenderedPageBreak/>
        <w:t>Die ergänzenden Anmerkungen der RespondentInnen unterstreichen diese differenzierte B</w:t>
      </w:r>
      <w:r>
        <w:rPr>
          <w:lang w:val="de-AT"/>
        </w:rPr>
        <w:t>e</w:t>
      </w:r>
      <w:r>
        <w:rPr>
          <w:lang w:val="de-AT"/>
        </w:rPr>
        <w:t xml:space="preserve">wertung, unterstreichen zum einen die Vorschläge nach Aus- und Weiterbildungsangeboten sowie nach Einstellung von SpezialistInnen. Andererseits wird hier die tendenzielle Ablehnung von positiver Diskriminierung </w:t>
      </w:r>
      <w:r w:rsidR="008E50FB">
        <w:rPr>
          <w:lang w:val="de-AT"/>
        </w:rPr>
        <w:t>mit dem Hinweis auf die bereits in Kraft gesetzten Gleichbehan</w:t>
      </w:r>
      <w:r w:rsidR="008E50FB">
        <w:rPr>
          <w:lang w:val="de-AT"/>
        </w:rPr>
        <w:t>d</w:t>
      </w:r>
      <w:r w:rsidR="008E50FB">
        <w:rPr>
          <w:lang w:val="de-AT"/>
        </w:rPr>
        <w:t>lungsnormen begründet. Eine weitere Einzelmeldung fokussiert darauf, dass Religion, Mutte</w:t>
      </w:r>
      <w:r w:rsidR="008E50FB">
        <w:rPr>
          <w:lang w:val="de-AT"/>
        </w:rPr>
        <w:t>r</w:t>
      </w:r>
      <w:r w:rsidR="008E50FB">
        <w:rPr>
          <w:lang w:val="de-AT"/>
        </w:rPr>
        <w:t xml:space="preserve">sprache und ethnische Herkunft quasi Privatsache wären und deshalb gar nicht erst abgefragt werden dürften. </w:t>
      </w:r>
      <w:r w:rsidR="00506E2A">
        <w:rPr>
          <w:lang w:val="de-AT"/>
        </w:rPr>
        <w:br/>
      </w:r>
    </w:p>
    <w:p w:rsidR="00F56C08" w:rsidRPr="00F56C08" w:rsidRDefault="00F56C08" w:rsidP="008E50FB">
      <w:pPr>
        <w:pStyle w:val="Aufzhlungszeichen"/>
        <w:numPr>
          <w:ilvl w:val="0"/>
          <w:numId w:val="0"/>
        </w:numPr>
        <w:rPr>
          <w:u w:val="single"/>
          <w:lang w:val="de-AT"/>
        </w:rPr>
      </w:pPr>
      <w:r w:rsidRPr="00F56C08">
        <w:rPr>
          <w:u w:val="single"/>
          <w:lang w:val="de-AT"/>
        </w:rPr>
        <w:t>5.4.1</w:t>
      </w:r>
      <w:r w:rsidRPr="00F56C08">
        <w:rPr>
          <w:u w:val="single"/>
          <w:lang w:val="de-AT"/>
        </w:rPr>
        <w:tab/>
        <w:t>Weitergehende Vorsorgen nach der Art der Einrichtung</w:t>
      </w:r>
    </w:p>
    <w:p w:rsidR="00F56C08" w:rsidRDefault="00F56C08" w:rsidP="008E50FB">
      <w:pPr>
        <w:pStyle w:val="Aufzhlungszeichen"/>
        <w:numPr>
          <w:ilvl w:val="0"/>
          <w:numId w:val="0"/>
        </w:numPr>
        <w:rPr>
          <w:lang w:val="de-AT"/>
        </w:rPr>
      </w:pPr>
    </w:p>
    <w:p w:rsidR="00506E2A" w:rsidRPr="005C377C" w:rsidRDefault="00506E2A" w:rsidP="00506E2A">
      <w:pPr>
        <w:rPr>
          <w:rStyle w:val="SchwacherVerweis"/>
        </w:rPr>
      </w:pPr>
      <w:r>
        <w:rPr>
          <w:rStyle w:val="SchwacherVerweis"/>
        </w:rPr>
        <w:t>Grafik 40: Weitergehende Vorsorgen nach Einrichtungsart</w:t>
      </w:r>
    </w:p>
    <w:p w:rsidR="00506E2A" w:rsidRDefault="00506E2A" w:rsidP="00506E2A">
      <w:pPr>
        <w:rPr>
          <w:lang w:val="de-AT"/>
        </w:rPr>
      </w:pPr>
      <w:r w:rsidRPr="00E547DC">
        <w:rPr>
          <w:noProof/>
          <w:lang w:val="de-AT" w:eastAsia="de-AT"/>
        </w:rPr>
        <w:drawing>
          <wp:inline distT="0" distB="0" distL="0" distR="0">
            <wp:extent cx="5572125" cy="3286125"/>
            <wp:effectExtent l="19050" t="0" r="9525" b="0"/>
            <wp:docPr id="19" name="Diagramm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965106" w:rsidRDefault="00F56C08" w:rsidP="00965106">
      <w:pPr>
        <w:pStyle w:val="Aufzhlungszeichen"/>
        <w:numPr>
          <w:ilvl w:val="0"/>
          <w:numId w:val="0"/>
        </w:numPr>
        <w:rPr>
          <w:lang w:val="de-AT"/>
        </w:rPr>
      </w:pPr>
      <w:r>
        <w:rPr>
          <w:lang w:val="de-AT"/>
        </w:rPr>
        <w:br/>
      </w:r>
      <w:r w:rsidR="00965106">
        <w:rPr>
          <w:lang w:val="de-AT"/>
        </w:rPr>
        <w:t>Die differenzierte Auswertung der Verteilung der Antworten nach den vertretenen Einrichtu</w:t>
      </w:r>
      <w:r w:rsidR="00965106">
        <w:rPr>
          <w:lang w:val="de-AT"/>
        </w:rPr>
        <w:t>n</w:t>
      </w:r>
      <w:r w:rsidR="00965106">
        <w:rPr>
          <w:lang w:val="de-AT"/>
        </w:rPr>
        <w:t>gen zeigt, dass diese ein weitgehend analoges Muster aufweisen.</w:t>
      </w:r>
    </w:p>
    <w:p w:rsidR="00250055" w:rsidRDefault="008E50FB" w:rsidP="00506E2A">
      <w:pPr>
        <w:rPr>
          <w:lang w:val="de-AT"/>
        </w:rPr>
      </w:pPr>
      <w:r>
        <w:rPr>
          <w:lang w:val="de-AT"/>
        </w:rPr>
        <w:t>Den ersten Rang nimmt bei allen vier Einrichtungskategorien die Frage der Ausbildung der SachbearbeiterInnen ein. An zweiter Stelle folgt die Einstellung von SpezialistInnen, während die Alternative der positiven Diskriminierung in allen Sektoren eine deutlich geringere Zusti</w:t>
      </w:r>
      <w:r>
        <w:rPr>
          <w:lang w:val="de-AT"/>
        </w:rPr>
        <w:t>m</w:t>
      </w:r>
      <w:r>
        <w:rPr>
          <w:lang w:val="de-AT"/>
        </w:rPr>
        <w:t>mung findet.</w:t>
      </w:r>
      <w:r>
        <w:rPr>
          <w:lang w:val="de-AT"/>
        </w:rPr>
        <w:br/>
      </w:r>
    </w:p>
    <w:p w:rsidR="00007278" w:rsidRDefault="00007278">
      <w:pPr>
        <w:spacing w:before="180" w:after="240" w:line="336" w:lineRule="auto"/>
        <w:jc w:val="center"/>
        <w:rPr>
          <w:u w:val="single"/>
          <w:lang w:val="de-AT"/>
        </w:rPr>
      </w:pPr>
      <w:r>
        <w:rPr>
          <w:u w:val="single"/>
          <w:lang w:val="de-AT"/>
        </w:rPr>
        <w:br w:type="page"/>
      </w:r>
    </w:p>
    <w:p w:rsidR="00F56C08" w:rsidRPr="00F56C08" w:rsidRDefault="00F56C08" w:rsidP="00506E2A">
      <w:pPr>
        <w:rPr>
          <w:u w:val="single"/>
          <w:lang w:val="de-AT"/>
        </w:rPr>
      </w:pPr>
      <w:r w:rsidRPr="00F56C08">
        <w:rPr>
          <w:u w:val="single"/>
          <w:lang w:val="de-AT"/>
        </w:rPr>
        <w:lastRenderedPageBreak/>
        <w:t>5.4.2</w:t>
      </w:r>
      <w:r w:rsidRPr="00F56C08">
        <w:rPr>
          <w:u w:val="single"/>
          <w:lang w:val="de-AT"/>
        </w:rPr>
        <w:tab/>
        <w:t>Überlegungen und Perspektiven für regionale Maßnahmenschwerpunkte</w:t>
      </w:r>
      <w:r>
        <w:rPr>
          <w:u w:val="single"/>
          <w:lang w:val="de-AT"/>
        </w:rPr>
        <w:br/>
      </w:r>
    </w:p>
    <w:p w:rsidR="00965106" w:rsidRDefault="00F56C08" w:rsidP="00506E2A">
      <w:r w:rsidRPr="00F56C08">
        <w:t>In Interviews und Gespräch</w:t>
      </w:r>
      <w:r>
        <w:t xml:space="preserve">srunden wurden auch Überlegungen sowie konkrete Vorhaben für weitere Maßnahmenentwicklungen thematisiert und diskutiert. Die nachstehenden Auszüge geben einen </w:t>
      </w:r>
      <w:r w:rsidR="00B2556F">
        <w:t>Überblick über konkrete Vorhaben respektive auf regionaler / kommunaler Ebene eingeleiteter Entwicklungen.</w:t>
      </w:r>
      <w:r w:rsidR="00B2556F">
        <w:br/>
      </w:r>
    </w:p>
    <w:p w:rsidR="00B2556F" w:rsidRPr="007D7FBF" w:rsidRDefault="00B2556F" w:rsidP="00B2556F">
      <w:pPr>
        <w:rPr>
          <w:u w:val="single"/>
          <w:lang w:val="de-AT"/>
        </w:rPr>
      </w:pPr>
      <w:r w:rsidRPr="007D7FBF">
        <w:rPr>
          <w:u w:val="single"/>
          <w:lang w:val="de-AT"/>
        </w:rPr>
        <w:t>Fallbeispiel Bregenz</w:t>
      </w:r>
    </w:p>
    <w:tbl>
      <w:tblPr>
        <w:tblStyle w:val="Tabellengitternetz"/>
        <w:tblW w:w="0" w:type="auto"/>
        <w:tblLook w:val="04A0"/>
      </w:tblPr>
      <w:tblGrid>
        <w:gridCol w:w="9288"/>
      </w:tblGrid>
      <w:tr w:rsidR="00B2556F" w:rsidRPr="00DA5171" w:rsidTr="008E6F36">
        <w:tc>
          <w:tcPr>
            <w:tcW w:w="9288" w:type="dxa"/>
          </w:tcPr>
          <w:p w:rsidR="00587957" w:rsidRDefault="00B2556F" w:rsidP="00044AF0">
            <w:pPr>
              <w:spacing w:beforeLines="40" w:afterLines="40" w:line="240" w:lineRule="auto"/>
              <w:jc w:val="left"/>
              <w:rPr>
                <w:i/>
                <w:sz w:val="20"/>
                <w:szCs w:val="24"/>
                <w:lang w:val="de-AT"/>
              </w:rPr>
            </w:pPr>
            <w:r w:rsidRPr="00B96626">
              <w:rPr>
                <w:i/>
                <w:sz w:val="20"/>
                <w:lang w:val="de-AT"/>
              </w:rPr>
              <w:t xml:space="preserve">Überarbeitung der Vergabekriterien, </w:t>
            </w:r>
            <w:r>
              <w:rPr>
                <w:i/>
                <w:sz w:val="20"/>
                <w:lang w:val="de-AT"/>
              </w:rPr>
              <w:t>insbesondere</w:t>
            </w:r>
            <w:r w:rsidRPr="00B96626">
              <w:rPr>
                <w:i/>
                <w:sz w:val="20"/>
                <w:lang w:val="de-AT"/>
              </w:rPr>
              <w:t xml:space="preserve"> </w:t>
            </w:r>
            <w:r w:rsidR="00F73A16">
              <w:rPr>
                <w:i/>
                <w:sz w:val="20"/>
                <w:lang w:val="de-AT"/>
              </w:rPr>
              <w:t>„</w:t>
            </w:r>
            <w:r w:rsidRPr="00B96626">
              <w:rPr>
                <w:i/>
                <w:sz w:val="20"/>
                <w:lang w:val="de-AT"/>
              </w:rPr>
              <w:t>weiche</w:t>
            </w:r>
            <w:r w:rsidR="00F73A16">
              <w:rPr>
                <w:i/>
                <w:sz w:val="20"/>
                <w:lang w:val="de-AT"/>
              </w:rPr>
              <w:t>“</w:t>
            </w:r>
            <w:r w:rsidRPr="00B96626">
              <w:rPr>
                <w:i/>
                <w:sz w:val="20"/>
                <w:lang w:val="de-AT"/>
              </w:rPr>
              <w:t xml:space="preserve"> Faktoren sollen objektivierbarer werden</w:t>
            </w:r>
          </w:p>
          <w:p w:rsidR="00587957" w:rsidRDefault="00B2556F" w:rsidP="00044AF0">
            <w:pPr>
              <w:spacing w:beforeLines="40" w:afterLines="40" w:line="240" w:lineRule="auto"/>
              <w:jc w:val="right"/>
              <w:rPr>
                <w:i/>
                <w:sz w:val="20"/>
                <w:szCs w:val="24"/>
                <w:lang w:val="de-AT"/>
              </w:rPr>
            </w:pPr>
            <w:r>
              <w:rPr>
                <w:i/>
                <w:sz w:val="20"/>
              </w:rPr>
              <w:t>Interview Sozial-/Wohnungsverwaltung</w:t>
            </w:r>
            <w:r w:rsidRPr="00B96626">
              <w:rPr>
                <w:i/>
                <w:sz w:val="20"/>
                <w:lang w:val="de-AT"/>
              </w:rPr>
              <w:t xml:space="preserve"> </w:t>
            </w:r>
          </w:p>
          <w:p w:rsidR="001E30B4" w:rsidRDefault="00B2556F" w:rsidP="00044AF0">
            <w:pPr>
              <w:spacing w:beforeLines="40" w:afterLines="40" w:line="240" w:lineRule="auto"/>
              <w:jc w:val="left"/>
              <w:rPr>
                <w:i/>
                <w:sz w:val="20"/>
                <w:szCs w:val="24"/>
              </w:rPr>
            </w:pPr>
            <w:r w:rsidRPr="00B96626">
              <w:rPr>
                <w:i/>
                <w:sz w:val="20"/>
                <w:lang w:val="de-AT"/>
              </w:rPr>
              <w:t>Der Trend soll in Richtung Ausbau der Mitsprache- und Mitwirkungsmöglichkeiten gehen; u.a. sollten die Einkommensgrenzen flexibler formuliert werden, damit es mehr Spielräume im Kontext der hard facts und Berücksichtigung von weichen Kriterien in der Vergabe geben kann. Grundlage für die Ve</w:t>
            </w:r>
            <w:r w:rsidRPr="00B96626">
              <w:rPr>
                <w:i/>
                <w:sz w:val="20"/>
                <w:lang w:val="de-AT"/>
              </w:rPr>
              <w:t>r</w:t>
            </w:r>
            <w:r w:rsidRPr="00B96626">
              <w:rPr>
                <w:i/>
                <w:sz w:val="20"/>
                <w:lang w:val="de-AT"/>
              </w:rPr>
              <w:t>gabeentscheidung soll weiterhin und verstärkt das persönliche Gespräch sein – aber nicht einmischend sondern unterstützend gestaltet.</w:t>
            </w:r>
            <w:r w:rsidR="00007278">
              <w:rPr>
                <w:i/>
                <w:sz w:val="20"/>
                <w:lang w:val="de-AT"/>
              </w:rPr>
              <w:t xml:space="preserve"> </w:t>
            </w:r>
            <w:r w:rsidRPr="00B96626">
              <w:rPr>
                <w:i/>
                <w:sz w:val="20"/>
                <w:lang w:val="de-AT"/>
              </w:rPr>
              <w:t>Eine wichtige Aufgabe für die nähere Zukunft wird in der Verbess</w:t>
            </w:r>
            <w:r w:rsidRPr="00B96626">
              <w:rPr>
                <w:i/>
                <w:sz w:val="20"/>
                <w:lang w:val="de-AT"/>
              </w:rPr>
              <w:t>e</w:t>
            </w:r>
            <w:r w:rsidRPr="00B96626">
              <w:rPr>
                <w:i/>
                <w:sz w:val="20"/>
                <w:lang w:val="de-AT"/>
              </w:rPr>
              <w:t>rung des Informationsstandes und des Grundwissens über die Rahmenbedingungen des Zugangs zu einer geförderten Wohnung in Bregenz gesehen.</w:t>
            </w:r>
          </w:p>
          <w:p w:rsidR="001E30B4" w:rsidRDefault="00B2556F" w:rsidP="00044AF0">
            <w:pPr>
              <w:spacing w:beforeLines="40" w:afterLines="40" w:line="240" w:lineRule="auto"/>
              <w:jc w:val="right"/>
              <w:rPr>
                <w:i/>
                <w:sz w:val="20"/>
                <w:szCs w:val="24"/>
              </w:rPr>
            </w:pPr>
            <w:r>
              <w:rPr>
                <w:i/>
                <w:sz w:val="20"/>
              </w:rPr>
              <w:t xml:space="preserve">Gesprächsrunde mit ExpertInnen </w:t>
            </w:r>
          </w:p>
        </w:tc>
      </w:tr>
    </w:tbl>
    <w:p w:rsidR="00B2556F" w:rsidRPr="00DF5BD8" w:rsidRDefault="00B2556F" w:rsidP="00B2556F"/>
    <w:p w:rsidR="003D18CC" w:rsidRDefault="003D18CC" w:rsidP="00B2556F">
      <w:pPr>
        <w:rPr>
          <w:u w:val="single"/>
          <w:lang w:val="de-AT"/>
        </w:rPr>
      </w:pPr>
      <w:r>
        <w:rPr>
          <w:u w:val="single"/>
          <w:lang w:val="de-AT"/>
        </w:rPr>
        <w:t>Fallbeispiel Linz</w:t>
      </w:r>
      <w:r w:rsidR="00F73A16">
        <w:rPr>
          <w:u w:val="single"/>
          <w:lang w:val="de-AT"/>
        </w:rPr>
        <w:t>/ OÖ</w:t>
      </w:r>
    </w:p>
    <w:tbl>
      <w:tblPr>
        <w:tblStyle w:val="Tabellengitternetz"/>
        <w:tblW w:w="0" w:type="auto"/>
        <w:tblLook w:val="04A0"/>
      </w:tblPr>
      <w:tblGrid>
        <w:gridCol w:w="9288"/>
      </w:tblGrid>
      <w:tr w:rsidR="00AA1AFC" w:rsidRPr="00DA5171" w:rsidTr="00D32D65">
        <w:tc>
          <w:tcPr>
            <w:tcW w:w="9288" w:type="dxa"/>
          </w:tcPr>
          <w:p w:rsidR="00AA1AFC" w:rsidRPr="008F2F9A" w:rsidRDefault="00724CAF" w:rsidP="00D32D65">
            <w:pPr>
              <w:spacing w:before="60" w:after="60" w:line="240" w:lineRule="auto"/>
              <w:jc w:val="left"/>
              <w:rPr>
                <w:rFonts w:cs="Tahoma"/>
                <w:i/>
                <w:sz w:val="20"/>
              </w:rPr>
            </w:pPr>
            <w:r>
              <w:rPr>
                <w:rFonts w:cs="Tahoma"/>
                <w:i/>
                <w:sz w:val="20"/>
              </w:rPr>
              <w:t>Etwa alle sechs Monate findet in einer Genossenschaft ein Aktualisierungstermin über laufende Antr</w:t>
            </w:r>
            <w:r>
              <w:rPr>
                <w:rFonts w:cs="Tahoma"/>
                <w:i/>
                <w:sz w:val="20"/>
              </w:rPr>
              <w:t>ä</w:t>
            </w:r>
            <w:r>
              <w:rPr>
                <w:rFonts w:cs="Tahoma"/>
                <w:i/>
                <w:sz w:val="20"/>
              </w:rPr>
              <w:t>ge statt, an denen wer aus der Wohnbetreuung teilnimmt. Dabei werden dann aktuelle Perspektiven und Bedarfslagen besprochen und die weitere Vorgangsweise vereinbart, z.B. Überschreibung des Hauptmietvertrags, damit eine Übersiedlung vermieden werden kann.</w:t>
            </w:r>
          </w:p>
          <w:p w:rsidR="00AA1AFC" w:rsidRPr="00C12F9D" w:rsidRDefault="00AA1AFC" w:rsidP="00D32D65">
            <w:pPr>
              <w:spacing w:line="240" w:lineRule="auto"/>
              <w:jc w:val="right"/>
              <w:rPr>
                <w:i/>
                <w:sz w:val="20"/>
                <w:lang w:val="de-AT"/>
              </w:rPr>
            </w:pPr>
            <w:r>
              <w:rPr>
                <w:i/>
                <w:sz w:val="20"/>
                <w:lang w:val="de-AT"/>
              </w:rPr>
              <w:t>Interview Wohnbetreuung</w:t>
            </w:r>
          </w:p>
        </w:tc>
      </w:tr>
    </w:tbl>
    <w:p w:rsidR="00AA1AFC" w:rsidRDefault="00AA1AFC" w:rsidP="00AA1AFC">
      <w:pPr>
        <w:rPr>
          <w:u w:val="single"/>
          <w:lang w:val="de-AT"/>
        </w:rPr>
      </w:pPr>
    </w:p>
    <w:p w:rsidR="00B2556F" w:rsidRPr="007D7FBF" w:rsidRDefault="00B2556F" w:rsidP="00B2556F">
      <w:pPr>
        <w:rPr>
          <w:u w:val="single"/>
          <w:lang w:val="de-AT"/>
        </w:rPr>
      </w:pPr>
      <w:r w:rsidRPr="007D7FBF">
        <w:rPr>
          <w:u w:val="single"/>
          <w:lang w:val="de-AT"/>
        </w:rPr>
        <w:t>Fallbeispiel Niederösterreich</w:t>
      </w:r>
    </w:p>
    <w:tbl>
      <w:tblPr>
        <w:tblStyle w:val="Tabellengitternetz"/>
        <w:tblW w:w="0" w:type="auto"/>
        <w:tblLook w:val="04A0"/>
      </w:tblPr>
      <w:tblGrid>
        <w:gridCol w:w="9288"/>
      </w:tblGrid>
      <w:tr w:rsidR="00B2556F" w:rsidRPr="00DA5171" w:rsidTr="008E6F36">
        <w:tc>
          <w:tcPr>
            <w:tcW w:w="9288" w:type="dxa"/>
          </w:tcPr>
          <w:p w:rsidR="00B2556F" w:rsidRDefault="008F2F9A" w:rsidP="00AA1AFC">
            <w:pPr>
              <w:spacing w:before="60" w:after="60" w:line="240" w:lineRule="auto"/>
              <w:jc w:val="left"/>
              <w:rPr>
                <w:rFonts w:cs="Tahoma"/>
                <w:i/>
                <w:sz w:val="20"/>
              </w:rPr>
            </w:pPr>
            <w:r w:rsidRPr="008F2F9A">
              <w:rPr>
                <w:rFonts w:cs="Tahoma"/>
                <w:i/>
                <w:sz w:val="20"/>
              </w:rPr>
              <w:t xml:space="preserve">Über die Wohnassistenz </w:t>
            </w:r>
            <w:r>
              <w:rPr>
                <w:rFonts w:cs="Tahoma"/>
                <w:i/>
                <w:sz w:val="20"/>
              </w:rPr>
              <w:t>bieten wir aktuell 200 Haushalte</w:t>
            </w:r>
            <w:r w:rsidR="008E6F36">
              <w:rPr>
                <w:rFonts w:cs="Tahoma"/>
                <w:i/>
                <w:sz w:val="20"/>
              </w:rPr>
              <w:t>n</w:t>
            </w:r>
            <w:r>
              <w:rPr>
                <w:rFonts w:cs="Tahoma"/>
                <w:i/>
                <w:sz w:val="20"/>
              </w:rPr>
              <w:t xml:space="preserve"> die Möglichkeit, ohne große finanzielle Ei</w:t>
            </w:r>
            <w:r>
              <w:rPr>
                <w:rFonts w:cs="Tahoma"/>
                <w:i/>
                <w:sz w:val="20"/>
              </w:rPr>
              <w:t>n</w:t>
            </w:r>
            <w:r>
              <w:rPr>
                <w:rFonts w:cs="Tahoma"/>
                <w:i/>
                <w:sz w:val="20"/>
              </w:rPr>
              <w:t>stiegsschwelle in ein leistbares Wohnverhältnis einzutreten</w:t>
            </w:r>
            <w:r w:rsidR="008E6F36">
              <w:rPr>
                <w:rFonts w:cs="Tahoma"/>
                <w:i/>
                <w:sz w:val="20"/>
              </w:rPr>
              <w:t>,</w:t>
            </w:r>
            <w:r>
              <w:rPr>
                <w:rFonts w:cs="Tahoma"/>
                <w:i/>
                <w:sz w:val="20"/>
              </w:rPr>
              <w:t xml:space="preserve"> insgesamt würden Tausende dieses Ang</w:t>
            </w:r>
            <w:r>
              <w:rPr>
                <w:rFonts w:cs="Tahoma"/>
                <w:i/>
                <w:sz w:val="20"/>
              </w:rPr>
              <w:t>e</w:t>
            </w:r>
            <w:r>
              <w:rPr>
                <w:rFonts w:cs="Tahoma"/>
                <w:i/>
                <w:sz w:val="20"/>
              </w:rPr>
              <w:t xml:space="preserve">bot brauchen. Es wäre nun aber unsinnig, das ganze Wohnbauförderungssystem auf dieser Krücke </w:t>
            </w:r>
            <w:r w:rsidR="003D18CC">
              <w:rPr>
                <w:rFonts w:cs="Tahoma"/>
                <w:i/>
                <w:sz w:val="20"/>
              </w:rPr>
              <w:t xml:space="preserve">aus dem Kontext der Armutsbekämpfung </w:t>
            </w:r>
            <w:r>
              <w:rPr>
                <w:rFonts w:cs="Tahoma"/>
                <w:i/>
                <w:sz w:val="20"/>
              </w:rPr>
              <w:t>aufzubauen. Wichtiger wäre es, durch systematische Ma</w:t>
            </w:r>
            <w:r>
              <w:rPr>
                <w:rFonts w:cs="Tahoma"/>
                <w:i/>
                <w:sz w:val="20"/>
              </w:rPr>
              <w:t>ß</w:t>
            </w:r>
            <w:r>
              <w:rPr>
                <w:rFonts w:cs="Tahoma"/>
                <w:i/>
                <w:sz w:val="20"/>
              </w:rPr>
              <w:t>nahmen, z.B. im Bereich der Baulandausweisung und –widmung</w:t>
            </w:r>
            <w:r w:rsidR="000A0721">
              <w:rPr>
                <w:rFonts w:cs="Tahoma"/>
                <w:i/>
                <w:sz w:val="20"/>
              </w:rPr>
              <w:t>, dämmenden Einfluss auf die Koste</w:t>
            </w:r>
            <w:r w:rsidR="000A0721">
              <w:rPr>
                <w:rFonts w:cs="Tahoma"/>
                <w:i/>
                <w:sz w:val="20"/>
              </w:rPr>
              <w:t>n</w:t>
            </w:r>
            <w:r w:rsidR="000A0721">
              <w:rPr>
                <w:rFonts w:cs="Tahoma"/>
                <w:i/>
                <w:sz w:val="20"/>
              </w:rPr>
              <w:t>entwicklung im Wohnbereich zu nehmen</w:t>
            </w:r>
            <w:r w:rsidR="003D18CC">
              <w:rPr>
                <w:rFonts w:cs="Tahoma"/>
                <w:i/>
                <w:sz w:val="20"/>
              </w:rPr>
              <w:t xml:space="preserve"> und </w:t>
            </w:r>
            <w:r w:rsidR="00AA1AFC">
              <w:rPr>
                <w:rFonts w:cs="Tahoma"/>
                <w:i/>
                <w:sz w:val="20"/>
              </w:rPr>
              <w:t>leistbare</w:t>
            </w:r>
            <w:r w:rsidR="003D18CC">
              <w:rPr>
                <w:rFonts w:cs="Tahoma"/>
                <w:i/>
                <w:sz w:val="20"/>
              </w:rPr>
              <w:t xml:space="preserve"> </w:t>
            </w:r>
            <w:r w:rsidR="00AA1AFC">
              <w:rPr>
                <w:rFonts w:cs="Tahoma"/>
                <w:i/>
                <w:sz w:val="20"/>
              </w:rPr>
              <w:t xml:space="preserve">Angebote auf dem regulären </w:t>
            </w:r>
            <w:r w:rsidR="003D18CC">
              <w:rPr>
                <w:rFonts w:cs="Tahoma"/>
                <w:i/>
                <w:sz w:val="20"/>
              </w:rPr>
              <w:t>Wohnungsmarkt sicherzustellen</w:t>
            </w:r>
            <w:r w:rsidR="000A0721">
              <w:rPr>
                <w:rFonts w:cs="Tahoma"/>
                <w:i/>
                <w:sz w:val="20"/>
              </w:rPr>
              <w:t xml:space="preserve">. Gerade bei der </w:t>
            </w:r>
            <w:r w:rsidR="003D18CC">
              <w:rPr>
                <w:rFonts w:cs="Tahoma"/>
                <w:i/>
                <w:sz w:val="20"/>
              </w:rPr>
              <w:t xml:space="preserve">Umwidmung </w:t>
            </w:r>
            <w:r w:rsidR="000A0721">
              <w:rPr>
                <w:rFonts w:cs="Tahoma"/>
                <w:i/>
                <w:sz w:val="20"/>
              </w:rPr>
              <w:t>von Grünland auf Bauland könnte man da einiges „Grun</w:t>
            </w:r>
            <w:r w:rsidR="000A0721">
              <w:rPr>
                <w:rFonts w:cs="Tahoma"/>
                <w:i/>
                <w:sz w:val="20"/>
              </w:rPr>
              <w:t>d</w:t>
            </w:r>
            <w:r w:rsidR="000A0721">
              <w:rPr>
                <w:rFonts w:cs="Tahoma"/>
                <w:i/>
                <w:sz w:val="20"/>
              </w:rPr>
              <w:t xml:space="preserve">legen“ (im wahrsten Sinn des Wortes). </w:t>
            </w:r>
          </w:p>
          <w:p w:rsidR="00AA1AFC" w:rsidRDefault="00AA1AFC" w:rsidP="00AA1AFC">
            <w:pPr>
              <w:spacing w:before="60" w:after="60" w:line="240" w:lineRule="auto"/>
              <w:jc w:val="left"/>
              <w:rPr>
                <w:rFonts w:cs="Tahoma"/>
                <w:i/>
                <w:sz w:val="20"/>
              </w:rPr>
            </w:pPr>
            <w:r>
              <w:rPr>
                <w:rFonts w:cs="Tahoma"/>
                <w:i/>
                <w:sz w:val="20"/>
              </w:rPr>
              <w:t>Ich glaube, dass die Wohnassistenz ein Good-Practice-Beispiel dafür ist, die Wohneintrit</w:t>
            </w:r>
            <w:r w:rsidR="003F7C1F">
              <w:rPr>
                <w:rFonts w:cs="Tahoma"/>
                <w:i/>
                <w:sz w:val="20"/>
              </w:rPr>
              <w:t>t</w:t>
            </w:r>
            <w:r>
              <w:rPr>
                <w:rFonts w:cs="Tahoma"/>
                <w:i/>
                <w:sz w:val="20"/>
              </w:rPr>
              <w:t xml:space="preserve">sschwelle zu senken. Ziel wäre es, dass wir aus der Bittstellerposition noch etwas herauskommen und von den Genossenschaften kontaktiert werden – als Service sozusagen. Das ist unsere Zukunft. Dann sind wir auch nicht mehr die, die betteln, sondern die was anbieten. </w:t>
            </w:r>
          </w:p>
          <w:p w:rsidR="00AA1AFC" w:rsidRPr="008F2F9A" w:rsidRDefault="00AA1AFC" w:rsidP="00AA1AFC">
            <w:pPr>
              <w:spacing w:before="60" w:after="60" w:line="240" w:lineRule="auto"/>
              <w:jc w:val="left"/>
              <w:rPr>
                <w:rFonts w:cs="Tahoma"/>
                <w:i/>
                <w:sz w:val="20"/>
              </w:rPr>
            </w:pPr>
            <w:r>
              <w:rPr>
                <w:rFonts w:cs="Tahoma"/>
                <w:i/>
                <w:sz w:val="20"/>
              </w:rPr>
              <w:t>Voraussetzung dafür wären sicherlich vertrauensbildende Maßnahmen, damit die Genossenschaften sich darauf einlassen. Sonst bleibt es so, dass jede ihr eigenes Süppchen kocht und alles so bleibt, wie sie es gewohnt sind.</w:t>
            </w:r>
          </w:p>
          <w:p w:rsidR="00B2556F" w:rsidRPr="00C12F9D" w:rsidRDefault="008F2F9A" w:rsidP="00AA1AFC">
            <w:pPr>
              <w:spacing w:before="60" w:after="60" w:line="240" w:lineRule="auto"/>
              <w:jc w:val="right"/>
              <w:rPr>
                <w:i/>
                <w:sz w:val="20"/>
                <w:lang w:val="de-AT"/>
              </w:rPr>
            </w:pPr>
            <w:r>
              <w:rPr>
                <w:i/>
                <w:sz w:val="20"/>
                <w:lang w:val="de-AT"/>
              </w:rPr>
              <w:t>Interview Wohnbetreuung</w:t>
            </w:r>
          </w:p>
        </w:tc>
      </w:tr>
    </w:tbl>
    <w:p w:rsidR="00B2556F" w:rsidRPr="00C12F9D" w:rsidRDefault="00B2556F" w:rsidP="00B2556F"/>
    <w:p w:rsidR="00B2556F" w:rsidRPr="007D7FBF" w:rsidRDefault="00B2556F" w:rsidP="00B2556F">
      <w:pPr>
        <w:rPr>
          <w:u w:val="single"/>
          <w:lang w:val="de-AT"/>
        </w:rPr>
      </w:pPr>
      <w:r w:rsidRPr="007D7FBF">
        <w:rPr>
          <w:u w:val="single"/>
          <w:lang w:val="de-AT"/>
        </w:rPr>
        <w:t>Fallbeispiel Tirol</w:t>
      </w:r>
    </w:p>
    <w:tbl>
      <w:tblPr>
        <w:tblStyle w:val="Tabellengitternetz"/>
        <w:tblW w:w="0" w:type="auto"/>
        <w:tblLook w:val="04A0"/>
      </w:tblPr>
      <w:tblGrid>
        <w:gridCol w:w="9288"/>
      </w:tblGrid>
      <w:tr w:rsidR="00B2556F" w:rsidRPr="00DA5171" w:rsidTr="008E6F36">
        <w:tc>
          <w:tcPr>
            <w:tcW w:w="9288" w:type="dxa"/>
          </w:tcPr>
          <w:p w:rsidR="00587957" w:rsidRDefault="00B2556F" w:rsidP="00044AF0">
            <w:pPr>
              <w:spacing w:beforeLines="40" w:afterLines="40" w:line="240" w:lineRule="auto"/>
              <w:jc w:val="left"/>
              <w:rPr>
                <w:i/>
                <w:sz w:val="20"/>
                <w:szCs w:val="24"/>
              </w:rPr>
            </w:pPr>
            <w:r w:rsidRPr="008A2FA5">
              <w:rPr>
                <w:i/>
                <w:sz w:val="20"/>
              </w:rPr>
              <w:t>Erfahrungsgemäß sind die Entwicklungen im Privatwohnungsbestand / z.B. alte Zinshäuser tendenziell kritisch; hier gibt es keine Leitlinien und Standards für eine integrationsfördernde Durchmischung, aber auch keine Vorsorgen und Kompetenzen für eine Steuerung; hier bräuchte es entsprechende Initiativen für eine bessere Durchmischung und die Förderung von Integration</w:t>
            </w:r>
            <w:r w:rsidR="000A0721">
              <w:rPr>
                <w:i/>
                <w:sz w:val="20"/>
              </w:rPr>
              <w:t>.</w:t>
            </w:r>
          </w:p>
          <w:p w:rsidR="00587957" w:rsidRDefault="00B2556F" w:rsidP="00044AF0">
            <w:pPr>
              <w:spacing w:beforeLines="40" w:afterLines="40" w:line="240" w:lineRule="auto"/>
              <w:jc w:val="left"/>
              <w:rPr>
                <w:i/>
                <w:sz w:val="20"/>
                <w:szCs w:val="24"/>
              </w:rPr>
            </w:pPr>
            <w:r>
              <w:rPr>
                <w:i/>
                <w:sz w:val="20"/>
              </w:rPr>
              <w:t>Die Förderung von Integration ist allem voran ein städtisches Problem, dafür werden spezielle Vorg</w:t>
            </w:r>
            <w:r>
              <w:rPr>
                <w:i/>
                <w:sz w:val="20"/>
              </w:rPr>
              <w:t>a</w:t>
            </w:r>
            <w:r>
              <w:rPr>
                <w:i/>
                <w:sz w:val="20"/>
              </w:rPr>
              <w:t>ben und strukturelle Vorsorgen benötigt. Auf Perspektive muss die Wohnpolitik des Landes auf diese Anforderungen reagieren und überörtliche / regionale Schwerpunktprogramme etc. entwickeln und umsetzen</w:t>
            </w:r>
            <w:r w:rsidR="000A0721">
              <w:rPr>
                <w:i/>
                <w:sz w:val="20"/>
              </w:rPr>
              <w:t>.</w:t>
            </w:r>
          </w:p>
          <w:p w:rsidR="001E30B4" w:rsidRDefault="00B2556F" w:rsidP="00044AF0">
            <w:pPr>
              <w:spacing w:beforeLines="40" w:afterLines="40" w:line="240" w:lineRule="auto"/>
              <w:ind w:left="360"/>
              <w:jc w:val="right"/>
              <w:rPr>
                <w:i/>
                <w:sz w:val="20"/>
                <w:szCs w:val="24"/>
              </w:rPr>
            </w:pPr>
            <w:r>
              <w:rPr>
                <w:i/>
                <w:sz w:val="20"/>
              </w:rPr>
              <w:t>Interview Wohnungsvergabe</w:t>
            </w:r>
          </w:p>
        </w:tc>
      </w:tr>
    </w:tbl>
    <w:p w:rsidR="00B2556F" w:rsidRPr="00C12F9D" w:rsidRDefault="00B2556F" w:rsidP="00B2556F"/>
    <w:p w:rsidR="00B2556F" w:rsidRPr="007D7FBF" w:rsidRDefault="00B2556F" w:rsidP="00B2556F">
      <w:pPr>
        <w:rPr>
          <w:u w:val="single"/>
          <w:lang w:val="de-AT"/>
        </w:rPr>
      </w:pPr>
      <w:r w:rsidRPr="007D7FBF">
        <w:rPr>
          <w:u w:val="single"/>
          <w:lang w:val="de-AT"/>
        </w:rPr>
        <w:t>Fallbeispiel Wien</w:t>
      </w:r>
    </w:p>
    <w:p w:rsidR="00587957" w:rsidRDefault="00B2556F" w:rsidP="00044AF0">
      <w:pPr>
        <w:pBdr>
          <w:top w:val="single" w:sz="4" w:space="1" w:color="auto"/>
          <w:left w:val="single" w:sz="4" w:space="4" w:color="auto"/>
          <w:bottom w:val="single" w:sz="4" w:space="1" w:color="auto"/>
          <w:right w:val="single" w:sz="4" w:space="4" w:color="auto"/>
        </w:pBdr>
        <w:spacing w:beforeLines="40" w:afterLines="40" w:line="240" w:lineRule="auto"/>
        <w:rPr>
          <w:i/>
          <w:sz w:val="20"/>
          <w:lang w:val="de-AT"/>
        </w:rPr>
      </w:pPr>
      <w:r w:rsidRPr="00182408">
        <w:rPr>
          <w:i/>
          <w:sz w:val="20"/>
          <w:lang w:val="de-AT"/>
        </w:rPr>
        <w:t>Bei der Vergabe von Gemeindewohnungen wird auch darauf geachtet, wie es um den Beratungs- und Unterstützungsbedarf steht; da geht es z.B. um Fragen der (Berufs)Bildung oder des Zugangs zu E</w:t>
      </w:r>
      <w:r w:rsidRPr="00182408">
        <w:rPr>
          <w:i/>
          <w:sz w:val="20"/>
          <w:lang w:val="de-AT"/>
        </w:rPr>
        <w:t>r</w:t>
      </w:r>
      <w:r w:rsidRPr="00182408">
        <w:rPr>
          <w:i/>
          <w:sz w:val="20"/>
          <w:lang w:val="de-AT"/>
        </w:rPr>
        <w:t>werbstätigkeit etc., die im Vorfeld der Wohnungszuweisung zu klären wären</w:t>
      </w:r>
    </w:p>
    <w:p w:rsidR="00587957" w:rsidRDefault="00B2556F" w:rsidP="00044AF0">
      <w:pPr>
        <w:pBdr>
          <w:top w:val="single" w:sz="4" w:space="1" w:color="auto"/>
          <w:left w:val="single" w:sz="4" w:space="4" w:color="auto"/>
          <w:bottom w:val="single" w:sz="4" w:space="1" w:color="auto"/>
          <w:right w:val="single" w:sz="4" w:space="4" w:color="auto"/>
        </w:pBdr>
        <w:spacing w:beforeLines="40" w:afterLines="40" w:line="240" w:lineRule="auto"/>
        <w:rPr>
          <w:i/>
          <w:sz w:val="20"/>
          <w:lang w:val="de-AT"/>
        </w:rPr>
      </w:pPr>
      <w:r w:rsidRPr="00182408">
        <w:rPr>
          <w:i/>
          <w:sz w:val="20"/>
          <w:lang w:val="de-AT"/>
        </w:rPr>
        <w:t>Nachholbedarf besteht hinsichtlich Verbesserungen im Zusammenleben. In Wien gibt es Konzentration aber keine Ghettos. Stadt hat viele Maßnahmen gesetzt, um Viertel und Grätzel zu verändern.</w:t>
      </w:r>
    </w:p>
    <w:p w:rsidR="001E30B4" w:rsidRDefault="00B2556F" w:rsidP="00044AF0">
      <w:pPr>
        <w:pBdr>
          <w:top w:val="single" w:sz="4" w:space="1" w:color="auto"/>
          <w:left w:val="single" w:sz="4" w:space="4" w:color="auto"/>
          <w:bottom w:val="single" w:sz="4" w:space="1" w:color="auto"/>
          <w:right w:val="single" w:sz="4" w:space="4" w:color="auto"/>
        </w:pBdr>
        <w:spacing w:beforeLines="40" w:afterLines="40" w:line="240" w:lineRule="auto"/>
        <w:rPr>
          <w:i/>
          <w:sz w:val="20"/>
          <w:lang w:val="de-AT"/>
        </w:rPr>
      </w:pPr>
      <w:r w:rsidRPr="00182408">
        <w:rPr>
          <w:i/>
          <w:sz w:val="20"/>
          <w:lang w:val="de-AT"/>
        </w:rPr>
        <w:t>Wichtig ist die soziale Mischung; die kann beispielsweise durch Sanierungsmaßnahmen, Dachbodenau</w:t>
      </w:r>
      <w:r w:rsidRPr="00182408">
        <w:rPr>
          <w:i/>
          <w:sz w:val="20"/>
          <w:lang w:val="de-AT"/>
        </w:rPr>
        <w:t>s</w:t>
      </w:r>
      <w:r w:rsidRPr="00182408">
        <w:rPr>
          <w:i/>
          <w:sz w:val="20"/>
          <w:lang w:val="de-AT"/>
        </w:rPr>
        <w:t>bau, Lückenverbauung und gezielte Maßnahmen verbessert werden, um z.B. urbanere Schichten anz</w:t>
      </w:r>
      <w:r w:rsidRPr="00182408">
        <w:rPr>
          <w:i/>
          <w:sz w:val="20"/>
          <w:lang w:val="de-AT"/>
        </w:rPr>
        <w:t>u</w:t>
      </w:r>
      <w:r w:rsidRPr="00182408">
        <w:rPr>
          <w:i/>
          <w:sz w:val="20"/>
          <w:lang w:val="de-AT"/>
        </w:rPr>
        <w:t>sprechen</w:t>
      </w:r>
    </w:p>
    <w:p w:rsidR="001E30B4" w:rsidRDefault="00B2556F" w:rsidP="00044AF0">
      <w:pPr>
        <w:pBdr>
          <w:top w:val="single" w:sz="4" w:space="1" w:color="auto"/>
          <w:left w:val="single" w:sz="4" w:space="4" w:color="auto"/>
          <w:bottom w:val="single" w:sz="4" w:space="1" w:color="auto"/>
          <w:right w:val="single" w:sz="4" w:space="4" w:color="auto"/>
        </w:pBdr>
        <w:spacing w:beforeLines="40" w:afterLines="40" w:line="240" w:lineRule="auto"/>
        <w:jc w:val="right"/>
        <w:rPr>
          <w:i/>
          <w:sz w:val="20"/>
          <w:lang w:val="de-AT"/>
        </w:rPr>
      </w:pPr>
      <w:r>
        <w:rPr>
          <w:i/>
          <w:sz w:val="20"/>
          <w:lang w:val="de-AT"/>
        </w:rPr>
        <w:t>Interview Wohnungsvergabe</w:t>
      </w:r>
    </w:p>
    <w:p w:rsidR="00587957" w:rsidRDefault="00B2556F" w:rsidP="00044AF0">
      <w:pPr>
        <w:pBdr>
          <w:top w:val="single" w:sz="4" w:space="1" w:color="auto"/>
          <w:left w:val="single" w:sz="4" w:space="4" w:color="auto"/>
          <w:bottom w:val="single" w:sz="4" w:space="1" w:color="auto"/>
          <w:right w:val="single" w:sz="4" w:space="4" w:color="auto"/>
        </w:pBdr>
        <w:spacing w:beforeLines="40" w:afterLines="40" w:line="240" w:lineRule="auto"/>
        <w:rPr>
          <w:i/>
          <w:sz w:val="20"/>
          <w:lang w:val="de-AT"/>
        </w:rPr>
      </w:pPr>
      <w:r w:rsidRPr="008A2FA5">
        <w:rPr>
          <w:i/>
          <w:sz w:val="20"/>
          <w:lang w:val="de-AT"/>
        </w:rPr>
        <w:t xml:space="preserve">Im Gemeindebau wohnen </w:t>
      </w:r>
      <w:r w:rsidR="00F73A16">
        <w:rPr>
          <w:i/>
          <w:sz w:val="20"/>
          <w:lang w:val="de-AT"/>
        </w:rPr>
        <w:t xml:space="preserve">auch </w:t>
      </w:r>
      <w:r w:rsidRPr="008A2FA5">
        <w:rPr>
          <w:i/>
          <w:sz w:val="20"/>
          <w:lang w:val="de-AT"/>
        </w:rPr>
        <w:t>relativ einfache Menschen, die nicht so gebildet sind, denen es nicht so gut geht. Hier gibt es Existenzängste und die Neigung, Fremde abzulehnen</w:t>
      </w:r>
      <w:r w:rsidR="000A0721">
        <w:rPr>
          <w:i/>
          <w:sz w:val="20"/>
          <w:lang w:val="de-AT"/>
        </w:rPr>
        <w:t xml:space="preserve">. </w:t>
      </w:r>
      <w:r w:rsidR="000A0721" w:rsidRPr="008A2FA5">
        <w:rPr>
          <w:i/>
          <w:sz w:val="20"/>
          <w:lang w:val="de-AT"/>
        </w:rPr>
        <w:t xml:space="preserve">Hier </w:t>
      </w:r>
      <w:r w:rsidRPr="008A2FA5">
        <w:rPr>
          <w:i/>
          <w:sz w:val="20"/>
          <w:lang w:val="de-AT"/>
        </w:rPr>
        <w:t>geht es vorrangig ums Bauchgefühl und um Projektion von Problemen auf die ‚AusländerInnen‘</w:t>
      </w:r>
      <w:r w:rsidR="000A0721">
        <w:rPr>
          <w:i/>
          <w:sz w:val="20"/>
          <w:lang w:val="de-AT"/>
        </w:rPr>
        <w:t xml:space="preserve">. Das </w:t>
      </w:r>
      <w:r w:rsidRPr="008A2FA5">
        <w:rPr>
          <w:i/>
          <w:sz w:val="20"/>
          <w:lang w:val="de-AT"/>
        </w:rPr>
        <w:t>Problem ist, dass die S</w:t>
      </w:r>
      <w:r>
        <w:rPr>
          <w:i/>
          <w:sz w:val="20"/>
          <w:lang w:val="de-AT"/>
        </w:rPr>
        <w:t>tadt nach dem Start der Notfall</w:t>
      </w:r>
      <w:r w:rsidRPr="008A2FA5">
        <w:rPr>
          <w:i/>
          <w:sz w:val="20"/>
          <w:lang w:val="de-AT"/>
        </w:rPr>
        <w:t>wohnungen relativ spät begleitende Maßnahmen im Gemeindebau g</w:t>
      </w:r>
      <w:r w:rsidRPr="008A2FA5">
        <w:rPr>
          <w:i/>
          <w:sz w:val="20"/>
          <w:lang w:val="de-AT"/>
        </w:rPr>
        <w:t>e</w:t>
      </w:r>
      <w:r w:rsidRPr="008A2FA5">
        <w:rPr>
          <w:i/>
          <w:sz w:val="20"/>
          <w:lang w:val="de-AT"/>
        </w:rPr>
        <w:t>setzt hat.</w:t>
      </w:r>
    </w:p>
    <w:p w:rsidR="00587957" w:rsidRDefault="00B2556F" w:rsidP="00044AF0">
      <w:pPr>
        <w:pBdr>
          <w:top w:val="single" w:sz="4" w:space="1" w:color="auto"/>
          <w:left w:val="single" w:sz="4" w:space="4" w:color="auto"/>
          <w:bottom w:val="single" w:sz="4" w:space="1" w:color="auto"/>
          <w:right w:val="single" w:sz="4" w:space="4" w:color="auto"/>
        </w:pBdr>
        <w:spacing w:beforeLines="40" w:afterLines="40" w:line="240" w:lineRule="auto"/>
        <w:jc w:val="right"/>
        <w:rPr>
          <w:i/>
          <w:sz w:val="20"/>
        </w:rPr>
      </w:pPr>
      <w:r>
        <w:rPr>
          <w:i/>
          <w:sz w:val="20"/>
        </w:rPr>
        <w:t>Interview Soziale Wohnungsvergabe</w:t>
      </w:r>
    </w:p>
    <w:p w:rsidR="001E30B4" w:rsidRDefault="00B2556F" w:rsidP="00044AF0">
      <w:pPr>
        <w:pBdr>
          <w:top w:val="single" w:sz="4" w:space="1" w:color="auto"/>
          <w:left w:val="single" w:sz="4" w:space="4" w:color="auto"/>
          <w:bottom w:val="single" w:sz="4" w:space="1" w:color="auto"/>
          <w:right w:val="single" w:sz="4" w:space="4" w:color="auto"/>
        </w:pBdr>
        <w:spacing w:beforeLines="40" w:afterLines="40" w:line="240" w:lineRule="auto"/>
        <w:rPr>
          <w:i/>
          <w:sz w:val="20"/>
        </w:rPr>
      </w:pPr>
      <w:r w:rsidRPr="008A2FA5">
        <w:rPr>
          <w:i/>
          <w:sz w:val="20"/>
        </w:rPr>
        <w:t xml:space="preserve">Gleichbehandlung am Wohnungsmarkt ist keine ethnische Frage sondern eine soziale. Was bräuchte es: </w:t>
      </w:r>
    </w:p>
    <w:p w:rsidR="001E30B4" w:rsidRDefault="00B2556F" w:rsidP="00044AF0">
      <w:pPr>
        <w:numPr>
          <w:ilvl w:val="0"/>
          <w:numId w:val="10"/>
        </w:numPr>
        <w:pBdr>
          <w:top w:val="single" w:sz="4" w:space="1" w:color="auto"/>
          <w:left w:val="single" w:sz="4" w:space="4" w:color="auto"/>
          <w:bottom w:val="single" w:sz="4" w:space="1" w:color="auto"/>
          <w:right w:val="single" w:sz="4" w:space="4" w:color="auto"/>
        </w:pBdr>
        <w:spacing w:beforeLines="40" w:afterLines="40" w:line="240" w:lineRule="auto"/>
        <w:rPr>
          <w:i/>
          <w:sz w:val="20"/>
        </w:rPr>
      </w:pPr>
      <w:r w:rsidRPr="008A2FA5">
        <w:rPr>
          <w:i/>
          <w:sz w:val="20"/>
        </w:rPr>
        <w:t>Günstige Wohnungen in einem Mix in einer Anlage: (für Wien) Superförderungswohnungen, freif</w:t>
      </w:r>
      <w:r w:rsidRPr="008A2FA5">
        <w:rPr>
          <w:i/>
          <w:sz w:val="20"/>
        </w:rPr>
        <w:t>i</w:t>
      </w:r>
      <w:r w:rsidRPr="008A2FA5">
        <w:rPr>
          <w:i/>
          <w:sz w:val="20"/>
        </w:rPr>
        <w:t>nanziertes Eigentum, gefördertes Eigentum, Miet</w:t>
      </w:r>
      <w:r>
        <w:rPr>
          <w:i/>
          <w:sz w:val="20"/>
        </w:rPr>
        <w:t>wohnungen, Superförderung / „je nach Mix</w:t>
      </w:r>
      <w:r w:rsidRPr="008A2FA5">
        <w:rPr>
          <w:i/>
          <w:sz w:val="20"/>
        </w:rPr>
        <w:t xml:space="preserve"> </w:t>
      </w:r>
      <w:r>
        <w:rPr>
          <w:i/>
          <w:sz w:val="20"/>
        </w:rPr>
        <w:t>können</w:t>
      </w:r>
      <w:r w:rsidRPr="008A2FA5">
        <w:rPr>
          <w:i/>
          <w:sz w:val="20"/>
        </w:rPr>
        <w:t xml:space="preserve"> Türe</w:t>
      </w:r>
      <w:r>
        <w:rPr>
          <w:i/>
          <w:sz w:val="20"/>
        </w:rPr>
        <w:t>n</w:t>
      </w:r>
      <w:r w:rsidRPr="008A2FA5">
        <w:rPr>
          <w:i/>
          <w:sz w:val="20"/>
        </w:rPr>
        <w:t xml:space="preserve"> für Nachfragemodelle </w:t>
      </w:r>
      <w:r>
        <w:rPr>
          <w:i/>
          <w:sz w:val="20"/>
        </w:rPr>
        <w:t>geöffnet und geschlossen werden“</w:t>
      </w:r>
    </w:p>
    <w:p w:rsidR="001E30B4" w:rsidRDefault="00B2556F" w:rsidP="00044AF0">
      <w:pPr>
        <w:numPr>
          <w:ilvl w:val="0"/>
          <w:numId w:val="10"/>
        </w:numPr>
        <w:pBdr>
          <w:top w:val="single" w:sz="4" w:space="1" w:color="auto"/>
          <w:left w:val="single" w:sz="4" w:space="4" w:color="auto"/>
          <w:bottom w:val="single" w:sz="4" w:space="1" w:color="auto"/>
          <w:right w:val="single" w:sz="4" w:space="4" w:color="auto"/>
        </w:pBdr>
        <w:spacing w:beforeLines="40" w:afterLines="40" w:line="240" w:lineRule="auto"/>
        <w:rPr>
          <w:i/>
          <w:sz w:val="20"/>
        </w:rPr>
      </w:pPr>
      <w:r w:rsidRPr="00F30A0D">
        <w:rPr>
          <w:i/>
          <w:sz w:val="20"/>
        </w:rPr>
        <w:t>Sozialer Mix in den Anlagen und Nachbarschaften, Wiener Weg weitergehen</w:t>
      </w:r>
      <w:r w:rsidR="00F30A0D" w:rsidRPr="00F30A0D">
        <w:rPr>
          <w:i/>
          <w:sz w:val="20"/>
        </w:rPr>
        <w:t xml:space="preserve"> / </w:t>
      </w:r>
      <w:r w:rsidRPr="00F30A0D">
        <w:rPr>
          <w:i/>
          <w:sz w:val="20"/>
        </w:rPr>
        <w:t>Mischen über die Rec</w:t>
      </w:r>
      <w:r w:rsidR="00F30A0D">
        <w:rPr>
          <w:i/>
          <w:sz w:val="20"/>
        </w:rPr>
        <w:t>htsform, nicht über die Vergabe</w:t>
      </w:r>
      <w:r w:rsidRPr="00F30A0D">
        <w:rPr>
          <w:i/>
          <w:sz w:val="20"/>
        </w:rPr>
        <w:t xml:space="preserve"> </w:t>
      </w:r>
    </w:p>
    <w:p w:rsidR="001E30B4" w:rsidRDefault="00B2556F" w:rsidP="00044AF0">
      <w:pPr>
        <w:numPr>
          <w:ilvl w:val="0"/>
          <w:numId w:val="10"/>
        </w:numPr>
        <w:pBdr>
          <w:top w:val="single" w:sz="4" w:space="1" w:color="auto"/>
          <w:left w:val="single" w:sz="4" w:space="4" w:color="auto"/>
          <w:bottom w:val="single" w:sz="4" w:space="1" w:color="auto"/>
          <w:right w:val="single" w:sz="4" w:space="4" w:color="auto"/>
        </w:pBdr>
        <w:spacing w:beforeLines="40" w:afterLines="40" w:line="240" w:lineRule="auto"/>
        <w:rPr>
          <w:i/>
          <w:sz w:val="20"/>
        </w:rPr>
      </w:pPr>
      <w:r w:rsidRPr="008A2FA5">
        <w:rPr>
          <w:i/>
          <w:sz w:val="20"/>
        </w:rPr>
        <w:t>Günstige Grundstücke um Anmietungskosten niedrig zu halten, G</w:t>
      </w:r>
      <w:r>
        <w:rPr>
          <w:i/>
          <w:sz w:val="20"/>
        </w:rPr>
        <w:t>rundstücke für sozialen Wohn</w:t>
      </w:r>
      <w:r w:rsidRPr="008A2FA5">
        <w:rPr>
          <w:i/>
          <w:sz w:val="20"/>
        </w:rPr>
        <w:t xml:space="preserve">bau </w:t>
      </w:r>
      <w:r>
        <w:rPr>
          <w:i/>
          <w:sz w:val="20"/>
        </w:rPr>
        <w:t>im Rahmen der Flächenwidmung auszuweisen</w:t>
      </w:r>
      <w:r w:rsidR="00F30A0D" w:rsidRPr="00F30A0D">
        <w:rPr>
          <w:i/>
          <w:sz w:val="20"/>
        </w:rPr>
        <w:t xml:space="preserve"> </w:t>
      </w:r>
      <w:r w:rsidR="00F30A0D">
        <w:rPr>
          <w:i/>
          <w:sz w:val="20"/>
        </w:rPr>
        <w:t xml:space="preserve">/ </w:t>
      </w:r>
      <w:r w:rsidR="00F30A0D" w:rsidRPr="008A2FA5">
        <w:rPr>
          <w:i/>
          <w:sz w:val="20"/>
        </w:rPr>
        <w:t>Grundstücke und Wohnungen dem Marktmech</w:t>
      </w:r>
      <w:r w:rsidR="00F30A0D" w:rsidRPr="008A2FA5">
        <w:rPr>
          <w:i/>
          <w:sz w:val="20"/>
        </w:rPr>
        <w:t>a</w:t>
      </w:r>
      <w:r w:rsidR="00F30A0D" w:rsidRPr="008A2FA5">
        <w:rPr>
          <w:i/>
          <w:sz w:val="20"/>
        </w:rPr>
        <w:t>nismus zu entziehen</w:t>
      </w:r>
    </w:p>
    <w:p w:rsidR="001E30B4" w:rsidRDefault="00B2556F" w:rsidP="00044AF0">
      <w:pPr>
        <w:numPr>
          <w:ilvl w:val="0"/>
          <w:numId w:val="10"/>
        </w:numPr>
        <w:pBdr>
          <w:top w:val="single" w:sz="4" w:space="1" w:color="auto"/>
          <w:left w:val="single" w:sz="4" w:space="4" w:color="auto"/>
          <w:bottom w:val="single" w:sz="4" w:space="1" w:color="auto"/>
          <w:right w:val="single" w:sz="4" w:space="4" w:color="auto"/>
        </w:pBdr>
        <w:spacing w:beforeLines="40" w:afterLines="40" w:line="240" w:lineRule="auto"/>
        <w:rPr>
          <w:i/>
          <w:sz w:val="20"/>
        </w:rPr>
      </w:pPr>
      <w:r w:rsidRPr="008A2FA5">
        <w:rPr>
          <w:i/>
          <w:sz w:val="20"/>
        </w:rPr>
        <w:t>Befristungen abschaffen, Richtwertzins abschaffen bzw. wirksame Höchstgrenzen</w:t>
      </w:r>
      <w:r>
        <w:rPr>
          <w:i/>
          <w:sz w:val="20"/>
        </w:rPr>
        <w:t xml:space="preserve"> einführen</w:t>
      </w:r>
    </w:p>
    <w:p w:rsidR="001E30B4" w:rsidRDefault="00B2556F" w:rsidP="00044AF0">
      <w:pPr>
        <w:numPr>
          <w:ilvl w:val="0"/>
          <w:numId w:val="10"/>
        </w:numPr>
        <w:pBdr>
          <w:top w:val="single" w:sz="4" w:space="1" w:color="auto"/>
          <w:left w:val="single" w:sz="4" w:space="4" w:color="auto"/>
          <w:bottom w:val="single" w:sz="4" w:space="1" w:color="auto"/>
          <w:right w:val="single" w:sz="4" w:space="4" w:color="auto"/>
        </w:pBdr>
        <w:spacing w:beforeLines="40" w:afterLines="40" w:line="240" w:lineRule="auto"/>
        <w:rPr>
          <w:i/>
          <w:sz w:val="20"/>
        </w:rPr>
      </w:pPr>
      <w:r>
        <w:rPr>
          <w:i/>
          <w:sz w:val="20"/>
        </w:rPr>
        <w:t xml:space="preserve">Einrichtung einer </w:t>
      </w:r>
      <w:r w:rsidRPr="008A2FA5">
        <w:rPr>
          <w:i/>
          <w:sz w:val="20"/>
        </w:rPr>
        <w:t>Wohnungskommission für Härtefälle, die auch Genossenschaftswohnungen vergibt</w:t>
      </w:r>
    </w:p>
    <w:p w:rsidR="001E30B4" w:rsidRDefault="00B2556F" w:rsidP="00044AF0">
      <w:pPr>
        <w:numPr>
          <w:ilvl w:val="0"/>
          <w:numId w:val="10"/>
        </w:numPr>
        <w:pBdr>
          <w:top w:val="single" w:sz="4" w:space="1" w:color="auto"/>
          <w:left w:val="single" w:sz="4" w:space="4" w:color="auto"/>
          <w:bottom w:val="single" w:sz="4" w:space="1" w:color="auto"/>
          <w:right w:val="single" w:sz="4" w:space="4" w:color="auto"/>
        </w:pBdr>
        <w:spacing w:beforeLines="40" w:afterLines="40" w:line="240" w:lineRule="auto"/>
        <w:rPr>
          <w:i/>
          <w:sz w:val="20"/>
        </w:rPr>
      </w:pPr>
      <w:r w:rsidRPr="008A2FA5">
        <w:rPr>
          <w:i/>
          <w:sz w:val="20"/>
        </w:rPr>
        <w:t xml:space="preserve">Effizienz der Grundrisse, z.B.: Teilung der Zimmer </w:t>
      </w:r>
      <w:r>
        <w:rPr>
          <w:i/>
          <w:sz w:val="20"/>
        </w:rPr>
        <w:t>er</w:t>
      </w:r>
      <w:r w:rsidRPr="008A2FA5">
        <w:rPr>
          <w:i/>
          <w:sz w:val="20"/>
        </w:rPr>
        <w:t>möglich</w:t>
      </w:r>
      <w:r>
        <w:rPr>
          <w:i/>
          <w:sz w:val="20"/>
        </w:rPr>
        <w:t>en</w:t>
      </w:r>
      <w:r w:rsidRPr="008A2FA5">
        <w:rPr>
          <w:i/>
          <w:sz w:val="20"/>
        </w:rPr>
        <w:t xml:space="preserve">, wenn Kinder größer etc. </w:t>
      </w:r>
      <w:r>
        <w:rPr>
          <w:i/>
          <w:sz w:val="20"/>
        </w:rPr>
        <w:t>werden;</w:t>
      </w:r>
      <w:r w:rsidRPr="008A2FA5">
        <w:rPr>
          <w:i/>
          <w:sz w:val="20"/>
        </w:rPr>
        <w:t xml:space="preserve"> wenige m², abtrennb</w:t>
      </w:r>
      <w:r w:rsidR="003F7C1F">
        <w:rPr>
          <w:i/>
          <w:sz w:val="20"/>
        </w:rPr>
        <w:t>are Zimmer z.B.</w:t>
      </w:r>
      <w:r w:rsidRPr="008A2FA5">
        <w:rPr>
          <w:i/>
          <w:sz w:val="20"/>
        </w:rPr>
        <w:t xml:space="preserve"> für Wochenendväter, neue Familienverhältnisse m</w:t>
      </w:r>
      <w:r>
        <w:rPr>
          <w:i/>
          <w:sz w:val="20"/>
        </w:rPr>
        <w:t>üssen b</w:t>
      </w:r>
      <w:r>
        <w:rPr>
          <w:i/>
          <w:sz w:val="20"/>
        </w:rPr>
        <w:t>e</w:t>
      </w:r>
      <w:r>
        <w:rPr>
          <w:i/>
          <w:sz w:val="20"/>
        </w:rPr>
        <w:t>rücksichtigt werden</w:t>
      </w:r>
    </w:p>
    <w:p w:rsidR="001E30B4" w:rsidRDefault="00B2556F" w:rsidP="00044AF0">
      <w:pPr>
        <w:numPr>
          <w:ilvl w:val="0"/>
          <w:numId w:val="10"/>
        </w:numPr>
        <w:pBdr>
          <w:top w:val="single" w:sz="4" w:space="1" w:color="auto"/>
          <w:left w:val="single" w:sz="4" w:space="4" w:color="auto"/>
          <w:bottom w:val="single" w:sz="4" w:space="1" w:color="auto"/>
          <w:right w:val="single" w:sz="4" w:space="4" w:color="auto"/>
        </w:pBdr>
        <w:spacing w:beforeLines="40" w:afterLines="40" w:line="240" w:lineRule="auto"/>
        <w:rPr>
          <w:i/>
          <w:sz w:val="20"/>
        </w:rPr>
      </w:pPr>
      <w:r w:rsidRPr="008B5063">
        <w:rPr>
          <w:i/>
          <w:sz w:val="20"/>
        </w:rPr>
        <w:t xml:space="preserve">Kostengünstige Startwohnungen </w:t>
      </w:r>
    </w:p>
    <w:p w:rsidR="001E30B4" w:rsidRDefault="00B2556F" w:rsidP="00044AF0">
      <w:pPr>
        <w:numPr>
          <w:ilvl w:val="0"/>
          <w:numId w:val="10"/>
        </w:numPr>
        <w:pBdr>
          <w:top w:val="single" w:sz="4" w:space="1" w:color="auto"/>
          <w:left w:val="single" w:sz="4" w:space="4" w:color="auto"/>
          <w:bottom w:val="single" w:sz="4" w:space="1" w:color="auto"/>
          <w:right w:val="single" w:sz="4" w:space="4" w:color="auto"/>
        </w:pBdr>
        <w:spacing w:beforeLines="40" w:afterLines="40" w:line="240" w:lineRule="auto"/>
        <w:rPr>
          <w:i/>
          <w:sz w:val="20"/>
        </w:rPr>
      </w:pPr>
      <w:r>
        <w:rPr>
          <w:i/>
          <w:sz w:val="20"/>
        </w:rPr>
        <w:t>Soziale Nachhaltigkeit in Wien:</w:t>
      </w:r>
      <w:r w:rsidRPr="008B5063">
        <w:rPr>
          <w:i/>
          <w:sz w:val="20"/>
        </w:rPr>
        <w:t xml:space="preserve"> </w:t>
      </w:r>
      <w:r>
        <w:rPr>
          <w:i/>
          <w:sz w:val="20"/>
        </w:rPr>
        <w:t>„</w:t>
      </w:r>
      <w:r w:rsidRPr="008B5063">
        <w:rPr>
          <w:i/>
          <w:sz w:val="20"/>
        </w:rPr>
        <w:t>gut dass es das gibt!</w:t>
      </w:r>
      <w:r>
        <w:rPr>
          <w:i/>
          <w:sz w:val="20"/>
        </w:rPr>
        <w:t>“</w:t>
      </w:r>
    </w:p>
    <w:p w:rsidR="00B2556F" w:rsidRDefault="00B2556F" w:rsidP="00B2556F">
      <w:pPr>
        <w:pBdr>
          <w:top w:val="single" w:sz="4" w:space="1" w:color="auto"/>
          <w:left w:val="single" w:sz="4" w:space="4" w:color="auto"/>
          <w:bottom w:val="single" w:sz="4" w:space="1" w:color="auto"/>
          <w:right w:val="single" w:sz="4" w:space="4" w:color="auto"/>
        </w:pBdr>
        <w:jc w:val="right"/>
        <w:rPr>
          <w:i/>
          <w:sz w:val="20"/>
        </w:rPr>
      </w:pPr>
      <w:r>
        <w:rPr>
          <w:i/>
          <w:sz w:val="20"/>
        </w:rPr>
        <w:t>Interview Wohnbauträger</w:t>
      </w:r>
    </w:p>
    <w:p w:rsidR="00B2556F" w:rsidRDefault="00B2556F" w:rsidP="00B2556F">
      <w:pPr>
        <w:jc w:val="right"/>
        <w:rPr>
          <w:lang w:val="de-AT"/>
        </w:rPr>
      </w:pPr>
    </w:p>
    <w:p w:rsidR="00B2556F" w:rsidRPr="00F56C08" w:rsidRDefault="00724CAF" w:rsidP="00506E2A">
      <w:r>
        <w:t>Neben allgemeinen wohnpolitischen Bedarfslagen und Interventionsmöglichkeiten werden d</w:t>
      </w:r>
      <w:r>
        <w:t>a</w:t>
      </w:r>
      <w:r>
        <w:t>bei allem voran Aspekte der Kooperation zwischen Betreuungseinrichtungen und gemeinnütz</w:t>
      </w:r>
      <w:r>
        <w:t>i</w:t>
      </w:r>
      <w:r>
        <w:t>gen Bauträgern angesprochen, um so eine bessere Abstimmung von Maßnahmen der Armut</w:t>
      </w:r>
      <w:r>
        <w:t>s</w:t>
      </w:r>
      <w:r>
        <w:t xml:space="preserve">bekämpfung und der Wohnungssicherung </w:t>
      </w:r>
      <w:r w:rsidR="00D32D65">
        <w:t xml:space="preserve">für Haushalte mit bzw. ohne Migrationshintergrund realisieren </w:t>
      </w:r>
      <w:r>
        <w:t>und gewährleisten zu können.</w:t>
      </w:r>
      <w:r>
        <w:br/>
      </w:r>
    </w:p>
    <w:p w:rsidR="00A64692" w:rsidRPr="00F56C08" w:rsidRDefault="00965106" w:rsidP="00E23216">
      <w:pPr>
        <w:pStyle w:val="berschrift3"/>
        <w:rPr>
          <w:lang w:val="de-DE"/>
        </w:rPr>
      </w:pPr>
      <w:r w:rsidRPr="00F56C08">
        <w:rPr>
          <w:lang w:val="de-DE"/>
        </w:rPr>
        <w:t>5.5</w:t>
      </w:r>
      <w:r w:rsidRPr="00F56C08">
        <w:rPr>
          <w:lang w:val="de-DE"/>
        </w:rPr>
        <w:tab/>
      </w:r>
      <w:r w:rsidR="001D276D" w:rsidRPr="00F56C08">
        <w:rPr>
          <w:lang w:val="de-DE"/>
        </w:rPr>
        <w:t>Aktualität des Themas "Equality in Housing"</w:t>
      </w:r>
      <w:r w:rsidR="008E50FB" w:rsidRPr="00F56C08">
        <w:rPr>
          <w:lang w:val="de-DE"/>
        </w:rPr>
        <w:br/>
      </w:r>
    </w:p>
    <w:p w:rsidR="00A4126F" w:rsidRDefault="001C05BA" w:rsidP="00724CAF">
      <w:pPr>
        <w:rPr>
          <w:lang w:val="de-AT"/>
        </w:rPr>
      </w:pPr>
      <w:r>
        <w:rPr>
          <w:lang w:val="de-AT"/>
        </w:rPr>
        <w:t>Die Aktualität des Themas ‚Equality in Housing‘ wurde im Rahmen der Online-Fragebogener</w:t>
      </w:r>
      <w:r w:rsidR="00007278">
        <w:rPr>
          <w:lang w:val="de-AT"/>
        </w:rPr>
        <w:softHyphen/>
      </w:r>
      <w:r>
        <w:rPr>
          <w:lang w:val="de-AT"/>
        </w:rPr>
        <w:t xml:space="preserve">hebung durch eine Reihe von Fragen erkundet, die insbesondere die persönliche Kenntnis der Gleichbehandlungsnormen sowie die konkrete Befassung mit dieser Thematik im Rahmen von Dienstbesprechungen oder Weiterbildungsangeboten betreffen. </w:t>
      </w:r>
      <w:r w:rsidR="00724CAF">
        <w:rPr>
          <w:lang w:val="de-AT"/>
        </w:rPr>
        <w:t xml:space="preserve">Zu dieser Thematik ergibt sich ein eindeutiges Bild. </w:t>
      </w:r>
    </w:p>
    <w:p w:rsidR="00A4126F" w:rsidRDefault="00724CAF" w:rsidP="00724CAF">
      <w:pPr>
        <w:rPr>
          <w:lang w:val="de-AT"/>
        </w:rPr>
      </w:pPr>
      <w:r>
        <w:rPr>
          <w:lang w:val="de-AT"/>
        </w:rPr>
        <w:t xml:space="preserve">Danach ist der Kenntnisstand bezüglich der Diskriminierungsnormen </w:t>
      </w:r>
      <w:r w:rsidR="00F73A16">
        <w:rPr>
          <w:lang w:val="de-AT"/>
        </w:rPr>
        <w:t>nach subjektiver Ei</w:t>
      </w:r>
      <w:r w:rsidR="00F73A16">
        <w:rPr>
          <w:lang w:val="de-AT"/>
        </w:rPr>
        <w:t>n</w:t>
      </w:r>
      <w:r w:rsidR="00F73A16">
        <w:rPr>
          <w:lang w:val="de-AT"/>
        </w:rPr>
        <w:t xml:space="preserve">schätzung der RespondentInnen </w:t>
      </w:r>
      <w:r>
        <w:rPr>
          <w:lang w:val="de-AT"/>
        </w:rPr>
        <w:t xml:space="preserve">ausgesprochen hoch. 70% der RespondentInnen bezeichnen sich als ausreichend informiert. </w:t>
      </w:r>
    </w:p>
    <w:p w:rsidR="00A4126F" w:rsidRDefault="00724CAF" w:rsidP="00724CAF">
      <w:pPr>
        <w:rPr>
          <w:lang w:val="de-AT"/>
        </w:rPr>
      </w:pPr>
      <w:r>
        <w:rPr>
          <w:lang w:val="de-AT"/>
        </w:rPr>
        <w:t>Ebenfalls 70% der RespondentInnen merken an, dass mit Diskriminierung und Benachteil</w:t>
      </w:r>
      <w:r>
        <w:rPr>
          <w:lang w:val="de-AT"/>
        </w:rPr>
        <w:t>i</w:t>
      </w:r>
      <w:r>
        <w:rPr>
          <w:lang w:val="de-AT"/>
        </w:rPr>
        <w:t xml:space="preserve">gung zusammenhängende Fragestellungen im Verlauf der letzten Jahre Gegenstand von Dienst- oder Teambesprechungen waren. </w:t>
      </w:r>
    </w:p>
    <w:p w:rsidR="00724CAF" w:rsidRDefault="00724CAF" w:rsidP="00C92BAA">
      <w:pPr>
        <w:rPr>
          <w:lang w:val="de-AT"/>
        </w:rPr>
      </w:pPr>
      <w:r>
        <w:rPr>
          <w:lang w:val="de-AT"/>
        </w:rPr>
        <w:t>Immerhin noch 40% der Antworten bestätigen, dass in ihrer praktischen Arbeit konkrete Be</w:t>
      </w:r>
      <w:r>
        <w:rPr>
          <w:lang w:val="de-AT"/>
        </w:rPr>
        <w:t>i</w:t>
      </w:r>
      <w:r>
        <w:rPr>
          <w:lang w:val="de-AT"/>
        </w:rPr>
        <w:t>spiele diskutiert und in Hinblick auf Strategien einer diskriminierungsfreien Vergabepraxis au</w:t>
      </w:r>
      <w:r>
        <w:rPr>
          <w:lang w:val="de-AT"/>
        </w:rPr>
        <w:t>s</w:t>
      </w:r>
      <w:r>
        <w:rPr>
          <w:lang w:val="de-AT"/>
        </w:rPr>
        <w:t>gewertet wurden.</w:t>
      </w:r>
      <w:r w:rsidR="00A4126F">
        <w:rPr>
          <w:lang w:val="de-AT"/>
        </w:rPr>
        <w:br/>
      </w:r>
    </w:p>
    <w:p w:rsidR="00724CAF" w:rsidRDefault="00724CAF">
      <w:pPr>
        <w:spacing w:before="180" w:after="240" w:line="336" w:lineRule="auto"/>
        <w:jc w:val="center"/>
        <w:rPr>
          <w:rStyle w:val="SchwacherVerweis"/>
        </w:rPr>
      </w:pPr>
      <w:r>
        <w:rPr>
          <w:rStyle w:val="SchwacherVerweis"/>
        </w:rPr>
        <w:br w:type="page"/>
      </w:r>
    </w:p>
    <w:p w:rsidR="001E5D33" w:rsidRPr="005C377C" w:rsidRDefault="001E5D33" w:rsidP="001E5D33">
      <w:pPr>
        <w:rPr>
          <w:rStyle w:val="SchwacherVerweis"/>
        </w:rPr>
      </w:pPr>
      <w:r>
        <w:rPr>
          <w:rStyle w:val="SchwacherVerweis"/>
        </w:rPr>
        <w:lastRenderedPageBreak/>
        <w:t>Grafik 41: Zur Aktualität von Gleichbehandlung</w:t>
      </w:r>
    </w:p>
    <w:p w:rsidR="001E5D33" w:rsidRDefault="001E5D33" w:rsidP="001E5D33">
      <w:pPr>
        <w:rPr>
          <w:lang w:val="de-AT"/>
        </w:rPr>
      </w:pPr>
      <w:r w:rsidRPr="00C92BAA">
        <w:rPr>
          <w:noProof/>
          <w:lang w:val="de-AT" w:eastAsia="de-AT"/>
        </w:rPr>
        <w:drawing>
          <wp:inline distT="0" distB="0" distL="0" distR="0">
            <wp:extent cx="5760720" cy="3609682"/>
            <wp:effectExtent l="19050" t="0" r="11430" b="0"/>
            <wp:docPr id="45" name="Diagramm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1C05BA" w:rsidRDefault="00724CAF" w:rsidP="00C92BAA">
      <w:pPr>
        <w:rPr>
          <w:lang w:val="de-AT"/>
        </w:rPr>
      </w:pPr>
      <w:r>
        <w:rPr>
          <w:lang w:val="de-AT"/>
        </w:rPr>
        <w:br/>
      </w:r>
      <w:r w:rsidR="001C05BA">
        <w:rPr>
          <w:lang w:val="de-AT"/>
        </w:rPr>
        <w:t>Anders sieht es dagegen mit Fortbildungsangeboten zur Thematik sowie mit Bemühungen zur Erarbeitung und Implementierung von entsprechenden Strategien aus. Dies war jeweils nur bei jeder vierten Einrichtung der Fall.</w:t>
      </w:r>
      <w:r w:rsidR="007D665A">
        <w:rPr>
          <w:lang w:val="de-AT"/>
        </w:rPr>
        <w:t xml:space="preserve"> Gerade dieses Ergebnis überrascht etwas angesichts der doch relativ hohen Zustimmung von 40% der RespondentInnen, wonach es in den vergang</w:t>
      </w:r>
      <w:r w:rsidR="007D665A">
        <w:rPr>
          <w:lang w:val="de-AT"/>
        </w:rPr>
        <w:t>e</w:t>
      </w:r>
      <w:r w:rsidR="007D665A">
        <w:rPr>
          <w:lang w:val="de-AT"/>
        </w:rPr>
        <w:t>nen Jahren durchaus diskriminierungsrelevante Fragen und Einzelfälle gegeben hätte, die A</w:t>
      </w:r>
      <w:r w:rsidR="007D665A">
        <w:rPr>
          <w:lang w:val="de-AT"/>
        </w:rPr>
        <w:t>n</w:t>
      </w:r>
      <w:r w:rsidR="007D665A">
        <w:rPr>
          <w:lang w:val="de-AT"/>
        </w:rPr>
        <w:t>lass für eine entsprechende Befassung mit Strategien für eine diskriminierungsfreie Praxis w</w:t>
      </w:r>
      <w:r w:rsidR="007D665A">
        <w:rPr>
          <w:lang w:val="de-AT"/>
        </w:rPr>
        <w:t>a</w:t>
      </w:r>
      <w:r w:rsidR="007D665A">
        <w:rPr>
          <w:lang w:val="de-AT"/>
        </w:rPr>
        <w:t>ren.</w:t>
      </w:r>
      <w:r w:rsidR="001C05BA">
        <w:rPr>
          <w:lang w:val="de-AT"/>
        </w:rPr>
        <w:br/>
      </w:r>
    </w:p>
    <w:p w:rsidR="00587957" w:rsidRDefault="001C05BA" w:rsidP="00044AF0">
      <w:pPr>
        <w:tabs>
          <w:tab w:val="right" w:pos="9072"/>
        </w:tabs>
        <w:spacing w:beforeLines="40" w:afterLines="40" w:line="240" w:lineRule="auto"/>
        <w:ind w:left="708"/>
        <w:rPr>
          <w:i/>
          <w:szCs w:val="26"/>
        </w:rPr>
      </w:pPr>
      <w:r w:rsidRPr="001C05BA">
        <w:rPr>
          <w:i/>
          <w:szCs w:val="26"/>
        </w:rPr>
        <w:t xml:space="preserve">Ergebnis </w:t>
      </w:r>
      <w:r w:rsidR="00A4126F">
        <w:rPr>
          <w:i/>
          <w:szCs w:val="26"/>
        </w:rPr>
        <w:t>mein</w:t>
      </w:r>
      <w:r w:rsidRPr="001C05BA">
        <w:rPr>
          <w:i/>
          <w:szCs w:val="26"/>
        </w:rPr>
        <w:t xml:space="preserve">er </w:t>
      </w:r>
      <w:r w:rsidR="007D665A">
        <w:rPr>
          <w:i/>
          <w:szCs w:val="26"/>
        </w:rPr>
        <w:t xml:space="preserve">persönlichen Teilnahme an </w:t>
      </w:r>
      <w:r w:rsidRPr="001C05BA">
        <w:rPr>
          <w:i/>
          <w:szCs w:val="26"/>
        </w:rPr>
        <w:t xml:space="preserve">Fortbildungen </w:t>
      </w:r>
      <w:r w:rsidR="007D665A" w:rsidRPr="001C05BA">
        <w:rPr>
          <w:i/>
          <w:szCs w:val="26"/>
        </w:rPr>
        <w:t xml:space="preserve">zum Thema Integration und Konfliktmanagement sowie von entsprechenden Veranstaltungen externer Träger </w:t>
      </w:r>
      <w:r w:rsidRPr="001C05BA">
        <w:rPr>
          <w:i/>
          <w:szCs w:val="26"/>
        </w:rPr>
        <w:t xml:space="preserve">ist, dass man vieles mit anderen Augen sieht, z.B. </w:t>
      </w:r>
      <w:r w:rsidR="00A4126F">
        <w:rPr>
          <w:i/>
          <w:szCs w:val="26"/>
        </w:rPr>
        <w:t>w</w:t>
      </w:r>
      <w:r w:rsidRPr="001C05BA">
        <w:rPr>
          <w:i/>
          <w:szCs w:val="26"/>
        </w:rPr>
        <w:t>arum Probleme beim Wohnen so sind. Man muss die Dinge auch aus Sicht der Zuwanderer sehen und aus ihrer Sicht begre</w:t>
      </w:r>
      <w:r w:rsidRPr="001C05BA">
        <w:rPr>
          <w:i/>
          <w:szCs w:val="26"/>
        </w:rPr>
        <w:t>i</w:t>
      </w:r>
      <w:r w:rsidRPr="001C05BA">
        <w:rPr>
          <w:i/>
          <w:szCs w:val="26"/>
        </w:rPr>
        <w:t xml:space="preserve">fen, man muss sich öffnen. </w:t>
      </w:r>
    </w:p>
    <w:p w:rsidR="00587957" w:rsidRDefault="001C05BA" w:rsidP="00044AF0">
      <w:pPr>
        <w:tabs>
          <w:tab w:val="right" w:pos="9072"/>
        </w:tabs>
        <w:spacing w:beforeLines="40" w:afterLines="40" w:line="240" w:lineRule="auto"/>
        <w:ind w:left="708"/>
        <w:rPr>
          <w:sz w:val="24"/>
          <w:lang w:val="de-AT"/>
        </w:rPr>
      </w:pPr>
      <w:r w:rsidRPr="001C05BA">
        <w:rPr>
          <w:i/>
          <w:szCs w:val="26"/>
        </w:rPr>
        <w:t xml:space="preserve">Grundsätzlich </w:t>
      </w:r>
      <w:r w:rsidR="00A4126F">
        <w:rPr>
          <w:i/>
          <w:szCs w:val="26"/>
        </w:rPr>
        <w:t>sollten</w:t>
      </w:r>
      <w:r w:rsidRPr="001C05BA">
        <w:rPr>
          <w:i/>
          <w:szCs w:val="26"/>
        </w:rPr>
        <w:t xml:space="preserve"> Fortbildungsangebote weniger das Thema der Vergabe als vie</w:t>
      </w:r>
      <w:r w:rsidRPr="001C05BA">
        <w:rPr>
          <w:i/>
          <w:szCs w:val="26"/>
        </w:rPr>
        <w:t>l</w:t>
      </w:r>
      <w:r w:rsidRPr="001C05BA">
        <w:rPr>
          <w:i/>
          <w:szCs w:val="26"/>
        </w:rPr>
        <w:t>mehr Fragen des (Zusammen)Wohnens, der Wohnumfeldgestaltung und des Konflik</w:t>
      </w:r>
      <w:r w:rsidRPr="001C05BA">
        <w:rPr>
          <w:i/>
          <w:szCs w:val="26"/>
        </w:rPr>
        <w:t>t</w:t>
      </w:r>
      <w:r w:rsidRPr="001C05BA">
        <w:rPr>
          <w:i/>
          <w:szCs w:val="26"/>
        </w:rPr>
        <w:t>managements behandeln.</w:t>
      </w:r>
      <w:r w:rsidR="007D665A">
        <w:rPr>
          <w:i/>
          <w:szCs w:val="26"/>
        </w:rPr>
        <w:br/>
      </w:r>
      <w:r w:rsidR="007D665A">
        <w:rPr>
          <w:i/>
          <w:szCs w:val="26"/>
        </w:rPr>
        <w:tab/>
      </w:r>
      <w:r w:rsidRPr="001C05BA">
        <w:rPr>
          <w:i/>
          <w:szCs w:val="26"/>
        </w:rPr>
        <w:t>Integrationsbeauftrager bei Bauträger</w:t>
      </w:r>
      <w:r w:rsidR="007D665A">
        <w:rPr>
          <w:i/>
          <w:szCs w:val="26"/>
        </w:rPr>
        <w:br/>
      </w:r>
    </w:p>
    <w:p w:rsidR="00724CAF" w:rsidRDefault="00724CAF">
      <w:pPr>
        <w:spacing w:before="180" w:after="240" w:line="336" w:lineRule="auto"/>
        <w:jc w:val="center"/>
        <w:rPr>
          <w:u w:val="single"/>
          <w:lang w:val="de-AT"/>
        </w:rPr>
      </w:pPr>
      <w:r>
        <w:rPr>
          <w:u w:val="single"/>
          <w:lang w:val="de-AT"/>
        </w:rPr>
        <w:br w:type="page"/>
      </w:r>
    </w:p>
    <w:p w:rsidR="00681A64" w:rsidRPr="00681A64" w:rsidRDefault="00965106" w:rsidP="00C92BAA">
      <w:pPr>
        <w:rPr>
          <w:u w:val="single"/>
          <w:lang w:val="de-AT"/>
        </w:rPr>
      </w:pPr>
      <w:r>
        <w:rPr>
          <w:u w:val="single"/>
          <w:lang w:val="de-AT"/>
        </w:rPr>
        <w:lastRenderedPageBreak/>
        <w:t>5.5</w:t>
      </w:r>
      <w:r w:rsidR="00681A64" w:rsidRPr="00681A64">
        <w:rPr>
          <w:u w:val="single"/>
          <w:lang w:val="de-AT"/>
        </w:rPr>
        <w:t>.1</w:t>
      </w:r>
      <w:r w:rsidR="00681A64" w:rsidRPr="00681A64">
        <w:rPr>
          <w:u w:val="single"/>
          <w:lang w:val="de-AT"/>
        </w:rPr>
        <w:tab/>
        <w:t>Große Übereinstimm</w:t>
      </w:r>
      <w:r w:rsidR="004D6E6C">
        <w:rPr>
          <w:u w:val="single"/>
          <w:lang w:val="de-AT"/>
        </w:rPr>
        <w:t>ung zwischen den Einrichtung</w:t>
      </w:r>
      <w:r w:rsidR="00681A64" w:rsidRPr="00681A64">
        <w:rPr>
          <w:u w:val="single"/>
          <w:lang w:val="de-AT"/>
        </w:rPr>
        <w:t>en</w:t>
      </w:r>
      <w:r w:rsidR="007D665A" w:rsidRPr="00681A64">
        <w:rPr>
          <w:u w:val="single"/>
          <w:lang w:val="de-AT"/>
        </w:rPr>
        <w:br/>
      </w:r>
    </w:p>
    <w:p w:rsidR="007D665A" w:rsidRPr="00681A64" w:rsidRDefault="005B6CB8" w:rsidP="00965106">
      <w:pPr>
        <w:rPr>
          <w:lang w:val="de-AT"/>
        </w:rPr>
      </w:pPr>
      <w:r>
        <w:rPr>
          <w:lang w:val="de-AT"/>
        </w:rPr>
        <w:t xml:space="preserve">Der differenzierte Blick auf die Verteilung nach der Art der Einrichtung </w:t>
      </w:r>
      <w:r w:rsidR="007D665A">
        <w:rPr>
          <w:lang w:val="de-AT"/>
        </w:rPr>
        <w:t>zeigt große Ü</w:t>
      </w:r>
      <w:r w:rsidR="00965106">
        <w:rPr>
          <w:lang w:val="de-AT"/>
        </w:rPr>
        <w:t>berei</w:t>
      </w:r>
      <w:r w:rsidR="00965106">
        <w:rPr>
          <w:lang w:val="de-AT"/>
        </w:rPr>
        <w:t>n</w:t>
      </w:r>
      <w:r w:rsidR="00965106">
        <w:rPr>
          <w:lang w:val="de-AT"/>
        </w:rPr>
        <w:t>stimmung.</w:t>
      </w:r>
      <w:r w:rsidR="00965106">
        <w:rPr>
          <w:lang w:val="de-AT"/>
        </w:rPr>
        <w:br/>
        <w:t xml:space="preserve"> </w:t>
      </w:r>
    </w:p>
    <w:p w:rsidR="005C377C" w:rsidRPr="005C377C" w:rsidRDefault="005C377C" w:rsidP="00C92BAA">
      <w:pPr>
        <w:rPr>
          <w:rStyle w:val="SchwacherVerweis"/>
        </w:rPr>
      </w:pPr>
      <w:r>
        <w:rPr>
          <w:rStyle w:val="SchwacherVerweis"/>
        </w:rPr>
        <w:t xml:space="preserve">Grafik </w:t>
      </w:r>
      <w:r w:rsidR="00D029CF">
        <w:rPr>
          <w:rStyle w:val="SchwacherVerweis"/>
        </w:rPr>
        <w:t>42</w:t>
      </w:r>
      <w:r>
        <w:rPr>
          <w:rStyle w:val="SchwacherVerweis"/>
        </w:rPr>
        <w:t>: Aktualität in den unterschiedlichen Einrichtungstypen</w:t>
      </w:r>
    </w:p>
    <w:p w:rsidR="005B6CB8" w:rsidRDefault="00597E2D" w:rsidP="00C92BAA">
      <w:pPr>
        <w:rPr>
          <w:lang w:val="de-AT"/>
        </w:rPr>
      </w:pPr>
      <w:r w:rsidRPr="00597E2D">
        <w:rPr>
          <w:noProof/>
          <w:lang w:val="de-AT" w:eastAsia="de-AT"/>
        </w:rPr>
        <w:drawing>
          <wp:inline distT="0" distB="0" distL="0" distR="0">
            <wp:extent cx="6078095" cy="4720107"/>
            <wp:effectExtent l="19050" t="0" r="17905" b="4293"/>
            <wp:docPr id="52" name="Diagramm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965106" w:rsidRDefault="00965106" w:rsidP="00965106">
      <w:pPr>
        <w:rPr>
          <w:lang w:val="de-AT"/>
        </w:rPr>
      </w:pPr>
      <w:r>
        <w:rPr>
          <w:lang w:val="de-AT"/>
        </w:rPr>
        <w:br/>
        <w:t xml:space="preserve">Bei </w:t>
      </w:r>
      <w:r w:rsidR="00D32D65">
        <w:rPr>
          <w:lang w:val="de-AT"/>
        </w:rPr>
        <w:t>d</w:t>
      </w:r>
      <w:r>
        <w:rPr>
          <w:lang w:val="de-AT"/>
        </w:rPr>
        <w:t xml:space="preserve">en beteiligten Einrichtungen zeigt sich </w:t>
      </w:r>
      <w:r w:rsidR="00D32D65">
        <w:rPr>
          <w:lang w:val="de-AT"/>
        </w:rPr>
        <w:t>ein weitgehend einheitliches</w:t>
      </w:r>
      <w:r>
        <w:rPr>
          <w:lang w:val="de-AT"/>
        </w:rPr>
        <w:t xml:space="preserve"> Antwortmuster: </w:t>
      </w:r>
    </w:p>
    <w:p w:rsidR="00965106" w:rsidRDefault="00965106" w:rsidP="00965106">
      <w:pPr>
        <w:pStyle w:val="Listenabsatz"/>
        <w:numPr>
          <w:ilvl w:val="0"/>
          <w:numId w:val="23"/>
        </w:numPr>
        <w:rPr>
          <w:lang w:val="de-AT"/>
        </w:rPr>
      </w:pPr>
      <w:r w:rsidRPr="00681A64">
        <w:rPr>
          <w:lang w:val="de-AT"/>
        </w:rPr>
        <w:t>hohe Kompetenz i</w:t>
      </w:r>
      <w:r w:rsidR="007E5828">
        <w:rPr>
          <w:lang w:val="de-AT"/>
        </w:rPr>
        <w:t>n Sachen Diskriminierungsnormen</w:t>
      </w:r>
      <w:r w:rsidRPr="00681A64">
        <w:rPr>
          <w:lang w:val="de-AT"/>
        </w:rPr>
        <w:t xml:space="preserve"> </w:t>
      </w:r>
    </w:p>
    <w:p w:rsidR="00965106" w:rsidRDefault="00965106" w:rsidP="00965106">
      <w:pPr>
        <w:pStyle w:val="Listenabsatz"/>
        <w:numPr>
          <w:ilvl w:val="0"/>
          <w:numId w:val="23"/>
        </w:numPr>
        <w:rPr>
          <w:lang w:val="de-AT"/>
        </w:rPr>
      </w:pPr>
      <w:r w:rsidRPr="00681A64">
        <w:rPr>
          <w:lang w:val="de-AT"/>
        </w:rPr>
        <w:t>häufige Bestätigung, wonach diese Thematik Gegenstand von Dienst- und Teamb</w:t>
      </w:r>
      <w:r w:rsidRPr="00681A64">
        <w:rPr>
          <w:lang w:val="de-AT"/>
        </w:rPr>
        <w:t>e</w:t>
      </w:r>
      <w:r w:rsidRPr="00681A64">
        <w:rPr>
          <w:lang w:val="de-AT"/>
        </w:rPr>
        <w:t xml:space="preserve">sprechungen war und </w:t>
      </w:r>
    </w:p>
    <w:p w:rsidR="00724CAF" w:rsidRDefault="00965106" w:rsidP="00965106">
      <w:pPr>
        <w:pStyle w:val="Listenabsatz"/>
        <w:numPr>
          <w:ilvl w:val="0"/>
          <w:numId w:val="23"/>
        </w:numPr>
        <w:rPr>
          <w:lang w:val="de-AT"/>
        </w:rPr>
      </w:pPr>
      <w:r w:rsidRPr="00681A64">
        <w:rPr>
          <w:lang w:val="de-AT"/>
        </w:rPr>
        <w:t>niedere Zustimmungsquoten für Fortbildung und konkre</w:t>
      </w:r>
      <w:r w:rsidR="007E5828">
        <w:rPr>
          <w:lang w:val="de-AT"/>
        </w:rPr>
        <w:t>te Strategieentwicklung</w:t>
      </w:r>
      <w:r w:rsidRPr="00681A64">
        <w:rPr>
          <w:lang w:val="de-AT"/>
        </w:rPr>
        <w:t xml:space="preserve"> </w:t>
      </w:r>
    </w:p>
    <w:p w:rsidR="00965106" w:rsidRPr="00681A64" w:rsidRDefault="00724CAF" w:rsidP="00965106">
      <w:pPr>
        <w:pStyle w:val="Listenabsatz"/>
        <w:numPr>
          <w:ilvl w:val="0"/>
          <w:numId w:val="23"/>
        </w:numPr>
        <w:rPr>
          <w:lang w:val="de-AT"/>
        </w:rPr>
      </w:pPr>
      <w:r>
        <w:rPr>
          <w:lang w:val="de-AT"/>
        </w:rPr>
        <w:t xml:space="preserve">Lediglich einzelne Wohnungsämter verweisen </w:t>
      </w:r>
      <w:r w:rsidR="007E5828">
        <w:rPr>
          <w:lang w:val="de-AT"/>
        </w:rPr>
        <w:t>– im Unterschied zu Bauträgern und B</w:t>
      </w:r>
      <w:r w:rsidR="007E5828">
        <w:rPr>
          <w:lang w:val="de-AT"/>
        </w:rPr>
        <w:t>e</w:t>
      </w:r>
      <w:r w:rsidR="007E5828">
        <w:rPr>
          <w:lang w:val="de-AT"/>
        </w:rPr>
        <w:t>ratungseinrichtungen – dar</w:t>
      </w:r>
      <w:r>
        <w:rPr>
          <w:lang w:val="de-AT"/>
        </w:rPr>
        <w:t>auf</w:t>
      </w:r>
      <w:r w:rsidR="007E5828">
        <w:rPr>
          <w:lang w:val="de-AT"/>
        </w:rPr>
        <w:t>,</w:t>
      </w:r>
      <w:r>
        <w:rPr>
          <w:lang w:val="de-AT"/>
        </w:rPr>
        <w:t xml:space="preserve"> Strategien einer diskriminierungsfreien Vergabe</w:t>
      </w:r>
      <w:r w:rsidR="007E5828">
        <w:rPr>
          <w:lang w:val="de-AT"/>
        </w:rPr>
        <w:t xml:space="preserve"> era</w:t>
      </w:r>
      <w:r w:rsidR="007E5828">
        <w:rPr>
          <w:lang w:val="de-AT"/>
        </w:rPr>
        <w:t>r</w:t>
      </w:r>
      <w:r w:rsidR="007E5828">
        <w:rPr>
          <w:lang w:val="de-AT"/>
        </w:rPr>
        <w:t>beitet und implementiert zu haben</w:t>
      </w:r>
      <w:r>
        <w:rPr>
          <w:lang w:val="de-AT"/>
        </w:rPr>
        <w:t>.</w:t>
      </w:r>
    </w:p>
    <w:p w:rsidR="005F5B63" w:rsidRDefault="005F5B63">
      <w:pPr>
        <w:spacing w:before="180" w:after="240" w:line="336" w:lineRule="auto"/>
        <w:jc w:val="center"/>
        <w:rPr>
          <w:lang w:val="de-AT"/>
        </w:rPr>
      </w:pPr>
    </w:p>
    <w:p w:rsidR="00C2624A" w:rsidRDefault="00686BB5" w:rsidP="00686BB5">
      <w:pPr>
        <w:pStyle w:val="IntensivesAnfhrungszeichen"/>
        <w:numPr>
          <w:ilvl w:val="0"/>
          <w:numId w:val="31"/>
        </w:numPr>
        <w:ind w:left="2268" w:hanging="972"/>
        <w:jc w:val="right"/>
      </w:pPr>
      <w:r>
        <w:t>Modelle guter Praxis</w:t>
      </w:r>
      <w:r w:rsidR="00C2624A">
        <w:t xml:space="preserve"> </w:t>
      </w:r>
      <w:r>
        <w:br/>
      </w:r>
      <w:r w:rsidR="00C2624A">
        <w:t>und Maßnahmenempfehlungen</w:t>
      </w:r>
    </w:p>
    <w:p w:rsidR="00C2624A" w:rsidRDefault="00C2624A" w:rsidP="00C2624A">
      <w:pPr>
        <w:rPr>
          <w:lang w:eastAsia="en-US"/>
        </w:rPr>
      </w:pPr>
    </w:p>
    <w:p w:rsidR="00575C27" w:rsidRDefault="00575C27" w:rsidP="00575C27">
      <w:r>
        <w:t>Die in Diskussionsrunden und Interviews mit ExpertInnen der regionalen / kommunalen Wo</w:t>
      </w:r>
      <w:r>
        <w:t>h</w:t>
      </w:r>
      <w:r>
        <w:t>nungswirtschaft respektive Beratung und Betreuung von WohnungswerberInnen (mit und o</w:t>
      </w:r>
      <w:r>
        <w:t>h</w:t>
      </w:r>
      <w:r>
        <w:t>ne Migrationshintergrund) herausgefilterten modellhaften Ansätze beziehen sich schwe</w:t>
      </w:r>
      <w:r>
        <w:t>r</w:t>
      </w:r>
      <w:r>
        <w:t>punktmäßig jeweils auf einen der im Folgenden vorgestellten Aufgabenbereiche und Zielse</w:t>
      </w:r>
      <w:r>
        <w:t>t</w:t>
      </w:r>
      <w:r>
        <w:t>zungen. Überschneidungen respektive Unschärfen in der Zuordnung der einzelnen Beispiele lassen sich dabei nicht vermeiden, weil Wohnen letztlich ein Querschnittthema ist und auch einzelne der nachstehenden Beispiele nicht auf einen Aufgabenbereich beschränkt, sondern an den Schnittstellen mehrerer Politik- und Aufgabenbereiche angesiedelt sind. Gleichermaßen werden im Rahmen dieser wohn- und integrationspolitisch relevanten Maßnahmen sowohl die Bereiche Armut und soziale Ausgrenzung, Benachteiligung und Diskriminierung sowie Integr</w:t>
      </w:r>
      <w:r>
        <w:t>a</w:t>
      </w:r>
      <w:r>
        <w:t>tion und Qualität des Zusammenlebens erfasst.</w:t>
      </w:r>
    </w:p>
    <w:p w:rsidR="00575C27" w:rsidRDefault="00575C27" w:rsidP="00575C27">
      <w:r>
        <w:rPr>
          <w:noProof/>
        </w:rPr>
        <w:softHyphen/>
      </w:r>
      <w:r>
        <w:rPr>
          <w:noProof/>
          <w:lang w:val="de-AT" w:eastAsia="de-AT"/>
        </w:rPr>
        <w:drawing>
          <wp:inline distT="0" distB="0" distL="0" distR="0">
            <wp:extent cx="5486400" cy="3200400"/>
            <wp:effectExtent l="0" t="19050" r="0" b="19050"/>
            <wp:docPr id="48"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inline>
        </w:drawing>
      </w:r>
    </w:p>
    <w:p w:rsidR="00575C27" w:rsidRDefault="00575C27" w:rsidP="00C2624A">
      <w:pPr>
        <w:rPr>
          <w:lang w:eastAsia="en-US"/>
        </w:rPr>
      </w:pPr>
    </w:p>
    <w:p w:rsidR="00686BB5" w:rsidRDefault="00686BB5" w:rsidP="00686BB5">
      <w:r>
        <w:t>In den untersuchten Modellregionen findet sich eine Reihe von strukturellen sowie punktuellen Maßnahmen</w:t>
      </w:r>
      <w:r w:rsidR="00575C27">
        <w:t>/-</w:t>
      </w:r>
      <w:r>
        <w:t xml:space="preserve">paketen, die sich in der Praxis der Wohnungsvergabe bereits bewährt haben </w:t>
      </w:r>
      <w:r w:rsidR="00575C27">
        <w:t xml:space="preserve">und / </w:t>
      </w:r>
      <w:r>
        <w:t>oder Perspektiven für eine nachhaltige Verbesserun</w:t>
      </w:r>
      <w:r w:rsidR="00575C27">
        <w:t>g der Wohnversorgung von benach</w:t>
      </w:r>
      <w:r>
        <w:t>teilig</w:t>
      </w:r>
      <w:r w:rsidR="00575C27">
        <w:softHyphen/>
      </w:r>
      <w:r>
        <w:t>ten Haushalten mit bzw. ohne Migrationshintergrund ski</w:t>
      </w:r>
      <w:r w:rsidR="00575C27">
        <w:t>zzieren. Die InterviewpartnerIn</w:t>
      </w:r>
      <w:r>
        <w:t xml:space="preserve">nen </w:t>
      </w:r>
      <w:r>
        <w:lastRenderedPageBreak/>
        <w:t>sowie TeilnehmerInnen an den regionalen Gesprächsrunden verweisen auf herausragende Modelle guter, sprich: diskriminierungsfreier, armutsbekämpfender und integrationsfördernder, Vergabepraxis.</w:t>
      </w:r>
      <w:r>
        <w:br/>
      </w:r>
    </w:p>
    <w:p w:rsidR="0098122E" w:rsidRPr="00182408" w:rsidRDefault="0006729D" w:rsidP="0006729D">
      <w:pPr>
        <w:pStyle w:val="berschrift3"/>
        <w:rPr>
          <w:lang w:eastAsia="en-US"/>
        </w:rPr>
      </w:pPr>
      <w:r>
        <w:rPr>
          <w:lang w:eastAsia="en-US"/>
        </w:rPr>
        <w:t>6.</w:t>
      </w:r>
      <w:r w:rsidR="00DC02A9">
        <w:rPr>
          <w:lang w:eastAsia="en-US"/>
        </w:rPr>
        <w:t>1</w:t>
      </w:r>
      <w:r>
        <w:rPr>
          <w:lang w:eastAsia="en-US"/>
        </w:rPr>
        <w:tab/>
      </w:r>
      <w:r w:rsidR="00686BB5">
        <w:rPr>
          <w:lang w:eastAsia="en-US"/>
        </w:rPr>
        <w:t>Bekämpfung von Armut und sozialer Ausgrenzung</w:t>
      </w:r>
    </w:p>
    <w:p w:rsidR="00182408" w:rsidRDefault="00182408" w:rsidP="00B96626">
      <w:pPr>
        <w:rPr>
          <w:u w:val="single"/>
          <w:lang w:val="de-AT"/>
        </w:rPr>
      </w:pPr>
    </w:p>
    <w:p w:rsidR="00575C27" w:rsidRDefault="00575C27" w:rsidP="00575C27">
      <w:r>
        <w:t>Ein prominenter Aufgabenschwerpunkt findet sich in der Bekämpfung von Armut und sozialer Ausgrenzung, in welchem Armutshaushalte mit bzw. ohne Migrationshintergrund im Mitte</w:t>
      </w:r>
      <w:r>
        <w:t>l</w:t>
      </w:r>
      <w:r>
        <w:t xml:space="preserve">punkt stehen. In diesem Zusammenhang sind vor allem modellhafte Maßnahmen anzuführen, mit denen in einzelnen Bundesländern versucht wird, Armutshaushalten einen systematischen Zugang zum öffentlichen Wohnungsmarkt (Gemeinde- oder geförderte Mietwohnungen) zu eröffnen. </w:t>
      </w:r>
    </w:p>
    <w:p w:rsidR="00575C27" w:rsidRDefault="00575C27" w:rsidP="00575C27">
      <w:r>
        <w:t xml:space="preserve">Zum Einen gelten die Bemühungen dem Ausbau und der Festigung einer verbindlichen </w:t>
      </w:r>
      <w:r w:rsidRPr="006E53BE">
        <w:rPr>
          <w:u w:val="single"/>
        </w:rPr>
        <w:t>Koop</w:t>
      </w:r>
      <w:r w:rsidRPr="006E53BE">
        <w:rPr>
          <w:u w:val="single"/>
        </w:rPr>
        <w:t>e</w:t>
      </w:r>
      <w:r w:rsidRPr="006E53BE">
        <w:rPr>
          <w:u w:val="single"/>
        </w:rPr>
        <w:t>ration zwischen Einrichtungen der Wohnungswirtschaft und den örtlichen Sozialeinrichtungen</w:t>
      </w:r>
      <w:r>
        <w:t>, wie im Rahmen der Wohnplat</w:t>
      </w:r>
      <w:r w:rsidR="00007278">
        <w:t>tform in Linz / Oberösterreich</w:t>
      </w:r>
      <w:r w:rsidR="00007278">
        <w:rPr>
          <w:rStyle w:val="Funotenzeichen"/>
        </w:rPr>
        <w:footnoteReference w:id="20"/>
      </w:r>
      <w:r>
        <w:t xml:space="preserve"> sowie des </w:t>
      </w:r>
      <w:r w:rsidR="008A451D">
        <w:t>‚</w:t>
      </w:r>
      <w:r>
        <w:t>Soziales Netzwerk Wohnen</w:t>
      </w:r>
      <w:r w:rsidR="008A451D">
        <w:t>‘</w:t>
      </w:r>
      <w:r w:rsidR="008A451D">
        <w:rPr>
          <w:rStyle w:val="Funotenzeichen"/>
        </w:rPr>
        <w:footnoteReference w:id="21"/>
      </w:r>
      <w:r>
        <w:t xml:space="preserve"> in Vorarlberg umgesetzt.</w:t>
      </w:r>
    </w:p>
    <w:p w:rsidR="00575C27" w:rsidRDefault="00575C27" w:rsidP="00575C27">
      <w:r>
        <w:t xml:space="preserve">Ein anderes Modell fokussiert darauf, eine </w:t>
      </w:r>
      <w:r w:rsidRPr="006E53BE">
        <w:rPr>
          <w:u w:val="single"/>
        </w:rPr>
        <w:t>systematische Einstiegshilfe in geförderte Mietve</w:t>
      </w:r>
      <w:r w:rsidRPr="006E53BE">
        <w:rPr>
          <w:u w:val="single"/>
        </w:rPr>
        <w:t>r</w:t>
      </w:r>
      <w:r w:rsidRPr="006E53BE">
        <w:rPr>
          <w:u w:val="single"/>
        </w:rPr>
        <w:t>hältnisse</w:t>
      </w:r>
      <w:r>
        <w:t xml:space="preserve"> durch finanzielle und sozialarbeiterische Überbrückung zu realisieren. Insofern unte</w:t>
      </w:r>
      <w:r>
        <w:t>r</w:t>
      </w:r>
      <w:r>
        <w:t xml:space="preserve">scheidet sich die </w:t>
      </w:r>
      <w:r w:rsidRPr="00FC6D16">
        <w:rPr>
          <w:b/>
          <w:u w:val="single"/>
        </w:rPr>
        <w:t>Wohnassistenz</w:t>
      </w:r>
      <w:r>
        <w:t xml:space="preserve"> des Vere</w:t>
      </w:r>
      <w:r w:rsidR="008A451D">
        <w:t>ins Wohnen in Niederösterreich</w:t>
      </w:r>
      <w:r w:rsidR="008A451D">
        <w:rPr>
          <w:rStyle w:val="Funotenzeichen"/>
        </w:rPr>
        <w:footnoteReference w:id="22"/>
      </w:r>
      <w:r>
        <w:t xml:space="preserve"> wesentlich von den kooperativen Ansätzen in Oberösterreich und Vorarlberg, als es hier bis dato noch nicht gelungen ist, die Kooperation mit den Agenturen der Wohnungswirtschaft verbindlich zu m</w:t>
      </w:r>
      <w:r>
        <w:t>a</w:t>
      </w:r>
      <w:r>
        <w:t>chen.</w:t>
      </w:r>
    </w:p>
    <w:p w:rsidR="00575C27" w:rsidRDefault="00575C27" w:rsidP="00575C27">
      <w:r>
        <w:t>Auch in Wien hat die Kooperation zwischen Wohnungswirtschaft, insbesondere Wiener Wo</w:t>
      </w:r>
      <w:r>
        <w:t>h</w:t>
      </w:r>
      <w:r>
        <w:t>nen und die Verwaltung der Gemeindewohnungen, und der Wohnungslosenhilfe</w:t>
      </w:r>
      <w:r w:rsidR="008A451D">
        <w:rPr>
          <w:rStyle w:val="Funotenzeichen"/>
        </w:rPr>
        <w:footnoteReference w:id="23"/>
      </w:r>
      <w:r>
        <w:t xml:space="preserve"> bereits eine </w:t>
      </w:r>
      <w:r w:rsidR="00007278">
        <w:t xml:space="preserve">mehrjährige Tradition. </w:t>
      </w:r>
      <w:r>
        <w:t xml:space="preserve">Als themenspezifisches Highlight, das für den Themenbereich Equality in Housing von besonderer Bedeutung erscheint, soll hier zum einen die „Soziale </w:t>
      </w:r>
      <w:r w:rsidR="00D6176C">
        <w:t>Wohnung</w:t>
      </w:r>
      <w:r w:rsidR="00D6176C">
        <w:t>s</w:t>
      </w:r>
      <w:r w:rsidR="00D6176C">
        <w:t>vergabe</w:t>
      </w:r>
      <w:r>
        <w:t xml:space="preserve">“ hervorgehoben werden. Die Wohnungsvergabe wird in einem </w:t>
      </w:r>
      <w:r w:rsidRPr="006E53BE">
        <w:rPr>
          <w:u w:val="single"/>
        </w:rPr>
        <w:t>bereichsübergreifend besetzten Vergabegremium</w:t>
      </w:r>
      <w:r>
        <w:t xml:space="preserve"> vorbereitet, in dem die VertreterInnen der Beratungs- und B</w:t>
      </w:r>
      <w:r>
        <w:t>e</w:t>
      </w:r>
      <w:r>
        <w:t>treuungseinrichtungen unmittelbar beteiligt sind.</w:t>
      </w:r>
      <w:r w:rsidR="00D6176C" w:rsidRPr="00D6176C">
        <w:t xml:space="preserve"> </w:t>
      </w:r>
      <w:r w:rsidR="00D6176C">
        <w:t>Im Rahmen der sogenannten Notfallswo</w:t>
      </w:r>
      <w:r w:rsidR="00D6176C">
        <w:t>h</w:t>
      </w:r>
      <w:r w:rsidR="00D6176C">
        <w:t xml:space="preserve">nungen (erste Öffnung des Wiener Gemeindebaus für MigrantInnen) wurden in einem </w:t>
      </w:r>
      <w:r w:rsidR="00D6176C" w:rsidRPr="006E53BE">
        <w:rPr>
          <w:u w:val="single"/>
        </w:rPr>
        <w:t>b</w:t>
      </w:r>
      <w:r w:rsidR="00D6176C" w:rsidRPr="006E53BE">
        <w:rPr>
          <w:u w:val="single"/>
        </w:rPr>
        <w:t>e</w:t>
      </w:r>
      <w:r w:rsidR="00D6176C" w:rsidRPr="006E53BE">
        <w:rPr>
          <w:u w:val="single"/>
        </w:rPr>
        <w:lastRenderedPageBreak/>
        <w:t>reichsübergreifend angelegten partizipativen</w:t>
      </w:r>
      <w:r w:rsidR="00D6176C">
        <w:t xml:space="preserve"> Prozess die Kriterien für die Feststellung von Wohnbedarf und </w:t>
      </w:r>
      <w:r w:rsidR="0063002F">
        <w:t xml:space="preserve">die </w:t>
      </w:r>
      <w:r w:rsidR="00D6176C">
        <w:t xml:space="preserve">sozialen Kriterien </w:t>
      </w:r>
      <w:r w:rsidR="0063002F">
        <w:t xml:space="preserve">für die Vergabeentscheidung </w:t>
      </w:r>
      <w:r w:rsidR="00D6176C">
        <w:t>unter Beiziehung von E</w:t>
      </w:r>
      <w:r w:rsidR="00D6176C">
        <w:t>x</w:t>
      </w:r>
      <w:r w:rsidR="00D6176C">
        <w:t>pertInnen aus Beratungs- und Betreuungseinrichtungen erarbeitet.</w:t>
      </w:r>
    </w:p>
    <w:p w:rsidR="00575C27" w:rsidRDefault="00421735" w:rsidP="00575C27">
      <w:r w:rsidRPr="00421735">
        <w:rPr>
          <w:lang w:val="de-AT"/>
        </w:rPr>
        <w:t xml:space="preserve">2009 </w:t>
      </w:r>
      <w:r>
        <w:rPr>
          <w:lang w:val="de-AT"/>
        </w:rPr>
        <w:t xml:space="preserve">wurde </w:t>
      </w:r>
      <w:r w:rsidR="0063002F">
        <w:rPr>
          <w:lang w:val="de-AT"/>
        </w:rPr>
        <w:t>für Bauträgerwettbewerbe</w:t>
      </w:r>
      <w:r w:rsidRPr="00421735">
        <w:rPr>
          <w:lang w:val="de-AT"/>
        </w:rPr>
        <w:t xml:space="preserve"> im Grundstücksbeirat ein weiteres Bewertungskriterium </w:t>
      </w:r>
      <w:r w:rsidR="0063002F">
        <w:rPr>
          <w:lang w:val="de-AT"/>
        </w:rPr>
        <w:t>–</w:t>
      </w:r>
      <w:r w:rsidRPr="00421735">
        <w:rPr>
          <w:lang w:val="de-AT"/>
        </w:rPr>
        <w:t xml:space="preserve"> die "Soziale Nachhaltigkeit" </w:t>
      </w:r>
      <w:r>
        <w:rPr>
          <w:lang w:val="de-AT"/>
        </w:rPr>
        <w:t>–</w:t>
      </w:r>
      <w:r w:rsidRPr="00421735">
        <w:rPr>
          <w:lang w:val="de-AT"/>
        </w:rPr>
        <w:t xml:space="preserve"> eingeführt</w:t>
      </w:r>
      <w:r>
        <w:rPr>
          <w:lang w:val="de-AT"/>
        </w:rPr>
        <w:t>. Di</w:t>
      </w:r>
      <w:r w:rsidR="0063002F">
        <w:rPr>
          <w:lang w:val="de-AT"/>
        </w:rPr>
        <w:t>e</w:t>
      </w:r>
      <w:r>
        <w:rPr>
          <w:lang w:val="de-AT"/>
        </w:rPr>
        <w:t>ses</w:t>
      </w:r>
      <w:r w:rsidRPr="00421735">
        <w:rPr>
          <w:lang w:val="de-AT"/>
        </w:rPr>
        <w:t xml:space="preserve"> umfasst die Bereitstellung von vielfältigen Wohnungstypen und flexibel adaptierbaren Wohnungsgrundrissen, Wohnungen für Menschen mit besonderen Bedürfnissen, betreutes Wohnen und Wohnen-für-Generationen-Wohnungen sowie Home-Offices. Weiters zählen dazu Kommunikationsflächen und Gemeinschaftsräume für alle Generationen, die zum Teil auch von den künftigen BewohnerInnen geme</w:t>
      </w:r>
      <w:r>
        <w:rPr>
          <w:lang w:val="de-AT"/>
        </w:rPr>
        <w:t>insam ge</w:t>
      </w:r>
      <w:r>
        <w:rPr>
          <w:lang w:val="de-AT"/>
        </w:rPr>
        <w:t>s</w:t>
      </w:r>
      <w:r>
        <w:rPr>
          <w:lang w:val="de-AT"/>
        </w:rPr>
        <w:t xml:space="preserve">taltet werden können. </w:t>
      </w:r>
      <w:r w:rsidRPr="00421735">
        <w:rPr>
          <w:lang w:val="de-AT"/>
        </w:rPr>
        <w:t xml:space="preserve">Dem Kriterium der sozialen Nachhaltigkeit wird </w:t>
      </w:r>
      <w:r>
        <w:rPr>
          <w:lang w:val="de-AT"/>
        </w:rPr>
        <w:t>darüber</w:t>
      </w:r>
      <w:r w:rsidR="0063002F">
        <w:rPr>
          <w:lang w:val="de-AT"/>
        </w:rPr>
        <w:t xml:space="preserve"> </w:t>
      </w:r>
      <w:r>
        <w:rPr>
          <w:lang w:val="de-AT"/>
        </w:rPr>
        <w:t>hinaus</w:t>
      </w:r>
      <w:r w:rsidRPr="00421735">
        <w:rPr>
          <w:lang w:val="de-AT"/>
        </w:rPr>
        <w:t xml:space="preserve"> durch einen hohen Anteil an Wohnungen mit Superförderung, für die nur geringe Eigenmittel erfo</w:t>
      </w:r>
      <w:r w:rsidRPr="00421735">
        <w:rPr>
          <w:lang w:val="de-AT"/>
        </w:rPr>
        <w:t>r</w:t>
      </w:r>
      <w:r w:rsidRPr="00421735">
        <w:rPr>
          <w:lang w:val="de-AT"/>
        </w:rPr>
        <w:t xml:space="preserve">derlich sind, Rechnung getragen. </w:t>
      </w:r>
      <w:r>
        <w:t xml:space="preserve">Vor allem die </w:t>
      </w:r>
      <w:r w:rsidR="00575C27">
        <w:t>‚</w:t>
      </w:r>
      <w:r w:rsidR="00575C27" w:rsidRPr="006E53BE">
        <w:rPr>
          <w:u w:val="single"/>
        </w:rPr>
        <w:t>Superförderung</w:t>
      </w:r>
      <w:r w:rsidR="00007278">
        <w:rPr>
          <w:u w:val="single"/>
        </w:rPr>
        <w:t>‘</w:t>
      </w:r>
      <w:r w:rsidR="00007278" w:rsidRPr="00007278">
        <w:t xml:space="preserve"> </w:t>
      </w:r>
      <w:r w:rsidR="00007278">
        <w:t>stellt im Rahmen der</w:t>
      </w:r>
      <w:r w:rsidR="00575C27">
        <w:t xml:space="preserve"> Wiener Wohnbauförderung</w:t>
      </w:r>
      <w:r w:rsidR="00007278">
        <w:rPr>
          <w:rStyle w:val="Funotenzeichen"/>
        </w:rPr>
        <w:footnoteReference w:id="24"/>
      </w:r>
      <w:r w:rsidR="00575C27">
        <w:t xml:space="preserve"> ein armuts- und integrationsrelevantes Angebot dar, das Armutshausha</w:t>
      </w:r>
      <w:r w:rsidR="00575C27">
        <w:t>l</w:t>
      </w:r>
      <w:r w:rsidR="00575C27">
        <w:t xml:space="preserve">ten den Einstieg in ein gefördertes Wohnverhältnis unabhängig davon ermöglicht, ob diese eine finanzielle Eigenleistung erbringen können. Damit wird eine </w:t>
      </w:r>
      <w:r w:rsidR="00575C27" w:rsidRPr="006E53BE">
        <w:rPr>
          <w:u w:val="single"/>
        </w:rPr>
        <w:t>breitere soziale Mischung in Wohnobjekten/anlagen</w:t>
      </w:r>
      <w:r w:rsidR="00575C27">
        <w:t xml:space="preserve"> möglich.</w:t>
      </w:r>
    </w:p>
    <w:p w:rsidR="00575C27" w:rsidRDefault="00575C27" w:rsidP="00575C27">
      <w:pPr>
        <w:rPr>
          <w:rFonts w:cs="Tahoma"/>
        </w:rPr>
      </w:pPr>
      <w:r>
        <w:t xml:space="preserve">Ein weiteres Beispiel für ein Wohnprojekt mit armutspolitischem Akzent </w:t>
      </w:r>
      <w:r w:rsidR="009842BB">
        <w:t xml:space="preserve">ist </w:t>
      </w:r>
      <w:r>
        <w:t>das Projekt „</w:t>
      </w:r>
      <w:r w:rsidRPr="006E53BE">
        <w:rPr>
          <w:u w:val="single"/>
        </w:rPr>
        <w:t>Sozi</w:t>
      </w:r>
      <w:r w:rsidRPr="006E53BE">
        <w:rPr>
          <w:u w:val="single"/>
        </w:rPr>
        <w:t>a</w:t>
      </w:r>
      <w:r w:rsidRPr="006E53BE">
        <w:rPr>
          <w:u w:val="single"/>
        </w:rPr>
        <w:t>les Wohnen in der City</w:t>
      </w:r>
      <w:r>
        <w:t xml:space="preserve">“ in St. Pölten (Verein Wohnen Niederösterreich). </w:t>
      </w:r>
      <w:r w:rsidRPr="00BC63E6">
        <w:rPr>
          <w:rFonts w:cs="Tahoma"/>
        </w:rPr>
        <w:t xml:space="preserve">Das totalsanierte Wohnhaus im Zentrum von St. Pölten wurde mit Finanzierung aus der Wohnbauförderung </w:t>
      </w:r>
      <w:r>
        <w:rPr>
          <w:rFonts w:cs="Tahoma"/>
        </w:rPr>
        <w:t xml:space="preserve">im Rahmen eines sozialen Beschäftigungsprojekts </w:t>
      </w:r>
      <w:r w:rsidRPr="00BC63E6">
        <w:rPr>
          <w:rFonts w:cs="Tahoma"/>
        </w:rPr>
        <w:t xml:space="preserve">so saniert, dass sich auch Sozialhilfe-/BMS-BezieherInnen die Miete leisten können. </w:t>
      </w:r>
      <w:r>
        <w:rPr>
          <w:rFonts w:cs="Tahoma"/>
        </w:rPr>
        <w:t>Für die</w:t>
      </w:r>
      <w:r w:rsidRPr="00BC63E6">
        <w:rPr>
          <w:rFonts w:cs="Tahoma"/>
        </w:rPr>
        <w:t xml:space="preserve"> Realisierung einer sozialen Durchmischung wurden gezielt auch Menschen mit durchschnittlichem Haushaltseinkommen angesprochen</w:t>
      </w:r>
      <w:r w:rsidR="0063002F">
        <w:rPr>
          <w:rFonts w:cs="Tahoma"/>
        </w:rPr>
        <w:t>.</w:t>
      </w:r>
      <w:r w:rsidRPr="00BC63E6">
        <w:rPr>
          <w:rFonts w:cs="Tahoma"/>
        </w:rPr>
        <w:t xml:space="preserve"> </w:t>
      </w:r>
      <w:r w:rsidR="0063002F">
        <w:rPr>
          <w:rFonts w:cs="Tahoma"/>
        </w:rPr>
        <w:t xml:space="preserve">Diese wurden zudem gebeten, </w:t>
      </w:r>
      <w:r w:rsidRPr="00BC63E6">
        <w:rPr>
          <w:rFonts w:cs="Tahoma"/>
        </w:rPr>
        <w:t xml:space="preserve">sich für schlechter gestellte MitbewohnerInnen einzusetzen und allfällige Konflikte </w:t>
      </w:r>
      <w:r w:rsidR="0063002F">
        <w:rPr>
          <w:rFonts w:cs="Tahoma"/>
        </w:rPr>
        <w:t xml:space="preserve">gemeinsam und </w:t>
      </w:r>
      <w:r w:rsidRPr="00BC63E6">
        <w:rPr>
          <w:rFonts w:cs="Tahoma"/>
        </w:rPr>
        <w:t>eigenständig zu lösen. Herausgekommen ist eine ‚sehr gute Durchmischung: altersmäßig, ethnisch und sozial‘.</w:t>
      </w:r>
    </w:p>
    <w:p w:rsidR="00575C27" w:rsidRDefault="00575C27" w:rsidP="00575C27">
      <w:r>
        <w:t>Verbesserung der sozialen Durchmischung im Wohnungsbestand durch gezielte Stadtentwic</w:t>
      </w:r>
      <w:r>
        <w:t>k</w:t>
      </w:r>
      <w:r>
        <w:t xml:space="preserve">lungsmaßnahmen wie Förderung von Dachbodenausbau, Verdichtung etc. / Wien sowie durch flexible Grundrisse in Neubauvorhaben </w:t>
      </w:r>
      <w:r w:rsidR="009842BB">
        <w:t>z.B.: Projekt des Wiener Hilfswerks am Nordbahnhof</w:t>
      </w:r>
      <w:r w:rsidR="0063002F">
        <w:t xml:space="preserve"> / Wien</w:t>
      </w:r>
      <w:r>
        <w:br/>
      </w:r>
    </w:p>
    <w:p w:rsidR="008A451D" w:rsidRDefault="008A451D">
      <w:pPr>
        <w:spacing w:before="180" w:after="240" w:line="336" w:lineRule="auto"/>
        <w:jc w:val="center"/>
        <w:rPr>
          <w:rFonts w:eastAsiaTheme="majorEastAsia" w:cstheme="majorBidi"/>
          <w:b/>
          <w:bCs/>
          <w:color w:val="4F81BD" w:themeColor="accent1"/>
          <w:lang w:val="de-AT"/>
        </w:rPr>
      </w:pPr>
      <w:r>
        <w:br w:type="page"/>
      </w:r>
    </w:p>
    <w:p w:rsidR="00686BB5" w:rsidRDefault="00686BB5" w:rsidP="00686BB5">
      <w:pPr>
        <w:pStyle w:val="berschrift3"/>
      </w:pPr>
      <w:r>
        <w:lastRenderedPageBreak/>
        <w:t xml:space="preserve">6.2 </w:t>
      </w:r>
      <w:r>
        <w:tab/>
        <w:t>Bekämpfung von Diskriminierung und (ethnischer) Ausgrenzung bei der Vergabe von öffentlichem Wohnraum</w:t>
      </w:r>
    </w:p>
    <w:p w:rsidR="00575C27" w:rsidRDefault="00575C27" w:rsidP="00575C27">
      <w:pPr>
        <w:rPr>
          <w:lang w:val="de-AT"/>
        </w:rPr>
      </w:pPr>
    </w:p>
    <w:p w:rsidR="00575C27" w:rsidRDefault="00575C27" w:rsidP="00575C27">
      <w:r>
        <w:t>Weitere Maßnahmen sind eng am Kontext der Vergabe von öffentlichem Wohnraum angesi</w:t>
      </w:r>
      <w:r>
        <w:t>e</w:t>
      </w:r>
      <w:r>
        <w:t xml:space="preserve">delt und fokussieren auf die Weiterentwicklung der administrativen Rahmenbedingungen im administrativen Umfeld der Wohnungsverwaltung. </w:t>
      </w:r>
    </w:p>
    <w:p w:rsidR="00575C27" w:rsidRDefault="00575C27" w:rsidP="00575C27">
      <w:r>
        <w:t xml:space="preserve">Als zentrale Voraussetzung für eine nicht diskriminierende Vergabe kann das Bemühen um </w:t>
      </w:r>
      <w:r w:rsidRPr="001C41EA">
        <w:rPr>
          <w:u w:val="single"/>
        </w:rPr>
        <w:t>Transparenz</w:t>
      </w:r>
      <w:r>
        <w:t xml:space="preserve"> und </w:t>
      </w:r>
      <w:r>
        <w:rPr>
          <w:u w:val="single"/>
        </w:rPr>
        <w:t>Mitwirkung</w:t>
      </w:r>
      <w:r w:rsidRPr="00C0538E">
        <w:t xml:space="preserve"> </w:t>
      </w:r>
      <w:r>
        <w:t>hervorgehoben werden. In der Vergabe öffentlichen Wohnraums wird dabei vor allem das Medium des Internet genützt, in dem gleichermaßen in Bregenz wie in Wien die Vergabemodalitäten dokumentiert und veröffentlicht werden. Hier ist ein Zugriff auf Informationen über freiwerdende Wohnungen (Größe, Lage, Preis etc.) sowie die entspr</w:t>
      </w:r>
      <w:r>
        <w:t>e</w:t>
      </w:r>
      <w:r>
        <w:t>chenden Formulare gewährleistet. Die WohnungswerberInnen sind in diesem Rahmen e</w:t>
      </w:r>
      <w:r>
        <w:t>r</w:t>
      </w:r>
      <w:r>
        <w:t>mächtigt, sich eigenständig über den aktuellen Stand der Wohnungsvergabe zu informieren und sich mit ihren Wünschen und Bedürfnissen aktiv einzubringen. Analoge Bemühungen um Transparenz und Mitwirkung sind auch bei den Gemeinnützigen Bauträgern, z.B. in Niederö</w:t>
      </w:r>
      <w:r>
        <w:t>s</w:t>
      </w:r>
      <w:r>
        <w:t xml:space="preserve">terreich und Tirol, anzutreffen. </w:t>
      </w:r>
    </w:p>
    <w:p w:rsidR="00575C27" w:rsidRDefault="00575C27" w:rsidP="00575C27">
      <w:r>
        <w:t>Bekämpfung von ethnischer Diskriminierung erfordert weiters die systematische Berücksicht</w:t>
      </w:r>
      <w:r>
        <w:t>i</w:t>
      </w:r>
      <w:r>
        <w:t>gung interkultureller Gesichtspunkte. So zeichnet sich etwa die Wohnungsvergabe in der La</w:t>
      </w:r>
      <w:r>
        <w:t>n</w:t>
      </w:r>
      <w:r>
        <w:t xml:space="preserve">deshauptstadt Bregenz durch eine </w:t>
      </w:r>
      <w:r w:rsidRPr="00FE6018">
        <w:rPr>
          <w:u w:val="single"/>
        </w:rPr>
        <w:t>interdisziplinäre und interkulturelle Zusammensetzung</w:t>
      </w:r>
      <w:r>
        <w:t xml:space="preserve"> des administrativen Vergabeausschusses aus, in dem neben der Wohnungsverwaltung eine ausg</w:t>
      </w:r>
      <w:r>
        <w:t>e</w:t>
      </w:r>
      <w:r>
        <w:t>bildete Sozialarbeiterin auch die Integrationsbeauftragte der Stadt Bregenz mitwirkt. Leitbild für dieses Vergabegremium ist die spezielle Berücksichtigung von Bedarfslagen und Potenzi</w:t>
      </w:r>
      <w:r>
        <w:t>a</w:t>
      </w:r>
      <w:r>
        <w:t>len der WohnungswerberInnen, die in einem persönlichen Beratungsgespräch detailliert e</w:t>
      </w:r>
      <w:r>
        <w:t>r</w:t>
      </w:r>
      <w:r>
        <w:t xml:space="preserve">kundet werden. Damit soll z.B. auch </w:t>
      </w:r>
      <w:r w:rsidRPr="006E53BE">
        <w:rPr>
          <w:u w:val="single"/>
        </w:rPr>
        <w:t>positive Diskriminierung</w:t>
      </w:r>
      <w:r>
        <w:t xml:space="preserve"> ermöglicht werden, indem Mi</w:t>
      </w:r>
      <w:r>
        <w:t>g</w:t>
      </w:r>
      <w:r>
        <w:t xml:space="preserve">rantInnen mit besonderem Förderbedarf, z.B. in sprachlicher, kultureller und/oder sozialer Hinsicht, in einem förderlichen Umfeld angesiedelt werden. </w:t>
      </w:r>
    </w:p>
    <w:p w:rsidR="00575C27" w:rsidRDefault="00575C27" w:rsidP="00575C27">
      <w:r>
        <w:t xml:space="preserve">Eine ähnliche Zielrichtung findet sich beim Wohnungsamt Innsbruck, das sich als </w:t>
      </w:r>
      <w:r w:rsidRPr="0009683B">
        <w:rPr>
          <w:u w:val="single"/>
        </w:rPr>
        <w:t>lernende Organisation</w:t>
      </w:r>
      <w:r>
        <w:t xml:space="preserve"> versteht und wesentlich darauf setzt, in Beratung und Mitwirkung der Wo</w:t>
      </w:r>
      <w:r>
        <w:t>h</w:t>
      </w:r>
      <w:r>
        <w:t xml:space="preserve">nungswerberInnen sowie in enger Kooperation der Hausverwaltungen das Grundwissen über die Lebens- und Wohnverhältnisse in den Wohnanlagen zu fördern. </w:t>
      </w:r>
    </w:p>
    <w:p w:rsidR="0063002F" w:rsidRDefault="00575C27" w:rsidP="00575C27">
      <w:r>
        <w:t>Der Blick auf die Vergabemodalitäten macht darüber hinaus deutlich, dass hier auch die übe</w:t>
      </w:r>
      <w:r>
        <w:t>r</w:t>
      </w:r>
      <w:r>
        <w:t xml:space="preserve">geordneten Instanzen der Länder gefordert sind, sich </w:t>
      </w:r>
      <w:r w:rsidRPr="004D1354">
        <w:rPr>
          <w:u w:val="single"/>
        </w:rPr>
        <w:t>planend, steuernd und kontrollierend</w:t>
      </w:r>
      <w:r>
        <w:t xml:space="preserve"> an der Umsetzung der wohnpolitischen Rahmenbedingungen einzubringen. Ein Beispiel dafür stellt die Initiative der Wohnbauabteilung des Landes Niederösterreich dar, die ein Vergab</w:t>
      </w:r>
      <w:r>
        <w:t>e</w:t>
      </w:r>
      <w:r>
        <w:lastRenderedPageBreak/>
        <w:t xml:space="preserve">gremium auf der Ebene des Landes für die planmäßige Steuerung der Vergabe öffentlichen Wohnraums in Niederösterreich eingerichtet hat. Von diesem Gremium wird ein Viertel der mit Mitteln der Wohnbauförderung neu errichteten Wohnungen vergeben. </w:t>
      </w:r>
    </w:p>
    <w:p w:rsidR="0063002F" w:rsidRDefault="0063002F" w:rsidP="00575C27">
      <w:r>
        <w:t xml:space="preserve">Zum Vergleich: In Wien vergibt das Wohnservice etwa ein Drittel aller Wohnungen. </w:t>
      </w:r>
    </w:p>
    <w:p w:rsidR="00575C27" w:rsidRPr="00146E23" w:rsidRDefault="00575C27" w:rsidP="00575C27">
      <w:r>
        <w:t>Demgegenüber legt die zuständige Wohnbauabteilung der Tiroler Landesregierung das G</w:t>
      </w:r>
      <w:r>
        <w:t>e</w:t>
      </w:r>
      <w:r>
        <w:t xml:space="preserve">wicht auf eine </w:t>
      </w:r>
      <w:r w:rsidRPr="00A94F72">
        <w:rPr>
          <w:u w:val="single"/>
        </w:rPr>
        <w:t>proaktive Information von Gemeinden und Wohnbauträgern</w:t>
      </w:r>
      <w:r>
        <w:t>, die im Zuge der Bewilligung von Fördermitteln aus der Wohnbauförderung über Vergaberegeln und Definition des AdressatInnenkreises dezidiert informiert werden:</w:t>
      </w:r>
      <w:r w:rsidRPr="00293B30">
        <w:rPr>
          <w:b/>
          <w:i/>
          <w:sz w:val="20"/>
        </w:rPr>
        <w:t xml:space="preserve"> </w:t>
      </w:r>
      <w:r w:rsidRPr="00146E23">
        <w:t>Die Richtlinien für die Vergabe werden von der Wohnbauförderungsabteilung im Zuge der Bewilligung von Bauvorhaben und der Fö</w:t>
      </w:r>
      <w:r w:rsidRPr="00146E23">
        <w:t>r</w:t>
      </w:r>
      <w:r w:rsidRPr="00146E23">
        <w:t>derung sowohl an die Gemeinde als auch an den verantwortlichen Wohnbauträger versandt; in diesem Schreiben wird im Sinne der Gleichbehandlungsnormen dezidiert auch auf die Def</w:t>
      </w:r>
      <w:r w:rsidRPr="00146E23">
        <w:t>i</w:t>
      </w:r>
      <w:r w:rsidRPr="00146E23">
        <w:t>nition des berechtigten Personenkreises hingewiesen</w:t>
      </w:r>
      <w:r>
        <w:t>.</w:t>
      </w:r>
      <w:r w:rsidRPr="00146E23">
        <w:t xml:space="preserve"> </w:t>
      </w:r>
      <w:r>
        <w:br/>
      </w:r>
    </w:p>
    <w:p w:rsidR="00686BB5" w:rsidRDefault="00686BB5" w:rsidP="00686BB5">
      <w:pPr>
        <w:pStyle w:val="berschrift3"/>
      </w:pPr>
      <w:r>
        <w:t>6.3</w:t>
      </w:r>
      <w:r>
        <w:tab/>
        <w:t>Förderung von Integration und Zusammenleben</w:t>
      </w:r>
    </w:p>
    <w:p w:rsidR="00575C27" w:rsidRDefault="00575C27" w:rsidP="00575C27">
      <w:r>
        <w:br/>
        <w:t>Integrationsförderung ist im Verständnis unserer InterviewpartnerInnen wesentlich als Que</w:t>
      </w:r>
      <w:r>
        <w:t>r</w:t>
      </w:r>
      <w:r>
        <w:t>schnittagenda zu verstehen. Dies wird in einer Reihe von modellhaften Projekten deutlich und zeigt sich etwa in einem Wohnbau- und Siedlungsplanung (Projekt Nordbahnhof / Wien), das in einer bereichsübergreifenden Kooperation von Agenturen der Wohnungswirtschaft (G</w:t>
      </w:r>
      <w:r>
        <w:t>e</w:t>
      </w:r>
      <w:r>
        <w:t>meinnütziger Wohnbauträger) und einer Beratungs-/Vertretungseinrichtung (Wiener Hilfswerk) in der Wohnungsvergabe ihren Niederschlag findet und – last but not least – in begleitende Angebote in der Besiedlungsphase mündet.</w:t>
      </w:r>
    </w:p>
    <w:p w:rsidR="00575C27" w:rsidRDefault="00575C27" w:rsidP="00575C27">
      <w:r>
        <w:t>Ein analoges Beispiel dafür bietet das Projekt „hinschauen statt wegschauen“, das vom G</w:t>
      </w:r>
      <w:r>
        <w:t>e</w:t>
      </w:r>
      <w:r>
        <w:t>meinnützigen Wohnbauträger LAWOG</w:t>
      </w:r>
      <w:r w:rsidR="008A451D">
        <w:rPr>
          <w:rStyle w:val="Funotenzeichen"/>
        </w:rPr>
        <w:footnoteReference w:id="25"/>
      </w:r>
      <w:r>
        <w:t xml:space="preserve"> aktuell</w:t>
      </w:r>
      <w:r w:rsidR="006041C4">
        <w:t xml:space="preserve"> in Wels / Oberösterreich realisiert wird</w:t>
      </w:r>
      <w:r>
        <w:t>. Im Mittelpunkt dieses Projekts steht die Kooperation des Wohnbauträgers mit externen Einric</w:t>
      </w:r>
      <w:r>
        <w:t>h</w:t>
      </w:r>
      <w:r>
        <w:t xml:space="preserve">tungen zur Betreuung von </w:t>
      </w:r>
      <w:r w:rsidRPr="005547EA">
        <w:rPr>
          <w:u w:val="single"/>
        </w:rPr>
        <w:t>MieterInneninitiativen</w:t>
      </w:r>
      <w:r>
        <w:t xml:space="preserve"> und zur </w:t>
      </w:r>
      <w:r w:rsidRPr="005547EA">
        <w:rPr>
          <w:u w:val="single"/>
        </w:rPr>
        <w:t>Mediation von (interkulturellen) Ko</w:t>
      </w:r>
      <w:r w:rsidRPr="005547EA">
        <w:rPr>
          <w:u w:val="single"/>
        </w:rPr>
        <w:t>n</w:t>
      </w:r>
      <w:r w:rsidRPr="005547EA">
        <w:rPr>
          <w:u w:val="single"/>
        </w:rPr>
        <w:t>flikten</w:t>
      </w:r>
      <w:r>
        <w:t xml:space="preserve"> in einer Siedlung, die einen hohen Anteil von Haushalten mit Migrationshintergrund aufweist. Besonderes Merkmal dieses Projekts ist die Bereitstellung von Räumlichkeiten in der Siedlung für Unterstützungs- und Förderangebote, z.B. für Deutschkurse etc. Auf Sicht wird es so möglich, integrierte Förderangebote im Wohnumfeld, einschließlich Bildung, Gesundheit etc. zu realisieren, das Zusammenleben durch Gemeinwesenarbeit zu begleiten und zu fö</w:t>
      </w:r>
      <w:r>
        <w:t>r</w:t>
      </w:r>
      <w:r>
        <w:lastRenderedPageBreak/>
        <w:t>dern, ohne dass dabei von vornherein Fragen der Integration, interkultureller Konflikte und / oder Defizite und Probleme im Kontext von Migration im Vordergrund stehen (müssen).</w:t>
      </w:r>
    </w:p>
    <w:p w:rsidR="00575C27" w:rsidRDefault="00575C27" w:rsidP="00575C27">
      <w:r>
        <w:t xml:space="preserve">Diese Gesichtspunkte und Zielsetzungen werden auch von einzelnen </w:t>
      </w:r>
      <w:r w:rsidRPr="005547EA">
        <w:rPr>
          <w:u w:val="single"/>
        </w:rPr>
        <w:t xml:space="preserve">integrationsfördernden </w:t>
      </w:r>
      <w:r w:rsidR="006041C4" w:rsidRPr="005547EA">
        <w:rPr>
          <w:u w:val="single"/>
        </w:rPr>
        <w:t>Gemeinwesenarbeit</w:t>
      </w:r>
      <w:r w:rsidRPr="005547EA">
        <w:rPr>
          <w:u w:val="single"/>
        </w:rPr>
        <w:t>-Projekten</w:t>
      </w:r>
      <w:r>
        <w:t xml:space="preserve"> angestrebt und realisiert, die von der Serviceeinrichtung „Wohnpartner“ im Auftrag der Stadt Wien</w:t>
      </w:r>
      <w:r w:rsidR="008A451D">
        <w:rPr>
          <w:rStyle w:val="Funotenzeichen"/>
        </w:rPr>
        <w:footnoteReference w:id="26"/>
      </w:r>
      <w:r>
        <w:t xml:space="preserve"> für BewohnerInnen von MieterInnen von Gemei</w:t>
      </w:r>
      <w:r>
        <w:t>n</w:t>
      </w:r>
      <w:r w:rsidR="008A451D">
        <w:t>dewohnungen umgesetzt werden</w:t>
      </w:r>
      <w:r w:rsidR="006041C4">
        <w:t xml:space="preserve"> und finden sich auch in Angeboten der Besiedlungsbegle</w:t>
      </w:r>
      <w:r w:rsidR="006041C4">
        <w:t>i</w:t>
      </w:r>
      <w:r w:rsidR="006041C4">
        <w:t>tung für MieterInnen im Wohnumfeld</w:t>
      </w:r>
      <w:r w:rsidR="008A451D">
        <w:rPr>
          <w:rStyle w:val="Funotenzeichen"/>
        </w:rPr>
        <w:footnoteReference w:id="27"/>
      </w:r>
      <w:r>
        <w:t xml:space="preserve">. </w:t>
      </w:r>
    </w:p>
    <w:p w:rsidR="007219A3" w:rsidRDefault="007219A3" w:rsidP="00575C27">
      <w:r>
        <w:t>Dass die Förderung von Integration auch das eigene Selbstverständnis der damit befassten Einrichtungen betrifft, belegt das Beispiel einer Betreuungseinrichtung für MigrantInnen, die sich Diversität zum Jahresthema für Reflexion und Weiterbildung gesetzt hat: „</w:t>
      </w:r>
      <w:r w:rsidRPr="007219A3">
        <w:rPr>
          <w:i/>
        </w:rPr>
        <w:t>In Klausuren und Weiterbildungsveranstaltungen geht es auch um Ethnie, es haben sich die Teams mit dem Thema beschäftigt und wir haben herausgefunden, dass wir das im Team eh leben. Wir haben MitarbeiterInnen aus Serbien, Kroatien</w:t>
      </w:r>
      <w:r w:rsidR="002A1C00">
        <w:rPr>
          <w:i/>
        </w:rPr>
        <w:t>,</w:t>
      </w:r>
      <w:r w:rsidRPr="007219A3">
        <w:rPr>
          <w:i/>
        </w:rPr>
        <w:t xml:space="preserve"> Bosnien</w:t>
      </w:r>
      <w:r w:rsidR="002A1C00">
        <w:rPr>
          <w:i/>
        </w:rPr>
        <w:t xml:space="preserve"> und der Türkei</w:t>
      </w:r>
      <w:r w:rsidRPr="007219A3">
        <w:rPr>
          <w:i/>
        </w:rPr>
        <w:t>, wir haben Schwule und Het</w:t>
      </w:r>
      <w:r w:rsidRPr="007219A3">
        <w:rPr>
          <w:i/>
        </w:rPr>
        <w:t>e</w:t>
      </w:r>
      <w:r w:rsidRPr="007219A3">
        <w:rPr>
          <w:i/>
        </w:rPr>
        <w:t xml:space="preserve">ros, Männer und Frauen - es ist eigentlich bunt gemischt. Kriterium für Diversity ist aber nicht der ethnische etc. Hintergrund, es geht vielmehr um die Skills, die gebraucht werden, um mit den entsprechenden Anforderungen </w:t>
      </w:r>
      <w:r w:rsidR="002A1C00" w:rsidRPr="007219A3">
        <w:rPr>
          <w:i/>
        </w:rPr>
        <w:t>zu Recht</w:t>
      </w:r>
      <w:r w:rsidRPr="007219A3">
        <w:rPr>
          <w:i/>
        </w:rPr>
        <w:t xml:space="preserve"> zu kommen.</w:t>
      </w:r>
      <w:r>
        <w:rPr>
          <w:i/>
        </w:rPr>
        <w:t>“</w:t>
      </w:r>
      <w:r w:rsidR="002A1C00">
        <w:rPr>
          <w:i/>
        </w:rPr>
        <w:t xml:space="preserve"> (Interview Beratungseinrichtung Wien)</w:t>
      </w:r>
    </w:p>
    <w:p w:rsidR="00575C27" w:rsidRDefault="00575C27" w:rsidP="00575C27">
      <w:r>
        <w:t xml:space="preserve">Beratung und Unterstützung von Gemeinden in Integrationsfragen </w:t>
      </w:r>
      <w:r w:rsidR="006041C4">
        <w:t>sind weitere Schwerpunkte, die etwa in</w:t>
      </w:r>
      <w:r>
        <w:t xml:space="preserve"> Vorarlberg und Oberösterreich</w:t>
      </w:r>
      <w:r w:rsidR="006041C4">
        <w:t xml:space="preserve"> die Realisierung und Weiterentwicklung von inte</w:t>
      </w:r>
      <w:r w:rsidR="006041C4">
        <w:t>g</w:t>
      </w:r>
      <w:r w:rsidR="006041C4">
        <w:t>rationsfördernden Rahmenbedingungen in Wohnsiedlungen und Gemeinden</w:t>
      </w:r>
      <w:r w:rsidR="007219A3">
        <w:t>,</w:t>
      </w:r>
      <w:r w:rsidR="006041C4">
        <w:t xml:space="preserve"> z.T. in der Regie von regionalen </w:t>
      </w:r>
      <w:r w:rsidR="002A1C00">
        <w:t>Einrichtung zur Förderung von Integration</w:t>
      </w:r>
      <w:r w:rsidR="008A451D">
        <w:t xml:space="preserve"> in Vorarlberg</w:t>
      </w:r>
      <w:r w:rsidR="008A451D">
        <w:rPr>
          <w:rStyle w:val="Funotenzeichen"/>
        </w:rPr>
        <w:footnoteReference w:id="28"/>
      </w:r>
      <w:r w:rsidR="007219A3">
        <w:t xml:space="preserve"> </w:t>
      </w:r>
      <w:r w:rsidR="006041C4">
        <w:t>oder der Integrat</w:t>
      </w:r>
      <w:r w:rsidR="006041C4">
        <w:t>i</w:t>
      </w:r>
      <w:r w:rsidR="006041C4">
        <w:t xml:space="preserve">onsbeauftragten des Landes </w:t>
      </w:r>
      <w:r w:rsidR="002A1C00">
        <w:t>Oberösterreich</w:t>
      </w:r>
      <w:r w:rsidR="008A451D">
        <w:rPr>
          <w:rStyle w:val="Funotenzeichen"/>
        </w:rPr>
        <w:footnoteReference w:id="29"/>
      </w:r>
      <w:r w:rsidR="007219A3">
        <w:t>,</w:t>
      </w:r>
      <w:r w:rsidR="006041C4">
        <w:t xml:space="preserve"> </w:t>
      </w:r>
      <w:r w:rsidR="007219A3">
        <w:t>initiieren und begleiten</w:t>
      </w:r>
      <w:r w:rsidR="006041C4">
        <w:t>.</w:t>
      </w:r>
    </w:p>
    <w:p w:rsidR="00575C27" w:rsidRDefault="00575C27" w:rsidP="00575C27"/>
    <w:p w:rsidR="00EC0FB4" w:rsidRDefault="00EC0FB4" w:rsidP="00B96626">
      <w:pPr>
        <w:rPr>
          <w:u w:val="single"/>
        </w:rPr>
      </w:pPr>
    </w:p>
    <w:p w:rsidR="009A77F5" w:rsidRDefault="009A77F5" w:rsidP="009A77F5"/>
    <w:p w:rsidR="00C2624A" w:rsidRDefault="00C2624A">
      <w:pPr>
        <w:spacing w:before="180" w:after="240" w:line="336" w:lineRule="auto"/>
        <w:jc w:val="center"/>
        <w:rPr>
          <w:rFonts w:eastAsia="Calibri" w:cs="Arial"/>
          <w:b/>
          <w:bCs/>
          <w:iCs/>
          <w:sz w:val="24"/>
          <w:lang w:eastAsia="en-US"/>
        </w:rPr>
      </w:pPr>
      <w:r>
        <w:br w:type="page"/>
      </w:r>
    </w:p>
    <w:p w:rsidR="00F73F5B" w:rsidRDefault="00F73F5B" w:rsidP="00965106">
      <w:pPr>
        <w:pStyle w:val="IntensivesAnfhrungszeichen"/>
        <w:numPr>
          <w:ilvl w:val="0"/>
          <w:numId w:val="31"/>
        </w:numPr>
        <w:jc w:val="right"/>
      </w:pPr>
      <w:r>
        <w:lastRenderedPageBreak/>
        <w:t>Literatur, Materialien und weiterführende Links</w:t>
      </w:r>
    </w:p>
    <w:p w:rsidR="00F73F5B" w:rsidRDefault="00F73F5B" w:rsidP="00F73F5B">
      <w:pPr>
        <w:ind w:left="426" w:hanging="426"/>
      </w:pPr>
      <w:r>
        <w:t xml:space="preserve">Julia Abermann, Zugangsbeschränkung zum öffentlichen Wohnraum für Migranten </w:t>
      </w:r>
      <w:r w:rsidR="009D702E">
        <w:br/>
      </w:r>
      <w:r>
        <w:t>durch Quoten?, Migralex 2008, S. 67-71</w:t>
      </w:r>
    </w:p>
    <w:p w:rsidR="00F73F5B" w:rsidRDefault="00F73F5B" w:rsidP="00F73F5B">
      <w:pPr>
        <w:ind w:left="426" w:hanging="426"/>
      </w:pPr>
      <w:r>
        <w:t>Armutsbericht Oberösterreich 2010: Armut und Wohnen, Linz 2010</w:t>
      </w:r>
    </w:p>
    <w:p w:rsidR="00F73F5B" w:rsidRDefault="00F73F5B" w:rsidP="00F73F5B">
      <w:pPr>
        <w:ind w:left="426" w:hanging="426"/>
      </w:pPr>
      <w:r>
        <w:t xml:space="preserve">DOWAS, Mietzinsbeihilfenblockade, Die Geschichte eines politischen Versprechens, </w:t>
      </w:r>
      <w:r w:rsidR="009D702E">
        <w:br/>
      </w:r>
      <w:r>
        <w:t>in: DOWAS-Jahresbericht 2010, S. 53-58</w:t>
      </w:r>
    </w:p>
    <w:p w:rsidR="003B768E" w:rsidRDefault="003B768E" w:rsidP="00F73F5B">
      <w:pPr>
        <w:ind w:left="426" w:hanging="426"/>
      </w:pPr>
      <w:r>
        <w:t>Volker Frey, Recht auf Wohnen? Wien 2011</w:t>
      </w:r>
    </w:p>
    <w:p w:rsidR="003B768E" w:rsidRDefault="003B768E" w:rsidP="00F73F5B">
      <w:pPr>
        <w:ind w:left="426" w:hanging="426"/>
      </w:pPr>
      <w:r>
        <w:t xml:space="preserve">Gleichbehandlungsanwaltschaft Österreich, Nur wer Deutsch kann, soll auch wohnen? o.J., verfügbar unter: </w:t>
      </w:r>
      <w:hyperlink r:id="rId70" w:history="1">
        <w:r w:rsidRPr="00211426">
          <w:rPr>
            <w:rStyle w:val="Hyperlink"/>
          </w:rPr>
          <w:t>http://www.gleichbehandlungsanwaltschaft.at/DocView.axd?CobId=42585</w:t>
        </w:r>
      </w:hyperlink>
      <w:r>
        <w:t xml:space="preserve"> (Zugriff: 21.5.2011)</w:t>
      </w:r>
    </w:p>
    <w:p w:rsidR="00F73F5B" w:rsidRDefault="00F73F5B" w:rsidP="00F73F5B">
      <w:pPr>
        <w:ind w:left="426" w:hanging="426"/>
      </w:pPr>
      <w:r>
        <w:t xml:space="preserve">Integrationsfonds Österreich, Wohnsituation, verfügbar unter: </w:t>
      </w:r>
      <w:hyperlink r:id="rId71" w:history="1">
        <w:r w:rsidRPr="00936204">
          <w:rPr>
            <w:rStyle w:val="Hyperlink"/>
          </w:rPr>
          <w:t>http://www.integrationsfonds.at/wissen/zahlen_und_fakten_2009/soziooekonomische_situation/wohnsituation/</w:t>
        </w:r>
      </w:hyperlink>
      <w:r>
        <w:t xml:space="preserve"> (Zugriff: 20.5.2011)</w:t>
      </w:r>
    </w:p>
    <w:p w:rsidR="00C55648" w:rsidRDefault="00C55648" w:rsidP="00F73F5B">
      <w:pPr>
        <w:ind w:left="426" w:hanging="426"/>
      </w:pPr>
      <w:r>
        <w:t xml:space="preserve">Heidi Lorenzi, Soziales Netzwerk Wohnen, in: Sozialarbeit </w:t>
      </w:r>
      <w:r w:rsidR="002A1C00">
        <w:t xml:space="preserve">in Tirol, 76, S. 26-27, </w:t>
      </w:r>
      <w:r w:rsidR="003F7C1F">
        <w:t>Innsbruck</w:t>
      </w:r>
      <w:r>
        <w:t xml:space="preserve"> 2010</w:t>
      </w:r>
    </w:p>
    <w:p w:rsidR="003B768E" w:rsidRDefault="003B768E" w:rsidP="00F73F5B">
      <w:pPr>
        <w:ind w:left="426" w:hanging="426"/>
      </w:pPr>
      <w:r>
        <w:t>Magdalena Melcher, Mietzinsbeihilfe – was ist neu ab 01.01.2011? in: SIT Sozialarbeit in Tirol 84, Innsbruck 2011</w:t>
      </w:r>
    </w:p>
    <w:p w:rsidR="00F73F5B" w:rsidRDefault="00F73F5B" w:rsidP="00F73F5B">
      <w:pPr>
        <w:ind w:left="426" w:hanging="426"/>
      </w:pPr>
      <w:r>
        <w:t>Andrea Moser (ZeMiT), Wohnungsvergabe in Tiroler Gemeinden, Innsbruck 2010, verfügbar unter</w:t>
      </w:r>
      <w:r>
        <w:rPr>
          <w:lang w:eastAsia="en-US"/>
        </w:rPr>
        <w:t xml:space="preserve">: </w:t>
      </w:r>
      <w:hyperlink r:id="rId72" w:history="1">
        <w:r w:rsidRPr="00936204">
          <w:rPr>
            <w:rStyle w:val="Hyperlink"/>
            <w:lang w:eastAsia="en-US"/>
          </w:rPr>
          <w:t>http://www.imz-tirol.at/studien.html</w:t>
        </w:r>
      </w:hyperlink>
      <w:r>
        <w:rPr>
          <w:lang w:eastAsia="en-US"/>
        </w:rPr>
        <w:t xml:space="preserve"> (Zugriff: 20.5.2011)</w:t>
      </w:r>
    </w:p>
    <w:p w:rsidR="00F73F5B" w:rsidRDefault="00F73F5B" w:rsidP="00F73F5B">
      <w:pPr>
        <w:autoSpaceDE w:val="0"/>
        <w:autoSpaceDN w:val="0"/>
        <w:adjustRightInd w:val="0"/>
        <w:ind w:left="425" w:hanging="425"/>
      </w:pPr>
      <w:r>
        <w:t xml:space="preserve">Heinz </w:t>
      </w:r>
      <w:r w:rsidRPr="00D34EDA">
        <w:t>Schoibl: Zugang zu erschwinglichem Wohnraum für benachteiligte Personen und Hau</w:t>
      </w:r>
      <w:r w:rsidRPr="00D34EDA">
        <w:t>s</w:t>
      </w:r>
      <w:r w:rsidRPr="00D34EDA">
        <w:t xml:space="preserve">halte / Access to </w:t>
      </w:r>
      <w:r w:rsidR="00A93862" w:rsidRPr="00D34EDA">
        <w:t xml:space="preserve">Housing </w:t>
      </w:r>
      <w:r w:rsidRPr="00D34EDA">
        <w:t xml:space="preserve">for </w:t>
      </w:r>
      <w:r w:rsidR="00A93862" w:rsidRPr="00D34EDA">
        <w:t>Vulnerable People</w:t>
      </w:r>
      <w:r w:rsidRPr="00D34EDA">
        <w:t>; Österreichbericht für FEANTSA, Brüssel – Salzburg 2001</w:t>
      </w:r>
    </w:p>
    <w:p w:rsidR="00F73F5B" w:rsidRDefault="00F73F5B" w:rsidP="00F73F5B">
      <w:pPr>
        <w:autoSpaceDE w:val="0"/>
        <w:autoSpaceDN w:val="0"/>
        <w:adjustRightInd w:val="0"/>
        <w:ind w:left="425" w:hanging="425"/>
      </w:pPr>
      <w:r>
        <w:t xml:space="preserve">Heinz </w:t>
      </w:r>
      <w:r w:rsidRPr="00D34EDA">
        <w:t>Schoibl: Armut im Wohlstand ist verdeckte Armut; regionaler Armutsbericht für das Bundesland Salzburg, Salzburg 2002</w:t>
      </w:r>
    </w:p>
    <w:p w:rsidR="00F73F5B" w:rsidRDefault="00F73F5B" w:rsidP="00F73F5B">
      <w:pPr>
        <w:autoSpaceDE w:val="0"/>
        <w:autoSpaceDN w:val="0"/>
        <w:adjustRightInd w:val="0"/>
        <w:ind w:left="425" w:hanging="425"/>
      </w:pPr>
      <w:r>
        <w:t>Heinz Schoibl</w:t>
      </w:r>
      <w:r w:rsidRPr="00D34EDA">
        <w:t>: Migration und Wohnungslosigkeit; Österreichbericht für FEANTSA, Brüssel – Salzburg 2002</w:t>
      </w:r>
    </w:p>
    <w:p w:rsidR="00F73F5B" w:rsidRPr="00F63986" w:rsidRDefault="00F73F5B" w:rsidP="00F73F5B">
      <w:pPr>
        <w:spacing w:before="120"/>
        <w:ind w:left="425" w:hanging="425"/>
      </w:pPr>
      <w:r w:rsidRPr="00D34EDA">
        <w:t>Heinz Schoibl, Knappes Gut Wohnen; strukturelle Gewalt im neoliberalen Staat – am Beispiel des Wohnungsmarktes; in: Nikolaus Dimmel / Josef Schmee (Hrsg.), Die Gewalt des ne</w:t>
      </w:r>
      <w:r w:rsidRPr="00D34EDA">
        <w:t>o</w:t>
      </w:r>
      <w:r w:rsidRPr="00D34EDA">
        <w:t>liberalen Staates, Wien 2008</w:t>
      </w:r>
    </w:p>
    <w:p w:rsidR="00F73F5B" w:rsidRPr="00F63986" w:rsidRDefault="00F73F5B" w:rsidP="00F73F5B">
      <w:pPr>
        <w:spacing w:before="120"/>
        <w:ind w:left="425" w:hanging="425"/>
      </w:pPr>
      <w:r w:rsidRPr="00D34EDA">
        <w:lastRenderedPageBreak/>
        <w:t>Heinz Schoibl, Armutsfalle Wohnen; in: Nikolaus Dimmel / Karin Heitzmann / Martin Schenk (Hrsg.): Handbuch Armut in Österreich, Wien 2008</w:t>
      </w:r>
    </w:p>
    <w:p w:rsidR="00AC2E54" w:rsidRDefault="00AC2E54" w:rsidP="00E06418">
      <w:pPr>
        <w:ind w:left="425" w:hanging="425"/>
        <w:rPr>
          <w:lang w:eastAsia="en-US"/>
        </w:rPr>
      </w:pPr>
      <w:r>
        <w:rPr>
          <w:lang w:eastAsia="en-US"/>
        </w:rPr>
        <w:t>Stadtgemeinde Innsbruck (</w:t>
      </w:r>
      <w:r w:rsidR="003F7C1F">
        <w:rPr>
          <w:lang w:eastAsia="en-US"/>
        </w:rPr>
        <w:t>Hgg.</w:t>
      </w:r>
      <w:r>
        <w:rPr>
          <w:lang w:eastAsia="en-US"/>
        </w:rPr>
        <w:t xml:space="preserve">), Gemeinsam Wohnen </w:t>
      </w:r>
      <w:r w:rsidRPr="00E06418">
        <w:rPr>
          <w:sz w:val="48"/>
          <w:lang w:eastAsia="en-US"/>
        </w:rPr>
        <w:t>.</w:t>
      </w:r>
      <w:r>
        <w:rPr>
          <w:lang w:eastAsia="en-US"/>
        </w:rPr>
        <w:t xml:space="preserve"> Gemeinsam Leben, Innsbruck 2011</w:t>
      </w:r>
    </w:p>
    <w:p w:rsidR="00F73F5B" w:rsidRDefault="00F73F5B" w:rsidP="00F73F5B">
      <w:pPr>
        <w:ind w:left="426" w:hanging="426"/>
        <w:rPr>
          <w:lang w:eastAsia="en-US"/>
        </w:rPr>
      </w:pPr>
      <w:r>
        <w:rPr>
          <w:lang w:eastAsia="en-US"/>
        </w:rPr>
        <w:t xml:space="preserve">Statistik Austria, Migration und Integration, Wien 2010, verfügbar unter: </w:t>
      </w:r>
      <w:hyperlink r:id="rId73" w:history="1">
        <w:r w:rsidRPr="00936204">
          <w:rPr>
            <w:rStyle w:val="Hyperlink"/>
            <w:lang w:eastAsia="en-US"/>
          </w:rPr>
          <w:t>http://www.statistik.at/web_de/dynamic/services/publikationen/2/publdetail?id=2&amp;listid=2&amp;detail=579</w:t>
        </w:r>
      </w:hyperlink>
      <w:r>
        <w:rPr>
          <w:lang w:eastAsia="en-US"/>
        </w:rPr>
        <w:t xml:space="preserve"> (Zugriff: 20.5.2011)</w:t>
      </w:r>
    </w:p>
    <w:p w:rsidR="00F73F5B" w:rsidRPr="00D90D9E" w:rsidRDefault="00F73F5B" w:rsidP="00F73F5B">
      <w:pPr>
        <w:ind w:left="426" w:hanging="426"/>
        <w:rPr>
          <w:lang w:eastAsia="en-US"/>
        </w:rPr>
      </w:pPr>
      <w:r>
        <w:rPr>
          <w:lang w:eastAsia="en-US"/>
        </w:rPr>
        <w:t xml:space="preserve">Wohnbauförderung in Wien, Superförderung, verfügbar unter: </w:t>
      </w:r>
      <w:hyperlink r:id="rId74" w:history="1">
        <w:r w:rsidRPr="00936204">
          <w:rPr>
            <w:rStyle w:val="Hyperlink"/>
            <w:lang w:eastAsia="en-US"/>
          </w:rPr>
          <w:t>http://www.wien.gv.at/wohnen/wienerwohnen/superfoerderung.html</w:t>
        </w:r>
      </w:hyperlink>
      <w:r>
        <w:rPr>
          <w:lang w:eastAsia="en-US"/>
        </w:rPr>
        <w:t xml:space="preserve"> (Zugriff: 14.6.2011)</w:t>
      </w:r>
    </w:p>
    <w:p w:rsidR="00F73F5B" w:rsidRDefault="00F73F5B" w:rsidP="00F73F5B">
      <w:pPr>
        <w:ind w:left="426" w:hanging="426"/>
        <w:rPr>
          <w:lang w:eastAsia="en-US"/>
        </w:rPr>
      </w:pPr>
      <w:r>
        <w:rPr>
          <w:lang w:eastAsia="en-US"/>
        </w:rPr>
        <w:t xml:space="preserve">ZeMiT, Wohnen und Migrationsgesellschaft in Tirol, </w:t>
      </w:r>
      <w:r>
        <w:t xml:space="preserve">Tagungsdokumentation, </w:t>
      </w:r>
      <w:r>
        <w:rPr>
          <w:lang w:eastAsia="en-US"/>
        </w:rPr>
        <w:t xml:space="preserve">Innsbruck 2010, verfügbar unter: </w:t>
      </w:r>
      <w:hyperlink r:id="rId75" w:history="1">
        <w:r w:rsidRPr="00936204">
          <w:rPr>
            <w:rStyle w:val="Hyperlink"/>
            <w:lang w:eastAsia="en-US"/>
          </w:rPr>
          <w:t>http://www.imz-tirol.at/studien.html</w:t>
        </w:r>
      </w:hyperlink>
      <w:r>
        <w:rPr>
          <w:lang w:eastAsia="en-US"/>
        </w:rPr>
        <w:t xml:space="preserve"> (Zugriff: 20.5.2011)</w:t>
      </w:r>
    </w:p>
    <w:p w:rsidR="00AC2E54" w:rsidRDefault="00AC2E54">
      <w:pPr>
        <w:spacing w:before="180" w:after="240" w:line="336" w:lineRule="auto"/>
        <w:jc w:val="center"/>
        <w:rPr>
          <w:b/>
          <w:bCs/>
          <w:i/>
          <w:iCs/>
          <w:color w:val="4F81BD" w:themeColor="accent1"/>
        </w:rPr>
      </w:pPr>
      <w:r>
        <w:br w:type="page"/>
      </w:r>
    </w:p>
    <w:p w:rsidR="009A77F5" w:rsidRDefault="005F5B63" w:rsidP="00965106">
      <w:pPr>
        <w:pStyle w:val="IntensivesAnfhrungszeichen"/>
        <w:numPr>
          <w:ilvl w:val="0"/>
          <w:numId w:val="31"/>
        </w:numPr>
        <w:jc w:val="right"/>
      </w:pPr>
      <w:r>
        <w:lastRenderedPageBreak/>
        <w:t>ANHANG</w:t>
      </w:r>
      <w:r w:rsidR="008C040E">
        <w:t xml:space="preserve"> </w:t>
      </w:r>
    </w:p>
    <w:p w:rsidR="00742B50" w:rsidRPr="00742B50" w:rsidRDefault="00742B50" w:rsidP="00742B50"/>
    <w:p w:rsidR="005F5B63" w:rsidRDefault="00A4355C" w:rsidP="0039584A">
      <w:pPr>
        <w:pStyle w:val="berschrift3"/>
      </w:pPr>
      <w:r>
        <w:t>8.</w:t>
      </w:r>
      <w:r w:rsidR="008C040E">
        <w:t>1</w:t>
      </w:r>
      <w:r w:rsidR="005F5B63">
        <w:tab/>
        <w:t>Tabellenband</w:t>
      </w:r>
      <w:r w:rsidR="008C040E">
        <w:t xml:space="preserve"> zur Fragebogenerhebung</w:t>
      </w:r>
      <w:r w:rsidR="002A1C00">
        <w:br/>
      </w:r>
    </w:p>
    <w:p w:rsidR="005F5B63" w:rsidRPr="004D2382" w:rsidRDefault="005F5B63" w:rsidP="004D2382">
      <w:pPr>
        <w:rPr>
          <w:rStyle w:val="SchwacherVerweis"/>
        </w:rPr>
      </w:pPr>
      <w:r w:rsidRPr="004D2382">
        <w:rPr>
          <w:rStyle w:val="SchwacherVerweis"/>
        </w:rPr>
        <w:t>Verzeichnis der Tabellen</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6662"/>
        <w:gridCol w:w="1024"/>
      </w:tblGrid>
      <w:tr w:rsidR="005F5B63" w:rsidTr="00681694">
        <w:tc>
          <w:tcPr>
            <w:tcW w:w="1526" w:type="dxa"/>
          </w:tcPr>
          <w:p w:rsidR="005F5B63" w:rsidRDefault="005F5B63" w:rsidP="00142A4B">
            <w:pPr>
              <w:spacing w:before="60" w:after="60" w:line="240" w:lineRule="auto"/>
            </w:pPr>
            <w:r>
              <w:rPr>
                <w:lang w:val="de-AT"/>
              </w:rPr>
              <w:t>Tab. 1</w:t>
            </w:r>
          </w:p>
        </w:tc>
        <w:tc>
          <w:tcPr>
            <w:tcW w:w="6662" w:type="dxa"/>
          </w:tcPr>
          <w:p w:rsidR="005F5B63" w:rsidRDefault="00FF2B86" w:rsidP="00FF2B86">
            <w:pPr>
              <w:spacing w:before="60" w:after="60" w:line="240" w:lineRule="auto"/>
              <w:jc w:val="left"/>
            </w:pPr>
            <w:r>
              <w:rPr>
                <w:lang w:val="de-AT"/>
              </w:rPr>
              <w:t>Art der Einrichtungen</w:t>
            </w:r>
          </w:p>
        </w:tc>
        <w:tc>
          <w:tcPr>
            <w:tcW w:w="1024" w:type="dxa"/>
          </w:tcPr>
          <w:p w:rsidR="005F5B63" w:rsidRDefault="00A93862" w:rsidP="00142A4B">
            <w:pPr>
              <w:spacing w:before="60" w:after="60" w:line="240" w:lineRule="auto"/>
              <w:jc w:val="right"/>
            </w:pPr>
            <w:r>
              <w:t>116</w:t>
            </w:r>
          </w:p>
        </w:tc>
      </w:tr>
      <w:tr w:rsidR="005F5B63" w:rsidTr="00681694">
        <w:tc>
          <w:tcPr>
            <w:tcW w:w="1526" w:type="dxa"/>
          </w:tcPr>
          <w:p w:rsidR="005F5B63" w:rsidRDefault="005F5B63" w:rsidP="00142A4B">
            <w:pPr>
              <w:spacing w:before="60" w:after="60" w:line="240" w:lineRule="auto"/>
            </w:pPr>
            <w:r>
              <w:rPr>
                <w:lang w:val="de-AT"/>
              </w:rPr>
              <w:t>Tab. 2</w:t>
            </w:r>
          </w:p>
        </w:tc>
        <w:tc>
          <w:tcPr>
            <w:tcW w:w="6662" w:type="dxa"/>
          </w:tcPr>
          <w:p w:rsidR="005F5B63" w:rsidRDefault="00FF2B86" w:rsidP="00FF2B86">
            <w:pPr>
              <w:spacing w:before="60" w:after="60" w:line="240" w:lineRule="auto"/>
              <w:jc w:val="left"/>
            </w:pPr>
            <w:r>
              <w:rPr>
                <w:lang w:val="de-AT"/>
              </w:rPr>
              <w:t>Verteilung nach Wohnungstypen</w:t>
            </w:r>
          </w:p>
        </w:tc>
        <w:tc>
          <w:tcPr>
            <w:tcW w:w="1024" w:type="dxa"/>
          </w:tcPr>
          <w:p w:rsidR="005F5B63" w:rsidRDefault="00A93862" w:rsidP="00142A4B">
            <w:pPr>
              <w:spacing w:before="60" w:after="60" w:line="240" w:lineRule="auto"/>
              <w:jc w:val="right"/>
            </w:pPr>
            <w:r>
              <w:t>116</w:t>
            </w:r>
          </w:p>
        </w:tc>
      </w:tr>
      <w:tr w:rsidR="005F5B63" w:rsidTr="00681694">
        <w:tc>
          <w:tcPr>
            <w:tcW w:w="1526" w:type="dxa"/>
          </w:tcPr>
          <w:p w:rsidR="005F5B63" w:rsidRDefault="005F5B63" w:rsidP="00142A4B">
            <w:pPr>
              <w:spacing w:before="60" w:after="60" w:line="240" w:lineRule="auto"/>
            </w:pPr>
            <w:r>
              <w:rPr>
                <w:lang w:val="de-AT"/>
              </w:rPr>
              <w:t>Tab. 3</w:t>
            </w:r>
          </w:p>
        </w:tc>
        <w:tc>
          <w:tcPr>
            <w:tcW w:w="6662" w:type="dxa"/>
          </w:tcPr>
          <w:p w:rsidR="005F5B63" w:rsidRPr="00FF2B86" w:rsidRDefault="00FF2B86" w:rsidP="00FF2B86">
            <w:pPr>
              <w:spacing w:before="60" w:after="60" w:line="240" w:lineRule="auto"/>
              <w:jc w:val="left"/>
              <w:rPr>
                <w:i/>
              </w:rPr>
            </w:pPr>
            <w:r w:rsidRPr="00FF2B86">
              <w:rPr>
                <w:rStyle w:val="IntensiveHervorhebung"/>
                <w:b w:val="0"/>
                <w:i w:val="0"/>
                <w:color w:val="auto"/>
              </w:rPr>
              <w:t>Verteilung nach Aufgabenschwerpunkten</w:t>
            </w:r>
          </w:p>
        </w:tc>
        <w:tc>
          <w:tcPr>
            <w:tcW w:w="1024" w:type="dxa"/>
          </w:tcPr>
          <w:p w:rsidR="005F5B63" w:rsidRDefault="00A93862" w:rsidP="00142A4B">
            <w:pPr>
              <w:spacing w:before="60" w:after="60" w:line="240" w:lineRule="auto"/>
              <w:jc w:val="right"/>
            </w:pPr>
            <w:r>
              <w:t>116</w:t>
            </w:r>
          </w:p>
        </w:tc>
      </w:tr>
      <w:tr w:rsidR="005F5B63" w:rsidTr="00681694">
        <w:tc>
          <w:tcPr>
            <w:tcW w:w="1526" w:type="dxa"/>
          </w:tcPr>
          <w:p w:rsidR="005F5B63" w:rsidRDefault="005F5B63" w:rsidP="00142A4B">
            <w:pPr>
              <w:spacing w:before="60" w:after="60" w:line="240" w:lineRule="auto"/>
            </w:pPr>
            <w:r>
              <w:rPr>
                <w:lang w:val="de-AT"/>
              </w:rPr>
              <w:t>Tab. 4</w:t>
            </w:r>
          </w:p>
        </w:tc>
        <w:tc>
          <w:tcPr>
            <w:tcW w:w="6662" w:type="dxa"/>
          </w:tcPr>
          <w:p w:rsidR="005F5B63" w:rsidRDefault="00FF2B86" w:rsidP="00FF2B86">
            <w:pPr>
              <w:spacing w:before="60" w:after="60" w:line="240" w:lineRule="auto"/>
              <w:jc w:val="left"/>
            </w:pPr>
            <w:r>
              <w:rPr>
                <w:lang w:val="de-AT"/>
              </w:rPr>
              <w:t>Wohnungsbestand in der Verfügung der Einrichtungen</w:t>
            </w:r>
          </w:p>
        </w:tc>
        <w:tc>
          <w:tcPr>
            <w:tcW w:w="1024" w:type="dxa"/>
          </w:tcPr>
          <w:p w:rsidR="005F5B63" w:rsidRDefault="00A93862" w:rsidP="00142A4B">
            <w:pPr>
              <w:spacing w:before="60" w:after="60" w:line="240" w:lineRule="auto"/>
              <w:jc w:val="right"/>
            </w:pPr>
            <w:r>
              <w:t>116</w:t>
            </w:r>
          </w:p>
        </w:tc>
      </w:tr>
      <w:tr w:rsidR="005F5B63" w:rsidTr="00681694">
        <w:tc>
          <w:tcPr>
            <w:tcW w:w="1526" w:type="dxa"/>
          </w:tcPr>
          <w:p w:rsidR="005F5B63" w:rsidRDefault="005F5B63" w:rsidP="00142A4B">
            <w:pPr>
              <w:spacing w:before="60" w:after="60" w:line="240" w:lineRule="auto"/>
            </w:pPr>
            <w:r>
              <w:rPr>
                <w:lang w:val="de-AT"/>
              </w:rPr>
              <w:t>Tab. 5</w:t>
            </w:r>
          </w:p>
        </w:tc>
        <w:tc>
          <w:tcPr>
            <w:tcW w:w="6662" w:type="dxa"/>
          </w:tcPr>
          <w:p w:rsidR="005F5B63" w:rsidRDefault="00FF2B86" w:rsidP="00FF2B86">
            <w:pPr>
              <w:spacing w:before="60" w:after="60" w:line="240" w:lineRule="auto"/>
              <w:jc w:val="left"/>
            </w:pPr>
            <w:r>
              <w:t>Anteil von Eigentumswohnungen im Bestand</w:t>
            </w:r>
          </w:p>
        </w:tc>
        <w:tc>
          <w:tcPr>
            <w:tcW w:w="1024" w:type="dxa"/>
          </w:tcPr>
          <w:p w:rsidR="005F5B63" w:rsidRDefault="00A93862" w:rsidP="00142A4B">
            <w:pPr>
              <w:spacing w:before="60" w:after="60" w:line="240" w:lineRule="auto"/>
              <w:jc w:val="right"/>
            </w:pPr>
            <w:r>
              <w:t>116</w:t>
            </w:r>
          </w:p>
        </w:tc>
      </w:tr>
      <w:tr w:rsidR="005F5B63" w:rsidTr="00681694">
        <w:tc>
          <w:tcPr>
            <w:tcW w:w="1526" w:type="dxa"/>
          </w:tcPr>
          <w:p w:rsidR="005F5B63" w:rsidRDefault="005F5B63" w:rsidP="00142A4B">
            <w:pPr>
              <w:spacing w:before="60" w:after="60" w:line="240" w:lineRule="auto"/>
            </w:pPr>
            <w:r>
              <w:rPr>
                <w:lang w:val="de-AT"/>
              </w:rPr>
              <w:t>Tab. 6</w:t>
            </w:r>
          </w:p>
        </w:tc>
        <w:tc>
          <w:tcPr>
            <w:tcW w:w="6662" w:type="dxa"/>
          </w:tcPr>
          <w:p w:rsidR="005F5B63" w:rsidRDefault="00FF2B86" w:rsidP="00FF2B86">
            <w:pPr>
              <w:spacing w:before="60" w:after="60" w:line="240" w:lineRule="auto"/>
              <w:jc w:val="left"/>
            </w:pPr>
            <w:r>
              <w:rPr>
                <w:lang w:val="de-AT"/>
              </w:rPr>
              <w:t>Verteilung der MieterInnen nach fremdenrechtlichem Status</w:t>
            </w:r>
          </w:p>
        </w:tc>
        <w:tc>
          <w:tcPr>
            <w:tcW w:w="1024" w:type="dxa"/>
          </w:tcPr>
          <w:p w:rsidR="005F5B63" w:rsidRDefault="00A93862" w:rsidP="00142A4B">
            <w:pPr>
              <w:spacing w:before="60" w:after="60" w:line="240" w:lineRule="auto"/>
              <w:jc w:val="right"/>
            </w:pPr>
            <w:r>
              <w:t>117</w:t>
            </w:r>
          </w:p>
        </w:tc>
      </w:tr>
      <w:tr w:rsidR="005F5B63" w:rsidTr="00681694">
        <w:tc>
          <w:tcPr>
            <w:tcW w:w="1526" w:type="dxa"/>
          </w:tcPr>
          <w:p w:rsidR="005F5B63" w:rsidRDefault="005F5B63" w:rsidP="00142A4B">
            <w:pPr>
              <w:spacing w:before="60" w:after="60" w:line="240" w:lineRule="auto"/>
            </w:pPr>
            <w:r>
              <w:rPr>
                <w:lang w:val="de-AT"/>
              </w:rPr>
              <w:t>Tab. 7</w:t>
            </w:r>
          </w:p>
        </w:tc>
        <w:tc>
          <w:tcPr>
            <w:tcW w:w="6662" w:type="dxa"/>
          </w:tcPr>
          <w:p w:rsidR="005F5B63" w:rsidRDefault="00FF2B86" w:rsidP="00FF2B86">
            <w:pPr>
              <w:spacing w:before="60" w:after="60" w:line="240" w:lineRule="auto"/>
              <w:jc w:val="left"/>
            </w:pPr>
            <w:r>
              <w:t>Andere als deutsche Muttersprache</w:t>
            </w:r>
          </w:p>
        </w:tc>
        <w:tc>
          <w:tcPr>
            <w:tcW w:w="1024" w:type="dxa"/>
          </w:tcPr>
          <w:p w:rsidR="005F5B63" w:rsidRDefault="00A93862" w:rsidP="00142A4B">
            <w:pPr>
              <w:spacing w:before="60" w:after="60" w:line="240" w:lineRule="auto"/>
              <w:jc w:val="right"/>
            </w:pPr>
            <w:r>
              <w:t>117</w:t>
            </w:r>
          </w:p>
        </w:tc>
      </w:tr>
      <w:tr w:rsidR="005F5B63" w:rsidTr="00681694">
        <w:tc>
          <w:tcPr>
            <w:tcW w:w="1526" w:type="dxa"/>
          </w:tcPr>
          <w:p w:rsidR="005F5B63" w:rsidRDefault="005F5B63" w:rsidP="00142A4B">
            <w:pPr>
              <w:spacing w:before="60" w:after="60" w:line="240" w:lineRule="auto"/>
              <w:rPr>
                <w:lang w:val="de-AT"/>
              </w:rPr>
            </w:pPr>
            <w:r>
              <w:rPr>
                <w:lang w:val="de-AT"/>
              </w:rPr>
              <w:t>Tab. 8</w:t>
            </w:r>
          </w:p>
        </w:tc>
        <w:tc>
          <w:tcPr>
            <w:tcW w:w="6662" w:type="dxa"/>
          </w:tcPr>
          <w:p w:rsidR="005F5B63" w:rsidRDefault="00FF2B86" w:rsidP="00FF2B86">
            <w:pPr>
              <w:spacing w:before="60" w:after="60" w:line="240" w:lineRule="auto"/>
              <w:jc w:val="left"/>
            </w:pPr>
            <w:r>
              <w:rPr>
                <w:lang w:val="de-AT"/>
              </w:rPr>
              <w:t>nicht in Österreich geboren</w:t>
            </w:r>
          </w:p>
        </w:tc>
        <w:tc>
          <w:tcPr>
            <w:tcW w:w="1024" w:type="dxa"/>
          </w:tcPr>
          <w:p w:rsidR="005F5B63" w:rsidRDefault="00A93862" w:rsidP="00142A4B">
            <w:pPr>
              <w:spacing w:before="60" w:after="60" w:line="240" w:lineRule="auto"/>
              <w:jc w:val="right"/>
            </w:pPr>
            <w:r>
              <w:t>117</w:t>
            </w:r>
          </w:p>
        </w:tc>
      </w:tr>
      <w:tr w:rsidR="005F5B63" w:rsidTr="00681694">
        <w:tc>
          <w:tcPr>
            <w:tcW w:w="1526" w:type="dxa"/>
          </w:tcPr>
          <w:p w:rsidR="005F5B63" w:rsidRDefault="005F5B63" w:rsidP="00142A4B">
            <w:pPr>
              <w:spacing w:before="60" w:after="60" w:line="240" w:lineRule="auto"/>
              <w:rPr>
                <w:lang w:val="de-AT"/>
              </w:rPr>
            </w:pPr>
            <w:r>
              <w:rPr>
                <w:lang w:val="de-AT"/>
              </w:rPr>
              <w:t>Tab. 9</w:t>
            </w:r>
          </w:p>
        </w:tc>
        <w:tc>
          <w:tcPr>
            <w:tcW w:w="6662" w:type="dxa"/>
          </w:tcPr>
          <w:p w:rsidR="005F5B63" w:rsidRDefault="00FF2B86" w:rsidP="00FF2B86">
            <w:pPr>
              <w:spacing w:before="60" w:after="60" w:line="240" w:lineRule="auto"/>
              <w:jc w:val="left"/>
            </w:pPr>
            <w:r>
              <w:rPr>
                <w:lang w:val="de-AT"/>
              </w:rPr>
              <w:t>Vergabevolumen im Jahr 2010</w:t>
            </w:r>
          </w:p>
        </w:tc>
        <w:tc>
          <w:tcPr>
            <w:tcW w:w="1024" w:type="dxa"/>
          </w:tcPr>
          <w:p w:rsidR="005F5B63" w:rsidRDefault="00A93862" w:rsidP="00142A4B">
            <w:pPr>
              <w:spacing w:before="60" w:after="60" w:line="240" w:lineRule="auto"/>
              <w:jc w:val="right"/>
            </w:pPr>
            <w:r>
              <w:t>117</w:t>
            </w:r>
          </w:p>
        </w:tc>
      </w:tr>
      <w:tr w:rsidR="005F5B63" w:rsidTr="00681694">
        <w:tc>
          <w:tcPr>
            <w:tcW w:w="1526" w:type="dxa"/>
          </w:tcPr>
          <w:p w:rsidR="005F5B63" w:rsidRDefault="005F5B63" w:rsidP="00142A4B">
            <w:pPr>
              <w:spacing w:before="60" w:after="60" w:line="240" w:lineRule="auto"/>
              <w:rPr>
                <w:lang w:val="de-AT"/>
              </w:rPr>
            </w:pPr>
            <w:r>
              <w:rPr>
                <w:lang w:val="de-AT"/>
              </w:rPr>
              <w:t>Tab. 10</w:t>
            </w:r>
          </w:p>
        </w:tc>
        <w:tc>
          <w:tcPr>
            <w:tcW w:w="6662" w:type="dxa"/>
          </w:tcPr>
          <w:p w:rsidR="005F5B63" w:rsidRDefault="00FF2B86" w:rsidP="00FF2B86">
            <w:pPr>
              <w:spacing w:before="60" w:after="60" w:line="240" w:lineRule="auto"/>
              <w:jc w:val="left"/>
            </w:pPr>
            <w:r>
              <w:t>Volumen der Wohnungsvergabe im Jahr 2010</w:t>
            </w:r>
          </w:p>
        </w:tc>
        <w:tc>
          <w:tcPr>
            <w:tcW w:w="1024" w:type="dxa"/>
          </w:tcPr>
          <w:p w:rsidR="005F5B63" w:rsidRDefault="00D67636" w:rsidP="00142A4B">
            <w:pPr>
              <w:spacing w:before="60" w:after="60" w:line="240" w:lineRule="auto"/>
              <w:jc w:val="right"/>
            </w:pPr>
            <w:r>
              <w:t>118</w:t>
            </w:r>
          </w:p>
        </w:tc>
      </w:tr>
      <w:tr w:rsidR="005F5B63" w:rsidTr="00681694">
        <w:tc>
          <w:tcPr>
            <w:tcW w:w="1526" w:type="dxa"/>
          </w:tcPr>
          <w:p w:rsidR="005F5B63" w:rsidRDefault="005F5B63" w:rsidP="00142A4B">
            <w:pPr>
              <w:spacing w:before="60" w:after="60" w:line="240" w:lineRule="auto"/>
              <w:rPr>
                <w:lang w:val="de-AT"/>
              </w:rPr>
            </w:pPr>
            <w:r>
              <w:rPr>
                <w:lang w:val="de-AT"/>
              </w:rPr>
              <w:t>Tab. 11</w:t>
            </w:r>
          </w:p>
        </w:tc>
        <w:tc>
          <w:tcPr>
            <w:tcW w:w="6662" w:type="dxa"/>
          </w:tcPr>
          <w:p w:rsidR="005F5B63" w:rsidRDefault="00FF2B86" w:rsidP="00FF2B86">
            <w:pPr>
              <w:spacing w:before="60" w:after="60" w:line="240" w:lineRule="auto"/>
              <w:jc w:val="left"/>
            </w:pPr>
            <w:r>
              <w:t>Benachteiligung von Nicht-ÖsterreicherInnen am Wohnungsmarkt</w:t>
            </w:r>
          </w:p>
        </w:tc>
        <w:tc>
          <w:tcPr>
            <w:tcW w:w="1024" w:type="dxa"/>
          </w:tcPr>
          <w:p w:rsidR="005F5B63" w:rsidRDefault="00D67636" w:rsidP="00142A4B">
            <w:pPr>
              <w:spacing w:before="60" w:after="60" w:line="240" w:lineRule="auto"/>
              <w:jc w:val="right"/>
            </w:pPr>
            <w:r>
              <w:t>118</w:t>
            </w:r>
          </w:p>
        </w:tc>
      </w:tr>
      <w:tr w:rsidR="005F5B63" w:rsidTr="00681694">
        <w:tc>
          <w:tcPr>
            <w:tcW w:w="1526" w:type="dxa"/>
          </w:tcPr>
          <w:p w:rsidR="005F5B63" w:rsidRDefault="005F5B63" w:rsidP="00142A4B">
            <w:pPr>
              <w:spacing w:before="60" w:after="60" w:line="240" w:lineRule="auto"/>
              <w:rPr>
                <w:lang w:val="de-AT"/>
              </w:rPr>
            </w:pPr>
            <w:r>
              <w:rPr>
                <w:lang w:val="de-AT"/>
              </w:rPr>
              <w:t>Tab. 12</w:t>
            </w:r>
          </w:p>
        </w:tc>
        <w:tc>
          <w:tcPr>
            <w:tcW w:w="6662" w:type="dxa"/>
          </w:tcPr>
          <w:p w:rsidR="005F5B63" w:rsidRDefault="00FF2B86" w:rsidP="00FF2B86">
            <w:pPr>
              <w:spacing w:before="60" w:after="60" w:line="240" w:lineRule="auto"/>
              <w:jc w:val="left"/>
            </w:pPr>
            <w:r>
              <w:t>Benachteiligung von Nicht-ÖsterreicherInnen, nach Einrichtung</w:t>
            </w:r>
            <w:r>
              <w:t>s</w:t>
            </w:r>
            <w:r>
              <w:t>art</w:t>
            </w:r>
          </w:p>
        </w:tc>
        <w:tc>
          <w:tcPr>
            <w:tcW w:w="1024" w:type="dxa"/>
          </w:tcPr>
          <w:p w:rsidR="005F5B63" w:rsidRDefault="00D67636" w:rsidP="00142A4B">
            <w:pPr>
              <w:spacing w:before="60" w:after="60" w:line="240" w:lineRule="auto"/>
              <w:jc w:val="right"/>
            </w:pPr>
            <w:r>
              <w:t>118</w:t>
            </w:r>
          </w:p>
        </w:tc>
      </w:tr>
      <w:tr w:rsidR="005F5B63" w:rsidTr="00681694">
        <w:tc>
          <w:tcPr>
            <w:tcW w:w="1526" w:type="dxa"/>
          </w:tcPr>
          <w:p w:rsidR="005F5B63" w:rsidRDefault="005F5B63" w:rsidP="00142A4B">
            <w:pPr>
              <w:spacing w:before="60" w:after="60" w:line="240" w:lineRule="auto"/>
              <w:rPr>
                <w:lang w:val="de-AT"/>
              </w:rPr>
            </w:pPr>
            <w:r>
              <w:rPr>
                <w:lang w:val="de-AT"/>
              </w:rPr>
              <w:t>Tab. 13</w:t>
            </w:r>
          </w:p>
        </w:tc>
        <w:tc>
          <w:tcPr>
            <w:tcW w:w="6662" w:type="dxa"/>
          </w:tcPr>
          <w:p w:rsidR="005F5B63" w:rsidRDefault="00FF2B86" w:rsidP="00FF2B86">
            <w:pPr>
              <w:spacing w:before="60" w:after="60" w:line="240" w:lineRule="auto"/>
              <w:jc w:val="left"/>
            </w:pPr>
            <w:r>
              <w:t>Kriterien für die Vergabe von öffentlichem Wohnraum</w:t>
            </w:r>
          </w:p>
        </w:tc>
        <w:tc>
          <w:tcPr>
            <w:tcW w:w="1024" w:type="dxa"/>
          </w:tcPr>
          <w:p w:rsidR="005F5B63" w:rsidRDefault="00D67636" w:rsidP="00142A4B">
            <w:pPr>
              <w:spacing w:before="60" w:after="60" w:line="240" w:lineRule="auto"/>
              <w:jc w:val="right"/>
            </w:pPr>
            <w:r>
              <w:t>118</w:t>
            </w:r>
          </w:p>
        </w:tc>
      </w:tr>
      <w:tr w:rsidR="005F5B63" w:rsidTr="00681694">
        <w:tc>
          <w:tcPr>
            <w:tcW w:w="1526" w:type="dxa"/>
          </w:tcPr>
          <w:p w:rsidR="005F5B63" w:rsidRDefault="005F5B63" w:rsidP="00142A4B">
            <w:pPr>
              <w:spacing w:before="60" w:after="60" w:line="240" w:lineRule="auto"/>
              <w:rPr>
                <w:lang w:val="de-AT"/>
              </w:rPr>
            </w:pPr>
            <w:r>
              <w:rPr>
                <w:lang w:val="de-AT"/>
              </w:rPr>
              <w:t>Tab. 14</w:t>
            </w:r>
          </w:p>
        </w:tc>
        <w:tc>
          <w:tcPr>
            <w:tcW w:w="6662" w:type="dxa"/>
          </w:tcPr>
          <w:p w:rsidR="005F5B63" w:rsidRDefault="00FF2B86" w:rsidP="00FF2B86">
            <w:pPr>
              <w:spacing w:before="60" w:after="60" w:line="240" w:lineRule="auto"/>
              <w:jc w:val="left"/>
            </w:pPr>
            <w:r>
              <w:t>Vergabekriterien nach Art der Einrichtung</w:t>
            </w:r>
          </w:p>
        </w:tc>
        <w:tc>
          <w:tcPr>
            <w:tcW w:w="1024" w:type="dxa"/>
          </w:tcPr>
          <w:p w:rsidR="005F5B63" w:rsidRDefault="00D67636" w:rsidP="00142A4B">
            <w:pPr>
              <w:spacing w:before="60" w:after="60" w:line="240" w:lineRule="auto"/>
              <w:jc w:val="right"/>
            </w:pPr>
            <w:r>
              <w:t>119</w:t>
            </w:r>
          </w:p>
        </w:tc>
      </w:tr>
      <w:tr w:rsidR="005F5B63" w:rsidTr="00681694">
        <w:tc>
          <w:tcPr>
            <w:tcW w:w="1526" w:type="dxa"/>
          </w:tcPr>
          <w:p w:rsidR="005F5B63" w:rsidRDefault="005F5B63" w:rsidP="00142A4B">
            <w:pPr>
              <w:spacing w:before="60" w:after="60" w:line="240" w:lineRule="auto"/>
              <w:rPr>
                <w:lang w:val="de-AT"/>
              </w:rPr>
            </w:pPr>
            <w:r>
              <w:rPr>
                <w:lang w:val="de-AT"/>
              </w:rPr>
              <w:t>Tab. 15</w:t>
            </w:r>
          </w:p>
        </w:tc>
        <w:tc>
          <w:tcPr>
            <w:tcW w:w="6662" w:type="dxa"/>
          </w:tcPr>
          <w:p w:rsidR="005F5B63" w:rsidRDefault="00FF2B86" w:rsidP="00FF2B86">
            <w:pPr>
              <w:spacing w:before="60" w:after="60" w:line="240" w:lineRule="auto"/>
              <w:jc w:val="left"/>
            </w:pPr>
            <w:r>
              <w:t>Bei Wohnungsvergabe an Nicht-ÖsterreicherInnen von Bedeutung</w:t>
            </w:r>
          </w:p>
        </w:tc>
        <w:tc>
          <w:tcPr>
            <w:tcW w:w="1024" w:type="dxa"/>
          </w:tcPr>
          <w:p w:rsidR="005F5B63" w:rsidRDefault="00D67636" w:rsidP="00142A4B">
            <w:pPr>
              <w:spacing w:before="60" w:after="60" w:line="240" w:lineRule="auto"/>
              <w:jc w:val="right"/>
            </w:pPr>
            <w:r>
              <w:t>119</w:t>
            </w:r>
          </w:p>
        </w:tc>
      </w:tr>
      <w:tr w:rsidR="005F5B63" w:rsidTr="00681694">
        <w:tc>
          <w:tcPr>
            <w:tcW w:w="1526" w:type="dxa"/>
          </w:tcPr>
          <w:p w:rsidR="005F5B63" w:rsidRDefault="005F5B63" w:rsidP="00142A4B">
            <w:pPr>
              <w:spacing w:before="60" w:after="60" w:line="240" w:lineRule="auto"/>
              <w:rPr>
                <w:lang w:val="de-AT"/>
              </w:rPr>
            </w:pPr>
            <w:r>
              <w:rPr>
                <w:lang w:val="de-AT"/>
              </w:rPr>
              <w:t>Tab. 16</w:t>
            </w:r>
          </w:p>
        </w:tc>
        <w:tc>
          <w:tcPr>
            <w:tcW w:w="6662" w:type="dxa"/>
          </w:tcPr>
          <w:p w:rsidR="005F5B63" w:rsidRDefault="00FF2B86" w:rsidP="00FF2B86">
            <w:pPr>
              <w:spacing w:before="60" w:after="60" w:line="240" w:lineRule="auto"/>
              <w:jc w:val="left"/>
            </w:pPr>
            <w:r>
              <w:t>Kriterien für die Wohnungsvergabe an Nicht-ÖsterreicherInnen nach Art der Einrichtung</w:t>
            </w:r>
          </w:p>
        </w:tc>
        <w:tc>
          <w:tcPr>
            <w:tcW w:w="1024" w:type="dxa"/>
          </w:tcPr>
          <w:p w:rsidR="005F5B63" w:rsidRDefault="00D67636" w:rsidP="00142A4B">
            <w:pPr>
              <w:spacing w:before="60" w:after="60" w:line="240" w:lineRule="auto"/>
              <w:jc w:val="right"/>
            </w:pPr>
            <w:r>
              <w:t>119</w:t>
            </w:r>
          </w:p>
        </w:tc>
      </w:tr>
      <w:tr w:rsidR="00FF2B86" w:rsidTr="00681694">
        <w:tc>
          <w:tcPr>
            <w:tcW w:w="1526" w:type="dxa"/>
          </w:tcPr>
          <w:p w:rsidR="00FF2B86" w:rsidRDefault="00FF2B86" w:rsidP="00CB3C00">
            <w:pPr>
              <w:spacing w:before="60" w:after="60" w:line="240" w:lineRule="auto"/>
              <w:rPr>
                <w:lang w:val="de-AT"/>
              </w:rPr>
            </w:pPr>
            <w:r>
              <w:rPr>
                <w:lang w:val="de-AT"/>
              </w:rPr>
              <w:t xml:space="preserve">Tab. </w:t>
            </w:r>
            <w:r w:rsidR="00CB3C00">
              <w:rPr>
                <w:lang w:val="de-AT"/>
              </w:rPr>
              <w:t>17</w:t>
            </w:r>
          </w:p>
        </w:tc>
        <w:tc>
          <w:tcPr>
            <w:tcW w:w="6662" w:type="dxa"/>
          </w:tcPr>
          <w:p w:rsidR="00FF2B86" w:rsidRDefault="00FF2B86" w:rsidP="00FF2B86">
            <w:pPr>
              <w:spacing w:before="60" w:after="60" w:line="240" w:lineRule="auto"/>
              <w:jc w:val="left"/>
            </w:pPr>
            <w:r>
              <w:t>Spezielle Vorsorgen für nicht-österreichische WohnungswerberI</w:t>
            </w:r>
            <w:r>
              <w:t>n</w:t>
            </w:r>
            <w:r>
              <w:t>nen</w:t>
            </w:r>
          </w:p>
        </w:tc>
        <w:tc>
          <w:tcPr>
            <w:tcW w:w="1024" w:type="dxa"/>
          </w:tcPr>
          <w:p w:rsidR="00FF2B86" w:rsidRDefault="00D67636" w:rsidP="00142A4B">
            <w:pPr>
              <w:spacing w:before="60" w:after="60" w:line="240" w:lineRule="auto"/>
              <w:jc w:val="right"/>
            </w:pPr>
            <w:r>
              <w:t>120</w:t>
            </w:r>
          </w:p>
        </w:tc>
      </w:tr>
      <w:tr w:rsidR="00FF2B86" w:rsidTr="00681694">
        <w:tc>
          <w:tcPr>
            <w:tcW w:w="1526" w:type="dxa"/>
          </w:tcPr>
          <w:p w:rsidR="00FF2B86" w:rsidRDefault="00CB3C00" w:rsidP="00142A4B">
            <w:pPr>
              <w:spacing w:before="60" w:after="60" w:line="240" w:lineRule="auto"/>
              <w:rPr>
                <w:lang w:val="de-AT"/>
              </w:rPr>
            </w:pPr>
            <w:r>
              <w:rPr>
                <w:lang w:val="de-AT"/>
              </w:rPr>
              <w:t>Tab. 18</w:t>
            </w:r>
          </w:p>
        </w:tc>
        <w:tc>
          <w:tcPr>
            <w:tcW w:w="6662" w:type="dxa"/>
          </w:tcPr>
          <w:p w:rsidR="00FF2B86" w:rsidRDefault="00CB3C00" w:rsidP="00FF2B86">
            <w:pPr>
              <w:spacing w:before="60" w:after="60" w:line="240" w:lineRule="auto"/>
              <w:jc w:val="left"/>
            </w:pPr>
            <w:r>
              <w:t>Vorsorgen für nicht-österreichische WohnungswerberInnen nach Art der Einrichtung</w:t>
            </w:r>
          </w:p>
        </w:tc>
        <w:tc>
          <w:tcPr>
            <w:tcW w:w="1024" w:type="dxa"/>
          </w:tcPr>
          <w:p w:rsidR="00FF2B86" w:rsidRDefault="00D67636" w:rsidP="00142A4B">
            <w:pPr>
              <w:spacing w:before="60" w:after="60" w:line="240" w:lineRule="auto"/>
              <w:jc w:val="right"/>
            </w:pPr>
            <w:r>
              <w:t>120</w:t>
            </w:r>
          </w:p>
        </w:tc>
      </w:tr>
      <w:tr w:rsidR="00FF2B86" w:rsidTr="00681694">
        <w:tc>
          <w:tcPr>
            <w:tcW w:w="1526" w:type="dxa"/>
          </w:tcPr>
          <w:p w:rsidR="00FF2B86" w:rsidRDefault="00CB3C00" w:rsidP="00142A4B">
            <w:pPr>
              <w:spacing w:before="60" w:after="60" w:line="240" w:lineRule="auto"/>
              <w:rPr>
                <w:lang w:val="de-AT"/>
              </w:rPr>
            </w:pPr>
            <w:r>
              <w:rPr>
                <w:lang w:val="de-AT"/>
              </w:rPr>
              <w:t>Tab. 19</w:t>
            </w:r>
          </w:p>
        </w:tc>
        <w:tc>
          <w:tcPr>
            <w:tcW w:w="6662" w:type="dxa"/>
          </w:tcPr>
          <w:p w:rsidR="00FF2B86" w:rsidRDefault="00CB3C00" w:rsidP="00FF2B86">
            <w:pPr>
              <w:spacing w:before="60" w:after="60" w:line="240" w:lineRule="auto"/>
              <w:jc w:val="left"/>
            </w:pPr>
            <w:r>
              <w:t>Berücksichtigung der aktuellen Wohn-/Lebenssituation</w:t>
            </w:r>
          </w:p>
        </w:tc>
        <w:tc>
          <w:tcPr>
            <w:tcW w:w="1024" w:type="dxa"/>
          </w:tcPr>
          <w:p w:rsidR="00FF2B86" w:rsidRDefault="00D67636" w:rsidP="00142A4B">
            <w:pPr>
              <w:spacing w:before="60" w:after="60" w:line="240" w:lineRule="auto"/>
              <w:jc w:val="right"/>
            </w:pPr>
            <w:r>
              <w:t>120</w:t>
            </w:r>
          </w:p>
        </w:tc>
      </w:tr>
      <w:tr w:rsidR="00FF2B86" w:rsidTr="00681694">
        <w:tc>
          <w:tcPr>
            <w:tcW w:w="1526" w:type="dxa"/>
          </w:tcPr>
          <w:p w:rsidR="00FF2B86" w:rsidRDefault="00CB3C00" w:rsidP="00142A4B">
            <w:pPr>
              <w:spacing w:before="60" w:after="60" w:line="240" w:lineRule="auto"/>
              <w:rPr>
                <w:lang w:val="de-AT"/>
              </w:rPr>
            </w:pPr>
            <w:r>
              <w:rPr>
                <w:lang w:val="de-AT"/>
              </w:rPr>
              <w:t>Tab. 20</w:t>
            </w:r>
          </w:p>
        </w:tc>
        <w:tc>
          <w:tcPr>
            <w:tcW w:w="6662" w:type="dxa"/>
          </w:tcPr>
          <w:p w:rsidR="00FF2B86" w:rsidRDefault="00CB3C00" w:rsidP="00FF2B86">
            <w:pPr>
              <w:spacing w:before="60" w:after="60" w:line="240" w:lineRule="auto"/>
              <w:jc w:val="left"/>
            </w:pPr>
            <w:r>
              <w:t>Berücksichtigung der aktuellen Wohn- und Lebenssituation, nach Einrichtungsart</w:t>
            </w:r>
          </w:p>
        </w:tc>
        <w:tc>
          <w:tcPr>
            <w:tcW w:w="1024" w:type="dxa"/>
          </w:tcPr>
          <w:p w:rsidR="00FF2B86" w:rsidRDefault="00D67636" w:rsidP="00142A4B">
            <w:pPr>
              <w:spacing w:before="60" w:after="60" w:line="240" w:lineRule="auto"/>
              <w:jc w:val="right"/>
            </w:pPr>
            <w:r>
              <w:t>121</w:t>
            </w:r>
          </w:p>
        </w:tc>
      </w:tr>
      <w:tr w:rsidR="00FF2B86" w:rsidTr="00681694">
        <w:tc>
          <w:tcPr>
            <w:tcW w:w="1526" w:type="dxa"/>
          </w:tcPr>
          <w:p w:rsidR="00FF2B86" w:rsidRDefault="00CB3C00" w:rsidP="00142A4B">
            <w:pPr>
              <w:spacing w:before="60" w:after="60" w:line="240" w:lineRule="auto"/>
              <w:rPr>
                <w:lang w:val="de-AT"/>
              </w:rPr>
            </w:pPr>
            <w:r>
              <w:rPr>
                <w:lang w:val="de-AT"/>
              </w:rPr>
              <w:t>Tab. 21</w:t>
            </w:r>
          </w:p>
        </w:tc>
        <w:tc>
          <w:tcPr>
            <w:tcW w:w="6662" w:type="dxa"/>
          </w:tcPr>
          <w:p w:rsidR="00FF2B86" w:rsidRDefault="00CB3C00" w:rsidP="00FF2B86">
            <w:pPr>
              <w:spacing w:before="60" w:after="60" w:line="240" w:lineRule="auto"/>
              <w:jc w:val="left"/>
            </w:pPr>
            <w:r>
              <w:t>Gültigkeit der Vergabekriterien für unterschiedliche Segmente des Wohnungsmarktes</w:t>
            </w:r>
          </w:p>
        </w:tc>
        <w:tc>
          <w:tcPr>
            <w:tcW w:w="1024" w:type="dxa"/>
          </w:tcPr>
          <w:p w:rsidR="00FF2B86" w:rsidRDefault="00D67636" w:rsidP="00142A4B">
            <w:pPr>
              <w:spacing w:before="60" w:after="60" w:line="240" w:lineRule="auto"/>
              <w:jc w:val="right"/>
            </w:pPr>
            <w:r>
              <w:t>121</w:t>
            </w:r>
          </w:p>
        </w:tc>
      </w:tr>
      <w:tr w:rsidR="00FF2B86" w:rsidTr="00681694">
        <w:tc>
          <w:tcPr>
            <w:tcW w:w="1526" w:type="dxa"/>
          </w:tcPr>
          <w:p w:rsidR="00FF2B86" w:rsidRDefault="00CB3C00" w:rsidP="00142A4B">
            <w:pPr>
              <w:spacing w:before="60" w:after="60" w:line="240" w:lineRule="auto"/>
              <w:rPr>
                <w:lang w:val="de-AT"/>
              </w:rPr>
            </w:pPr>
            <w:r>
              <w:rPr>
                <w:lang w:val="de-AT"/>
              </w:rPr>
              <w:t>Tab. 22</w:t>
            </w:r>
          </w:p>
        </w:tc>
        <w:tc>
          <w:tcPr>
            <w:tcW w:w="6662" w:type="dxa"/>
          </w:tcPr>
          <w:p w:rsidR="00FF2B86" w:rsidRDefault="00CB3C00" w:rsidP="00FF2B86">
            <w:pPr>
              <w:spacing w:before="60" w:after="60" w:line="240" w:lineRule="auto"/>
              <w:jc w:val="left"/>
            </w:pPr>
            <w:r>
              <w:t>Gültigkeit der Vergabekriterien nach Marktsegmenten</w:t>
            </w:r>
          </w:p>
        </w:tc>
        <w:tc>
          <w:tcPr>
            <w:tcW w:w="1024" w:type="dxa"/>
          </w:tcPr>
          <w:p w:rsidR="00FF2B86" w:rsidRDefault="00D67636" w:rsidP="00142A4B">
            <w:pPr>
              <w:spacing w:before="60" w:after="60" w:line="240" w:lineRule="auto"/>
              <w:jc w:val="right"/>
            </w:pPr>
            <w:r>
              <w:t>121</w:t>
            </w:r>
          </w:p>
        </w:tc>
      </w:tr>
      <w:tr w:rsidR="00FF2B86" w:rsidTr="00681694">
        <w:tc>
          <w:tcPr>
            <w:tcW w:w="1526" w:type="dxa"/>
          </w:tcPr>
          <w:p w:rsidR="00FF2B86" w:rsidRDefault="00CB3C00" w:rsidP="00142A4B">
            <w:pPr>
              <w:spacing w:before="60" w:after="60" w:line="240" w:lineRule="auto"/>
              <w:rPr>
                <w:lang w:val="de-AT"/>
              </w:rPr>
            </w:pPr>
            <w:r>
              <w:rPr>
                <w:lang w:val="de-AT"/>
              </w:rPr>
              <w:t>Tab. 23</w:t>
            </w:r>
          </w:p>
        </w:tc>
        <w:tc>
          <w:tcPr>
            <w:tcW w:w="6662" w:type="dxa"/>
          </w:tcPr>
          <w:p w:rsidR="00FF2B86" w:rsidRDefault="00CB3C00" w:rsidP="00FF2B86">
            <w:pPr>
              <w:spacing w:before="60" w:after="60" w:line="240" w:lineRule="auto"/>
              <w:jc w:val="left"/>
            </w:pPr>
            <w:r>
              <w:t>Zustimmung zu folgenden (fiktiven) Leitsätzen für die Wohnung</w:t>
            </w:r>
            <w:r>
              <w:t>s</w:t>
            </w:r>
            <w:r>
              <w:t>vergabe</w:t>
            </w:r>
          </w:p>
        </w:tc>
        <w:tc>
          <w:tcPr>
            <w:tcW w:w="1024" w:type="dxa"/>
          </w:tcPr>
          <w:p w:rsidR="00FF2B86" w:rsidRDefault="00D67636" w:rsidP="00A93862">
            <w:pPr>
              <w:spacing w:before="60" w:after="60" w:line="240" w:lineRule="auto"/>
              <w:jc w:val="right"/>
            </w:pPr>
            <w:r>
              <w:t>122</w:t>
            </w:r>
          </w:p>
        </w:tc>
      </w:tr>
      <w:tr w:rsidR="00FF2B86" w:rsidTr="00681694">
        <w:tc>
          <w:tcPr>
            <w:tcW w:w="1526" w:type="dxa"/>
          </w:tcPr>
          <w:p w:rsidR="00FF2B86" w:rsidRDefault="00CB3C00" w:rsidP="00142A4B">
            <w:pPr>
              <w:spacing w:before="60" w:after="60" w:line="240" w:lineRule="auto"/>
              <w:rPr>
                <w:lang w:val="de-AT"/>
              </w:rPr>
            </w:pPr>
            <w:r>
              <w:rPr>
                <w:lang w:val="de-AT"/>
              </w:rPr>
              <w:t>Tab. 24</w:t>
            </w:r>
          </w:p>
        </w:tc>
        <w:tc>
          <w:tcPr>
            <w:tcW w:w="6662" w:type="dxa"/>
          </w:tcPr>
          <w:p w:rsidR="00FF2B86" w:rsidRDefault="00CB3C00" w:rsidP="00FF2B86">
            <w:pPr>
              <w:spacing w:before="60" w:after="60" w:line="240" w:lineRule="auto"/>
              <w:jc w:val="left"/>
            </w:pPr>
            <w:r>
              <w:t>Gibt es in Ihrem Wirkungsbereich spezielle Vorsorgen oder Pr</w:t>
            </w:r>
            <w:r>
              <w:t>o</w:t>
            </w:r>
            <w:r>
              <w:t>jektschienen für die Wohnversorgung bestimmter Zielgruppen?</w:t>
            </w:r>
          </w:p>
        </w:tc>
        <w:tc>
          <w:tcPr>
            <w:tcW w:w="1024" w:type="dxa"/>
          </w:tcPr>
          <w:p w:rsidR="00FF2B86" w:rsidRDefault="00D67636" w:rsidP="002A1C00">
            <w:pPr>
              <w:spacing w:before="60" w:after="60" w:line="240" w:lineRule="auto"/>
              <w:jc w:val="right"/>
            </w:pPr>
            <w:r>
              <w:t>123</w:t>
            </w:r>
          </w:p>
        </w:tc>
      </w:tr>
      <w:tr w:rsidR="00FF2B86" w:rsidTr="00681694">
        <w:tc>
          <w:tcPr>
            <w:tcW w:w="1526" w:type="dxa"/>
          </w:tcPr>
          <w:p w:rsidR="00FF2B86" w:rsidRDefault="00CB3C00" w:rsidP="00142A4B">
            <w:pPr>
              <w:spacing w:before="60" w:after="60" w:line="240" w:lineRule="auto"/>
              <w:rPr>
                <w:lang w:val="de-AT"/>
              </w:rPr>
            </w:pPr>
            <w:r>
              <w:rPr>
                <w:lang w:val="de-AT"/>
              </w:rPr>
              <w:lastRenderedPageBreak/>
              <w:t>Tab. 25</w:t>
            </w:r>
          </w:p>
        </w:tc>
        <w:tc>
          <w:tcPr>
            <w:tcW w:w="6662" w:type="dxa"/>
          </w:tcPr>
          <w:p w:rsidR="00FF2B86" w:rsidRDefault="00CB3C00" w:rsidP="00FF2B86">
            <w:pPr>
              <w:spacing w:before="60" w:after="60" w:line="240" w:lineRule="auto"/>
              <w:jc w:val="left"/>
            </w:pPr>
            <w:r>
              <w:t>verfügbare Versorgungskontingente für Zielgruppen; nach Einric</w:t>
            </w:r>
            <w:r>
              <w:t>h</w:t>
            </w:r>
            <w:r>
              <w:t>tungsart</w:t>
            </w:r>
          </w:p>
        </w:tc>
        <w:tc>
          <w:tcPr>
            <w:tcW w:w="1024" w:type="dxa"/>
          </w:tcPr>
          <w:p w:rsidR="00FF2B86" w:rsidRDefault="00D67636" w:rsidP="00142A4B">
            <w:pPr>
              <w:spacing w:before="60" w:after="60" w:line="240" w:lineRule="auto"/>
              <w:jc w:val="right"/>
            </w:pPr>
            <w:r>
              <w:t>123</w:t>
            </w:r>
          </w:p>
        </w:tc>
      </w:tr>
      <w:tr w:rsidR="00FF2B86" w:rsidTr="00681694">
        <w:tc>
          <w:tcPr>
            <w:tcW w:w="1526" w:type="dxa"/>
          </w:tcPr>
          <w:p w:rsidR="00FF2B86" w:rsidRDefault="00CB3C00" w:rsidP="00142A4B">
            <w:pPr>
              <w:spacing w:before="60" w:after="60" w:line="240" w:lineRule="auto"/>
              <w:rPr>
                <w:lang w:val="de-AT"/>
              </w:rPr>
            </w:pPr>
            <w:r>
              <w:rPr>
                <w:lang w:val="de-AT"/>
              </w:rPr>
              <w:t>Tab. 26</w:t>
            </w:r>
          </w:p>
        </w:tc>
        <w:tc>
          <w:tcPr>
            <w:tcW w:w="6662" w:type="dxa"/>
          </w:tcPr>
          <w:p w:rsidR="00FF2B86" w:rsidRDefault="00CB3C00" w:rsidP="00FF2B86">
            <w:pPr>
              <w:spacing w:before="60" w:after="60" w:line="240" w:lineRule="auto"/>
              <w:jc w:val="left"/>
            </w:pPr>
            <w:r>
              <w:t>Einschätzungen zur administrativen Vergabepraxis</w:t>
            </w:r>
          </w:p>
        </w:tc>
        <w:tc>
          <w:tcPr>
            <w:tcW w:w="1024" w:type="dxa"/>
          </w:tcPr>
          <w:p w:rsidR="00FF2B86" w:rsidRDefault="00D67636" w:rsidP="00142A4B">
            <w:pPr>
              <w:spacing w:before="60" w:after="60" w:line="240" w:lineRule="auto"/>
              <w:jc w:val="right"/>
            </w:pPr>
            <w:r>
              <w:t>123</w:t>
            </w:r>
          </w:p>
        </w:tc>
      </w:tr>
      <w:tr w:rsidR="00FF2B86" w:rsidTr="00681694">
        <w:tc>
          <w:tcPr>
            <w:tcW w:w="1526" w:type="dxa"/>
          </w:tcPr>
          <w:p w:rsidR="00FF2B86" w:rsidRDefault="00CB3C00" w:rsidP="00142A4B">
            <w:pPr>
              <w:spacing w:before="60" w:after="60" w:line="240" w:lineRule="auto"/>
              <w:rPr>
                <w:lang w:val="de-AT"/>
              </w:rPr>
            </w:pPr>
            <w:r>
              <w:rPr>
                <w:lang w:val="de-AT"/>
              </w:rPr>
              <w:t>Tab. 27</w:t>
            </w:r>
          </w:p>
        </w:tc>
        <w:tc>
          <w:tcPr>
            <w:tcW w:w="6662" w:type="dxa"/>
          </w:tcPr>
          <w:p w:rsidR="00FF2B86" w:rsidRDefault="00CB3C00" w:rsidP="00FF2B86">
            <w:pPr>
              <w:spacing w:before="60" w:after="60" w:line="240" w:lineRule="auto"/>
              <w:jc w:val="left"/>
            </w:pPr>
            <w:r>
              <w:t>Einschätzungen zur Vergabepraxis, nach Einrichtungsart</w:t>
            </w:r>
          </w:p>
        </w:tc>
        <w:tc>
          <w:tcPr>
            <w:tcW w:w="1024" w:type="dxa"/>
          </w:tcPr>
          <w:p w:rsidR="00FF2B86" w:rsidRDefault="00D67636" w:rsidP="00142A4B">
            <w:pPr>
              <w:spacing w:before="60" w:after="60" w:line="240" w:lineRule="auto"/>
              <w:jc w:val="right"/>
            </w:pPr>
            <w:r>
              <w:t>124</w:t>
            </w:r>
          </w:p>
        </w:tc>
      </w:tr>
      <w:tr w:rsidR="00FF2B86" w:rsidTr="00681694">
        <w:tc>
          <w:tcPr>
            <w:tcW w:w="1526" w:type="dxa"/>
          </w:tcPr>
          <w:p w:rsidR="00FF2B86" w:rsidRDefault="00CB3C00" w:rsidP="00142A4B">
            <w:pPr>
              <w:spacing w:before="60" w:after="60" w:line="240" w:lineRule="auto"/>
              <w:rPr>
                <w:lang w:val="de-AT"/>
              </w:rPr>
            </w:pPr>
            <w:r>
              <w:rPr>
                <w:lang w:val="de-AT"/>
              </w:rPr>
              <w:t>Tab. 28</w:t>
            </w:r>
          </w:p>
        </w:tc>
        <w:tc>
          <w:tcPr>
            <w:tcW w:w="6662" w:type="dxa"/>
          </w:tcPr>
          <w:p w:rsidR="00FF2B86" w:rsidRDefault="00CB3C00" w:rsidP="00FF2B86">
            <w:pPr>
              <w:spacing w:before="60" w:after="60" w:line="240" w:lineRule="auto"/>
              <w:jc w:val="left"/>
            </w:pPr>
            <w:r>
              <w:t>Um eine Benachteiligung von Nicht-ÖsterreicherInnen auf dem Wohnungsmarkt nachhaltig abbauen zu können, bräuchte es en</w:t>
            </w:r>
            <w:r>
              <w:t>t</w:t>
            </w:r>
            <w:r>
              <w:t>sprechende Vorsorgen</w:t>
            </w:r>
          </w:p>
        </w:tc>
        <w:tc>
          <w:tcPr>
            <w:tcW w:w="1024" w:type="dxa"/>
          </w:tcPr>
          <w:p w:rsidR="00FF2B86" w:rsidRDefault="00D67636" w:rsidP="00142A4B">
            <w:pPr>
              <w:spacing w:before="60" w:after="60" w:line="240" w:lineRule="auto"/>
              <w:jc w:val="right"/>
            </w:pPr>
            <w:r>
              <w:t>125</w:t>
            </w:r>
          </w:p>
        </w:tc>
      </w:tr>
      <w:tr w:rsidR="00FF2B86" w:rsidTr="00681694">
        <w:tc>
          <w:tcPr>
            <w:tcW w:w="1526" w:type="dxa"/>
          </w:tcPr>
          <w:p w:rsidR="00FF2B86" w:rsidRDefault="00CB3C00" w:rsidP="00142A4B">
            <w:pPr>
              <w:spacing w:before="60" w:after="60" w:line="240" w:lineRule="auto"/>
              <w:rPr>
                <w:lang w:val="de-AT"/>
              </w:rPr>
            </w:pPr>
            <w:r>
              <w:rPr>
                <w:lang w:val="de-AT"/>
              </w:rPr>
              <w:t>Tab. 29</w:t>
            </w:r>
          </w:p>
        </w:tc>
        <w:tc>
          <w:tcPr>
            <w:tcW w:w="6662" w:type="dxa"/>
          </w:tcPr>
          <w:p w:rsidR="00FF2B86" w:rsidRDefault="006F7705" w:rsidP="00FF2B86">
            <w:pPr>
              <w:spacing w:before="60" w:after="60" w:line="240" w:lineRule="auto"/>
              <w:jc w:val="left"/>
            </w:pPr>
            <w:r>
              <w:t>Bedarf nach ergänzenden Vorsorgen</w:t>
            </w:r>
          </w:p>
        </w:tc>
        <w:tc>
          <w:tcPr>
            <w:tcW w:w="1024" w:type="dxa"/>
          </w:tcPr>
          <w:p w:rsidR="00FF2B86" w:rsidRDefault="00D67636" w:rsidP="00142A4B">
            <w:pPr>
              <w:spacing w:before="60" w:after="60" w:line="240" w:lineRule="auto"/>
              <w:jc w:val="right"/>
            </w:pPr>
            <w:r>
              <w:t>125</w:t>
            </w:r>
          </w:p>
        </w:tc>
      </w:tr>
      <w:tr w:rsidR="00FF2B86" w:rsidTr="00681694">
        <w:tc>
          <w:tcPr>
            <w:tcW w:w="1526" w:type="dxa"/>
          </w:tcPr>
          <w:p w:rsidR="00FF2B86" w:rsidRDefault="00CB3C00" w:rsidP="006F7705">
            <w:pPr>
              <w:spacing w:before="60" w:after="60" w:line="240" w:lineRule="auto"/>
              <w:rPr>
                <w:lang w:val="de-AT"/>
              </w:rPr>
            </w:pPr>
            <w:r>
              <w:rPr>
                <w:lang w:val="de-AT"/>
              </w:rPr>
              <w:t>Tab. 3</w:t>
            </w:r>
            <w:r w:rsidR="006F7705">
              <w:rPr>
                <w:lang w:val="de-AT"/>
              </w:rPr>
              <w:t>0</w:t>
            </w:r>
          </w:p>
        </w:tc>
        <w:tc>
          <w:tcPr>
            <w:tcW w:w="6662" w:type="dxa"/>
          </w:tcPr>
          <w:p w:rsidR="00FF2B86" w:rsidRDefault="00CB3C00" w:rsidP="00FF2B86">
            <w:pPr>
              <w:spacing w:before="60" w:after="60" w:line="240" w:lineRule="auto"/>
              <w:jc w:val="left"/>
            </w:pPr>
            <w:r>
              <w:t>Für die Wohnversorgung von Haushalten mit besonderen Bela</w:t>
            </w:r>
            <w:r>
              <w:t>s</w:t>
            </w:r>
            <w:r>
              <w:t>tungen werden eigenständige Vergabeschienen und/oder Vorso</w:t>
            </w:r>
            <w:r>
              <w:t>r</w:t>
            </w:r>
            <w:r>
              <w:t>gen benötigt</w:t>
            </w:r>
          </w:p>
        </w:tc>
        <w:tc>
          <w:tcPr>
            <w:tcW w:w="1024" w:type="dxa"/>
          </w:tcPr>
          <w:p w:rsidR="00FF2B86" w:rsidRDefault="00D67636" w:rsidP="00142A4B">
            <w:pPr>
              <w:spacing w:before="60" w:after="60" w:line="240" w:lineRule="auto"/>
              <w:jc w:val="right"/>
            </w:pPr>
            <w:r>
              <w:t>125</w:t>
            </w:r>
          </w:p>
        </w:tc>
      </w:tr>
      <w:tr w:rsidR="00FF2B86" w:rsidTr="00681694">
        <w:tc>
          <w:tcPr>
            <w:tcW w:w="1526" w:type="dxa"/>
          </w:tcPr>
          <w:p w:rsidR="00FF2B86" w:rsidRDefault="00CB3C00" w:rsidP="006F7705">
            <w:pPr>
              <w:spacing w:before="60" w:after="60" w:line="240" w:lineRule="auto"/>
              <w:rPr>
                <w:lang w:val="de-AT"/>
              </w:rPr>
            </w:pPr>
            <w:r>
              <w:rPr>
                <w:lang w:val="de-AT"/>
              </w:rPr>
              <w:t>Tab. 3</w:t>
            </w:r>
            <w:r w:rsidR="006F7705">
              <w:rPr>
                <w:lang w:val="de-AT"/>
              </w:rPr>
              <w:t>1</w:t>
            </w:r>
          </w:p>
        </w:tc>
        <w:tc>
          <w:tcPr>
            <w:tcW w:w="6662" w:type="dxa"/>
          </w:tcPr>
          <w:p w:rsidR="00FF2B86" w:rsidRDefault="00CB3C00" w:rsidP="006F7705">
            <w:pPr>
              <w:spacing w:before="60" w:after="60" w:line="240" w:lineRule="auto"/>
              <w:jc w:val="left"/>
            </w:pPr>
            <w:r>
              <w:t>Bedarf nach spezifischen Vergabeschienen und Förderangeboten</w:t>
            </w:r>
          </w:p>
        </w:tc>
        <w:tc>
          <w:tcPr>
            <w:tcW w:w="1024" w:type="dxa"/>
          </w:tcPr>
          <w:p w:rsidR="00FF2B86" w:rsidRDefault="00D67636" w:rsidP="00142A4B">
            <w:pPr>
              <w:spacing w:before="60" w:after="60" w:line="240" w:lineRule="auto"/>
              <w:jc w:val="right"/>
            </w:pPr>
            <w:r>
              <w:t>126</w:t>
            </w:r>
          </w:p>
        </w:tc>
      </w:tr>
      <w:tr w:rsidR="00FF2B86" w:rsidTr="00681694">
        <w:tc>
          <w:tcPr>
            <w:tcW w:w="1526" w:type="dxa"/>
          </w:tcPr>
          <w:p w:rsidR="00FF2B86" w:rsidRDefault="00CB3C00" w:rsidP="006F7705">
            <w:pPr>
              <w:spacing w:before="60" w:after="60" w:line="240" w:lineRule="auto"/>
              <w:rPr>
                <w:lang w:val="de-AT"/>
              </w:rPr>
            </w:pPr>
            <w:r>
              <w:rPr>
                <w:lang w:val="de-AT"/>
              </w:rPr>
              <w:t>Tab. 3</w:t>
            </w:r>
            <w:r w:rsidR="006F7705">
              <w:rPr>
                <w:lang w:val="de-AT"/>
              </w:rPr>
              <w:t>2</w:t>
            </w:r>
          </w:p>
        </w:tc>
        <w:tc>
          <w:tcPr>
            <w:tcW w:w="6662" w:type="dxa"/>
          </w:tcPr>
          <w:p w:rsidR="00FF2B86" w:rsidRDefault="00CB3C00" w:rsidP="00FF2B86">
            <w:pPr>
              <w:spacing w:before="60" w:after="60" w:line="240" w:lineRule="auto"/>
              <w:jc w:val="left"/>
            </w:pPr>
            <w:r>
              <w:t>Bedarf nach Anti-Diskriminierungsmaßnahmen</w:t>
            </w:r>
          </w:p>
        </w:tc>
        <w:tc>
          <w:tcPr>
            <w:tcW w:w="1024" w:type="dxa"/>
          </w:tcPr>
          <w:p w:rsidR="00FF2B86" w:rsidRDefault="00D67636" w:rsidP="00142A4B">
            <w:pPr>
              <w:spacing w:before="60" w:after="60" w:line="240" w:lineRule="auto"/>
              <w:jc w:val="right"/>
            </w:pPr>
            <w:r>
              <w:t>126</w:t>
            </w:r>
          </w:p>
        </w:tc>
      </w:tr>
      <w:tr w:rsidR="00FF2B86" w:rsidTr="00681694">
        <w:tc>
          <w:tcPr>
            <w:tcW w:w="1526" w:type="dxa"/>
          </w:tcPr>
          <w:p w:rsidR="00FF2B86" w:rsidRDefault="00CB3C00" w:rsidP="00142A4B">
            <w:pPr>
              <w:spacing w:before="60" w:after="60" w:line="240" w:lineRule="auto"/>
              <w:rPr>
                <w:lang w:val="de-AT"/>
              </w:rPr>
            </w:pPr>
            <w:r>
              <w:rPr>
                <w:lang w:val="de-AT"/>
              </w:rPr>
              <w:t>Tab. 3</w:t>
            </w:r>
            <w:r w:rsidR="006F7705">
              <w:rPr>
                <w:lang w:val="de-AT"/>
              </w:rPr>
              <w:t>3</w:t>
            </w:r>
          </w:p>
        </w:tc>
        <w:tc>
          <w:tcPr>
            <w:tcW w:w="6662" w:type="dxa"/>
          </w:tcPr>
          <w:p w:rsidR="00FF2B86" w:rsidRDefault="00CB3C00" w:rsidP="00FF2B86">
            <w:pPr>
              <w:spacing w:before="60" w:after="60" w:line="240" w:lineRule="auto"/>
              <w:jc w:val="left"/>
            </w:pPr>
            <w:r>
              <w:t>Bedarf nach Anti-Diskriminierungsmaßnahmen, nach Art der Ei</w:t>
            </w:r>
            <w:r>
              <w:t>n</w:t>
            </w:r>
            <w:r>
              <w:t>richtung</w:t>
            </w:r>
          </w:p>
        </w:tc>
        <w:tc>
          <w:tcPr>
            <w:tcW w:w="1024" w:type="dxa"/>
          </w:tcPr>
          <w:p w:rsidR="00FF2B86" w:rsidRDefault="00D67636" w:rsidP="00142A4B">
            <w:pPr>
              <w:spacing w:before="60" w:after="60" w:line="240" w:lineRule="auto"/>
              <w:jc w:val="right"/>
            </w:pPr>
            <w:r>
              <w:t>126</w:t>
            </w:r>
          </w:p>
        </w:tc>
      </w:tr>
      <w:tr w:rsidR="00FF2B86" w:rsidTr="00681694">
        <w:tc>
          <w:tcPr>
            <w:tcW w:w="1526" w:type="dxa"/>
          </w:tcPr>
          <w:p w:rsidR="00FF2B86" w:rsidRDefault="00CB3C00" w:rsidP="006F7705">
            <w:pPr>
              <w:spacing w:before="60" w:after="60" w:line="240" w:lineRule="auto"/>
              <w:rPr>
                <w:lang w:val="de-AT"/>
              </w:rPr>
            </w:pPr>
            <w:r>
              <w:rPr>
                <w:lang w:val="de-AT"/>
              </w:rPr>
              <w:t>Tab. 3</w:t>
            </w:r>
            <w:r w:rsidR="006F7705">
              <w:rPr>
                <w:lang w:val="de-AT"/>
              </w:rPr>
              <w:t>4</w:t>
            </w:r>
          </w:p>
        </w:tc>
        <w:tc>
          <w:tcPr>
            <w:tcW w:w="6662" w:type="dxa"/>
          </w:tcPr>
          <w:p w:rsidR="00FF2B86" w:rsidRDefault="006F7705" w:rsidP="006F7705">
            <w:pPr>
              <w:spacing w:before="60" w:after="60" w:line="240" w:lineRule="auto"/>
              <w:jc w:val="left"/>
            </w:pPr>
            <w:r>
              <w:t>Aktualität von „</w:t>
            </w:r>
            <w:r w:rsidR="003F7C1F">
              <w:t>Equality</w:t>
            </w:r>
            <w:r>
              <w:t xml:space="preserve"> in </w:t>
            </w:r>
            <w:r w:rsidR="003F7C1F">
              <w:t>Housing</w:t>
            </w:r>
            <w:r>
              <w:t>“</w:t>
            </w:r>
          </w:p>
        </w:tc>
        <w:tc>
          <w:tcPr>
            <w:tcW w:w="1024" w:type="dxa"/>
          </w:tcPr>
          <w:p w:rsidR="00FF2B86" w:rsidRDefault="00D67636" w:rsidP="00142A4B">
            <w:pPr>
              <w:spacing w:before="60" w:after="60" w:line="240" w:lineRule="auto"/>
              <w:jc w:val="right"/>
            </w:pPr>
            <w:r>
              <w:t>126</w:t>
            </w:r>
          </w:p>
        </w:tc>
      </w:tr>
      <w:tr w:rsidR="006F7705" w:rsidTr="00681694">
        <w:tc>
          <w:tcPr>
            <w:tcW w:w="1526" w:type="dxa"/>
          </w:tcPr>
          <w:p w:rsidR="006F7705" w:rsidRDefault="006F7705" w:rsidP="006F7705">
            <w:pPr>
              <w:spacing w:before="60" w:after="60" w:line="240" w:lineRule="auto"/>
              <w:rPr>
                <w:lang w:val="de-AT"/>
              </w:rPr>
            </w:pPr>
            <w:r>
              <w:rPr>
                <w:lang w:val="de-AT"/>
              </w:rPr>
              <w:t>Tab. 35</w:t>
            </w:r>
          </w:p>
        </w:tc>
        <w:tc>
          <w:tcPr>
            <w:tcW w:w="6662" w:type="dxa"/>
          </w:tcPr>
          <w:p w:rsidR="006F7705" w:rsidRDefault="006F7705" w:rsidP="006F7705">
            <w:pPr>
              <w:spacing w:before="60" w:after="60" w:line="240" w:lineRule="auto"/>
              <w:jc w:val="left"/>
            </w:pPr>
            <w:r>
              <w:t>Aktualität von „</w:t>
            </w:r>
            <w:r w:rsidR="003F7C1F">
              <w:t>Equality</w:t>
            </w:r>
            <w:r>
              <w:t xml:space="preserve"> in </w:t>
            </w:r>
            <w:r w:rsidR="003F7C1F">
              <w:t>Housing</w:t>
            </w:r>
            <w:r>
              <w:t>“, nach Art der Einrichtung</w:t>
            </w:r>
          </w:p>
        </w:tc>
        <w:tc>
          <w:tcPr>
            <w:tcW w:w="1024" w:type="dxa"/>
          </w:tcPr>
          <w:p w:rsidR="006F7705" w:rsidRDefault="00D67636" w:rsidP="00142A4B">
            <w:pPr>
              <w:spacing w:before="60" w:after="60" w:line="240" w:lineRule="auto"/>
              <w:jc w:val="right"/>
            </w:pPr>
            <w:r>
              <w:t>127</w:t>
            </w:r>
          </w:p>
        </w:tc>
      </w:tr>
    </w:tbl>
    <w:p w:rsidR="005F5B63" w:rsidRDefault="005F5B63" w:rsidP="005F5B63"/>
    <w:p w:rsidR="005F5B63" w:rsidRDefault="005F5B63" w:rsidP="005F5B63"/>
    <w:p w:rsidR="005F5B63" w:rsidRDefault="005F5B63" w:rsidP="005F5B63"/>
    <w:p w:rsidR="005F5B63" w:rsidRDefault="005F5B63" w:rsidP="005F5B63">
      <w:pPr>
        <w:spacing w:after="200" w:line="276" w:lineRule="auto"/>
        <w:rPr>
          <w:rFonts w:eastAsiaTheme="majorEastAsia" w:cstheme="majorBidi"/>
          <w:i/>
          <w:iCs/>
          <w:color w:val="365F91" w:themeColor="accent1" w:themeShade="BF"/>
          <w:spacing w:val="15"/>
          <w:lang w:val="de-AT"/>
        </w:rPr>
      </w:pPr>
      <w:r>
        <w:rPr>
          <w:lang w:val="de-AT"/>
        </w:rPr>
        <w:br w:type="page"/>
      </w:r>
    </w:p>
    <w:p w:rsidR="005F5B63" w:rsidRPr="00CA390B" w:rsidRDefault="005F5B63" w:rsidP="00FF2B86">
      <w:pPr>
        <w:pStyle w:val="Untertitel"/>
        <w:rPr>
          <w:lang w:val="de-AT"/>
        </w:rPr>
      </w:pPr>
      <w:r>
        <w:rPr>
          <w:lang w:val="de-AT"/>
        </w:rPr>
        <w:lastRenderedPageBreak/>
        <w:t>Tab. 1: Art der Einrichtungen, n = 299 (Mehrfachnennungen)</w:t>
      </w:r>
    </w:p>
    <w:tbl>
      <w:tblPr>
        <w:tblW w:w="666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11"/>
        <w:gridCol w:w="1105"/>
        <w:gridCol w:w="1447"/>
      </w:tblGrid>
      <w:tr w:rsidR="005F5B63" w:rsidRPr="00810439" w:rsidTr="00142A4B">
        <w:trPr>
          <w:trHeight w:val="255"/>
        </w:trPr>
        <w:tc>
          <w:tcPr>
            <w:tcW w:w="4111" w:type="dxa"/>
            <w:shd w:val="clear" w:color="auto" w:fill="D6E3BC" w:themeFill="accent3" w:themeFillTint="66"/>
            <w:noWrap/>
            <w:vAlign w:val="center"/>
            <w:hideMark/>
          </w:tcPr>
          <w:p w:rsidR="005F5B63" w:rsidRPr="00810439" w:rsidRDefault="005F5B63" w:rsidP="00142A4B">
            <w:pPr>
              <w:spacing w:before="60" w:after="60" w:line="240" w:lineRule="auto"/>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Art der Einrichtung</w:t>
            </w:r>
          </w:p>
        </w:tc>
        <w:tc>
          <w:tcPr>
            <w:tcW w:w="1105" w:type="dxa"/>
            <w:shd w:val="clear" w:color="auto" w:fill="D6E3BC" w:themeFill="accent3" w:themeFillTint="66"/>
            <w:noWrap/>
            <w:vAlign w:val="center"/>
            <w:hideMark/>
          </w:tcPr>
          <w:p w:rsidR="005F5B63" w:rsidRPr="00810439" w:rsidRDefault="005F5B63" w:rsidP="00142A4B">
            <w:pPr>
              <w:spacing w:before="60" w:after="60" w:line="240" w:lineRule="auto"/>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abs.</w:t>
            </w:r>
          </w:p>
        </w:tc>
        <w:tc>
          <w:tcPr>
            <w:tcW w:w="1447" w:type="dxa"/>
            <w:shd w:val="clear" w:color="auto" w:fill="D6E3BC" w:themeFill="accent3" w:themeFillTint="66"/>
          </w:tcPr>
          <w:p w:rsidR="005F5B63" w:rsidRPr="00810439" w:rsidRDefault="005F5B63" w:rsidP="00142A4B">
            <w:pPr>
              <w:spacing w:before="60" w:after="60" w:line="240" w:lineRule="auto"/>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in % von 299</w:t>
            </w:r>
          </w:p>
        </w:tc>
      </w:tr>
      <w:tr w:rsidR="005F5B63" w:rsidRPr="00810439" w:rsidTr="00142A4B">
        <w:trPr>
          <w:trHeight w:val="255"/>
        </w:trPr>
        <w:tc>
          <w:tcPr>
            <w:tcW w:w="4111" w:type="dxa"/>
            <w:shd w:val="clear" w:color="auto" w:fill="auto"/>
            <w:noWrap/>
            <w:vAlign w:val="bottom"/>
            <w:hideMark/>
          </w:tcPr>
          <w:p w:rsidR="005F5B63" w:rsidRPr="00810439" w:rsidRDefault="005F5B63" w:rsidP="00142A4B">
            <w:pPr>
              <w:spacing w:before="60" w:after="60" w:line="240" w:lineRule="auto"/>
              <w:rPr>
                <w:rFonts w:ascii="Microsoft Sans Serif" w:hAnsi="Microsoft Sans Serif" w:cs="Microsoft Sans Serif"/>
                <w:sz w:val="20"/>
                <w:szCs w:val="20"/>
                <w:lang w:val="de-AT" w:eastAsia="de-AT"/>
              </w:rPr>
            </w:pPr>
            <w:r w:rsidRPr="00810439">
              <w:rPr>
                <w:rFonts w:ascii="Microsoft Sans Serif" w:hAnsi="Microsoft Sans Serif" w:cs="Microsoft Sans Serif"/>
                <w:sz w:val="20"/>
                <w:szCs w:val="20"/>
                <w:lang w:val="de-AT" w:eastAsia="de-AT"/>
              </w:rPr>
              <w:t>kommunales Wohnungsamt</w:t>
            </w:r>
          </w:p>
        </w:tc>
        <w:tc>
          <w:tcPr>
            <w:tcW w:w="1105" w:type="dxa"/>
            <w:shd w:val="clear" w:color="auto" w:fill="auto"/>
            <w:noWrap/>
            <w:vAlign w:val="bottom"/>
            <w:hideMark/>
          </w:tcPr>
          <w:p w:rsidR="005F5B63" w:rsidRPr="00810439" w:rsidRDefault="005F5B63" w:rsidP="00142A4B">
            <w:pPr>
              <w:spacing w:before="60" w:after="60" w:line="240" w:lineRule="auto"/>
              <w:ind w:right="145"/>
              <w:jc w:val="right"/>
              <w:rPr>
                <w:rFonts w:ascii="Microsoft Sans Serif" w:hAnsi="Microsoft Sans Serif" w:cs="Microsoft Sans Serif"/>
                <w:sz w:val="20"/>
                <w:szCs w:val="20"/>
                <w:lang w:val="de-AT" w:eastAsia="de-AT"/>
              </w:rPr>
            </w:pPr>
            <w:r w:rsidRPr="00810439">
              <w:rPr>
                <w:rFonts w:ascii="Microsoft Sans Serif" w:hAnsi="Microsoft Sans Serif" w:cs="Microsoft Sans Serif"/>
                <w:sz w:val="20"/>
                <w:szCs w:val="20"/>
                <w:lang w:val="de-AT" w:eastAsia="de-AT"/>
              </w:rPr>
              <w:t>7</w:t>
            </w:r>
            <w:r>
              <w:rPr>
                <w:rFonts w:ascii="Microsoft Sans Serif" w:hAnsi="Microsoft Sans Serif" w:cs="Microsoft Sans Serif"/>
                <w:sz w:val="20"/>
                <w:szCs w:val="20"/>
                <w:lang w:val="de-AT" w:eastAsia="de-AT"/>
              </w:rPr>
              <w:t>2</w:t>
            </w:r>
          </w:p>
        </w:tc>
        <w:tc>
          <w:tcPr>
            <w:tcW w:w="1447" w:type="dxa"/>
          </w:tcPr>
          <w:p w:rsidR="005F5B63" w:rsidRPr="00810439" w:rsidRDefault="005F5B63" w:rsidP="00142A4B">
            <w:pPr>
              <w:spacing w:before="60" w:after="60" w:line="240" w:lineRule="auto"/>
              <w:ind w:right="203"/>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24%</w:t>
            </w:r>
          </w:p>
        </w:tc>
      </w:tr>
      <w:tr w:rsidR="005F5B63" w:rsidRPr="00810439" w:rsidTr="00142A4B">
        <w:trPr>
          <w:trHeight w:val="255"/>
        </w:trPr>
        <w:tc>
          <w:tcPr>
            <w:tcW w:w="4111" w:type="dxa"/>
            <w:shd w:val="clear" w:color="auto" w:fill="auto"/>
            <w:noWrap/>
            <w:vAlign w:val="bottom"/>
            <w:hideMark/>
          </w:tcPr>
          <w:p w:rsidR="005F5B63" w:rsidRPr="00810439" w:rsidRDefault="005F5B63" w:rsidP="00142A4B">
            <w:pPr>
              <w:spacing w:before="60" w:after="60" w:line="240" w:lineRule="auto"/>
              <w:rPr>
                <w:rFonts w:ascii="Microsoft Sans Serif" w:hAnsi="Microsoft Sans Serif" w:cs="Microsoft Sans Serif"/>
                <w:sz w:val="20"/>
                <w:szCs w:val="20"/>
                <w:lang w:val="de-AT" w:eastAsia="de-AT"/>
              </w:rPr>
            </w:pPr>
            <w:r w:rsidRPr="00810439">
              <w:rPr>
                <w:rFonts w:ascii="Microsoft Sans Serif" w:hAnsi="Microsoft Sans Serif" w:cs="Microsoft Sans Serif"/>
                <w:sz w:val="20"/>
                <w:szCs w:val="20"/>
                <w:lang w:val="de-AT" w:eastAsia="de-AT"/>
              </w:rPr>
              <w:t>gemeinnütziger Bauträger</w:t>
            </w:r>
          </w:p>
        </w:tc>
        <w:tc>
          <w:tcPr>
            <w:tcW w:w="1105" w:type="dxa"/>
            <w:shd w:val="clear" w:color="auto" w:fill="auto"/>
            <w:noWrap/>
            <w:vAlign w:val="bottom"/>
            <w:hideMark/>
          </w:tcPr>
          <w:p w:rsidR="005F5B63" w:rsidRPr="00810439" w:rsidRDefault="005F5B63" w:rsidP="00142A4B">
            <w:pPr>
              <w:spacing w:before="60" w:after="60" w:line="240" w:lineRule="auto"/>
              <w:ind w:right="145"/>
              <w:jc w:val="right"/>
              <w:rPr>
                <w:rFonts w:ascii="Microsoft Sans Serif" w:hAnsi="Microsoft Sans Serif" w:cs="Microsoft Sans Serif"/>
                <w:sz w:val="20"/>
                <w:szCs w:val="20"/>
                <w:lang w:val="de-AT" w:eastAsia="de-AT"/>
              </w:rPr>
            </w:pPr>
            <w:r w:rsidRPr="00810439">
              <w:rPr>
                <w:rFonts w:ascii="Microsoft Sans Serif" w:hAnsi="Microsoft Sans Serif" w:cs="Microsoft Sans Serif"/>
                <w:sz w:val="20"/>
                <w:szCs w:val="20"/>
                <w:lang w:val="de-AT" w:eastAsia="de-AT"/>
              </w:rPr>
              <w:t>5</w:t>
            </w:r>
            <w:r>
              <w:rPr>
                <w:rFonts w:ascii="Microsoft Sans Serif" w:hAnsi="Microsoft Sans Serif" w:cs="Microsoft Sans Serif"/>
                <w:sz w:val="20"/>
                <w:szCs w:val="20"/>
                <w:lang w:val="de-AT" w:eastAsia="de-AT"/>
              </w:rPr>
              <w:t>3</w:t>
            </w:r>
          </w:p>
        </w:tc>
        <w:tc>
          <w:tcPr>
            <w:tcW w:w="1447" w:type="dxa"/>
          </w:tcPr>
          <w:p w:rsidR="005F5B63" w:rsidRPr="00810439" w:rsidRDefault="005F5B63" w:rsidP="00142A4B">
            <w:pPr>
              <w:spacing w:before="60" w:after="60" w:line="240" w:lineRule="auto"/>
              <w:ind w:right="203"/>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18%</w:t>
            </w:r>
          </w:p>
        </w:tc>
      </w:tr>
      <w:tr w:rsidR="005F5B63" w:rsidRPr="00810439" w:rsidTr="00142A4B">
        <w:trPr>
          <w:trHeight w:val="255"/>
        </w:trPr>
        <w:tc>
          <w:tcPr>
            <w:tcW w:w="4111" w:type="dxa"/>
            <w:shd w:val="clear" w:color="auto" w:fill="auto"/>
            <w:noWrap/>
            <w:vAlign w:val="bottom"/>
            <w:hideMark/>
          </w:tcPr>
          <w:p w:rsidR="005F5B63" w:rsidRPr="00810439" w:rsidRDefault="005F5B63" w:rsidP="00142A4B">
            <w:pPr>
              <w:spacing w:before="60" w:after="60" w:line="240" w:lineRule="auto"/>
              <w:rPr>
                <w:rFonts w:ascii="Microsoft Sans Serif" w:hAnsi="Microsoft Sans Serif" w:cs="Microsoft Sans Serif"/>
                <w:sz w:val="20"/>
                <w:szCs w:val="20"/>
                <w:lang w:val="de-AT" w:eastAsia="de-AT"/>
              </w:rPr>
            </w:pPr>
            <w:r w:rsidRPr="00810439">
              <w:rPr>
                <w:rFonts w:ascii="Microsoft Sans Serif" w:hAnsi="Microsoft Sans Serif" w:cs="Microsoft Sans Serif"/>
                <w:sz w:val="20"/>
                <w:szCs w:val="20"/>
                <w:lang w:val="de-AT" w:eastAsia="de-AT"/>
              </w:rPr>
              <w:t>private Wohnungsverwaltung</w:t>
            </w:r>
          </w:p>
        </w:tc>
        <w:tc>
          <w:tcPr>
            <w:tcW w:w="1105" w:type="dxa"/>
            <w:shd w:val="clear" w:color="auto" w:fill="auto"/>
            <w:noWrap/>
            <w:vAlign w:val="bottom"/>
            <w:hideMark/>
          </w:tcPr>
          <w:p w:rsidR="005F5B63" w:rsidRPr="00810439" w:rsidRDefault="005F5B63" w:rsidP="00142A4B">
            <w:pPr>
              <w:spacing w:before="60" w:after="60" w:line="240" w:lineRule="auto"/>
              <w:ind w:right="145"/>
              <w:jc w:val="right"/>
              <w:rPr>
                <w:rFonts w:ascii="Microsoft Sans Serif" w:hAnsi="Microsoft Sans Serif" w:cs="Microsoft Sans Serif"/>
                <w:sz w:val="20"/>
                <w:szCs w:val="20"/>
                <w:lang w:val="de-AT" w:eastAsia="de-AT"/>
              </w:rPr>
            </w:pPr>
            <w:r w:rsidRPr="00810439">
              <w:rPr>
                <w:rFonts w:ascii="Microsoft Sans Serif" w:hAnsi="Microsoft Sans Serif" w:cs="Microsoft Sans Serif"/>
                <w:sz w:val="20"/>
                <w:szCs w:val="20"/>
                <w:lang w:val="de-AT" w:eastAsia="de-AT"/>
              </w:rPr>
              <w:t>28</w:t>
            </w:r>
          </w:p>
        </w:tc>
        <w:tc>
          <w:tcPr>
            <w:tcW w:w="1447" w:type="dxa"/>
          </w:tcPr>
          <w:p w:rsidR="005F5B63" w:rsidRPr="00810439" w:rsidRDefault="005F5B63" w:rsidP="00142A4B">
            <w:pPr>
              <w:spacing w:before="60" w:after="60" w:line="240" w:lineRule="auto"/>
              <w:ind w:right="203"/>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9%</w:t>
            </w:r>
          </w:p>
        </w:tc>
      </w:tr>
      <w:tr w:rsidR="005F5B63" w:rsidRPr="00810439" w:rsidTr="00142A4B">
        <w:trPr>
          <w:trHeight w:val="255"/>
        </w:trPr>
        <w:tc>
          <w:tcPr>
            <w:tcW w:w="4111" w:type="dxa"/>
            <w:shd w:val="clear" w:color="auto" w:fill="auto"/>
            <w:noWrap/>
            <w:vAlign w:val="bottom"/>
            <w:hideMark/>
          </w:tcPr>
          <w:p w:rsidR="005F5B63" w:rsidRPr="00810439" w:rsidRDefault="005F5B63" w:rsidP="00142A4B">
            <w:pPr>
              <w:spacing w:before="60" w:after="60" w:line="240" w:lineRule="auto"/>
              <w:rPr>
                <w:rFonts w:ascii="Microsoft Sans Serif" w:hAnsi="Microsoft Sans Serif" w:cs="Microsoft Sans Serif"/>
                <w:sz w:val="20"/>
                <w:szCs w:val="20"/>
                <w:lang w:val="de-AT" w:eastAsia="de-AT"/>
              </w:rPr>
            </w:pPr>
            <w:r w:rsidRPr="00810439">
              <w:rPr>
                <w:rFonts w:ascii="Microsoft Sans Serif" w:hAnsi="Microsoft Sans Serif" w:cs="Microsoft Sans Serif"/>
                <w:sz w:val="20"/>
                <w:szCs w:val="20"/>
                <w:lang w:val="de-AT" w:eastAsia="de-AT"/>
              </w:rPr>
              <w:t>Beratungsstelle</w:t>
            </w:r>
          </w:p>
        </w:tc>
        <w:tc>
          <w:tcPr>
            <w:tcW w:w="1105" w:type="dxa"/>
            <w:shd w:val="clear" w:color="auto" w:fill="auto"/>
            <w:noWrap/>
            <w:vAlign w:val="bottom"/>
            <w:hideMark/>
          </w:tcPr>
          <w:p w:rsidR="005F5B63" w:rsidRPr="00810439" w:rsidRDefault="005F5B63" w:rsidP="00142A4B">
            <w:pPr>
              <w:spacing w:before="60" w:after="60" w:line="240" w:lineRule="auto"/>
              <w:ind w:right="145"/>
              <w:jc w:val="right"/>
              <w:rPr>
                <w:rFonts w:ascii="Microsoft Sans Serif" w:hAnsi="Microsoft Sans Serif" w:cs="Microsoft Sans Serif"/>
                <w:sz w:val="20"/>
                <w:szCs w:val="20"/>
                <w:lang w:val="de-AT" w:eastAsia="de-AT"/>
              </w:rPr>
            </w:pPr>
            <w:r w:rsidRPr="00810439">
              <w:rPr>
                <w:rFonts w:ascii="Microsoft Sans Serif" w:hAnsi="Microsoft Sans Serif" w:cs="Microsoft Sans Serif"/>
                <w:sz w:val="20"/>
                <w:szCs w:val="20"/>
                <w:lang w:val="de-AT" w:eastAsia="de-AT"/>
              </w:rPr>
              <w:t>15</w:t>
            </w:r>
            <w:r>
              <w:rPr>
                <w:rFonts w:ascii="Microsoft Sans Serif" w:hAnsi="Microsoft Sans Serif" w:cs="Microsoft Sans Serif"/>
                <w:sz w:val="20"/>
                <w:szCs w:val="20"/>
                <w:lang w:val="de-AT" w:eastAsia="de-AT"/>
              </w:rPr>
              <w:t>7</w:t>
            </w:r>
          </w:p>
        </w:tc>
        <w:tc>
          <w:tcPr>
            <w:tcW w:w="1447" w:type="dxa"/>
          </w:tcPr>
          <w:p w:rsidR="005F5B63" w:rsidRPr="00810439" w:rsidRDefault="005F5B63" w:rsidP="00142A4B">
            <w:pPr>
              <w:spacing w:before="60" w:after="60" w:line="240" w:lineRule="auto"/>
              <w:ind w:right="203"/>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53%</w:t>
            </w:r>
          </w:p>
        </w:tc>
      </w:tr>
      <w:tr w:rsidR="005F5B63" w:rsidRPr="00810439" w:rsidTr="00142A4B">
        <w:trPr>
          <w:trHeight w:val="255"/>
        </w:trPr>
        <w:tc>
          <w:tcPr>
            <w:tcW w:w="4111" w:type="dxa"/>
            <w:shd w:val="clear" w:color="auto" w:fill="auto"/>
            <w:noWrap/>
            <w:vAlign w:val="bottom"/>
            <w:hideMark/>
          </w:tcPr>
          <w:p w:rsidR="005F5B63" w:rsidRPr="00810439" w:rsidRDefault="005F5B63" w:rsidP="00142A4B">
            <w:pPr>
              <w:spacing w:before="60" w:after="60" w:line="240" w:lineRule="auto"/>
              <w:rPr>
                <w:rFonts w:ascii="Microsoft Sans Serif" w:hAnsi="Microsoft Sans Serif" w:cs="Microsoft Sans Serif"/>
                <w:sz w:val="20"/>
                <w:szCs w:val="20"/>
                <w:lang w:val="de-AT" w:eastAsia="de-AT"/>
              </w:rPr>
            </w:pPr>
            <w:r w:rsidRPr="00810439">
              <w:rPr>
                <w:rFonts w:ascii="Microsoft Sans Serif" w:hAnsi="Microsoft Sans Serif" w:cs="Microsoft Sans Serif"/>
                <w:sz w:val="20"/>
                <w:szCs w:val="20"/>
                <w:lang w:val="de-AT" w:eastAsia="de-AT"/>
              </w:rPr>
              <w:t>Anzahl der Nennungen</w:t>
            </w:r>
          </w:p>
        </w:tc>
        <w:tc>
          <w:tcPr>
            <w:tcW w:w="1105" w:type="dxa"/>
            <w:shd w:val="clear" w:color="auto" w:fill="auto"/>
            <w:noWrap/>
            <w:vAlign w:val="bottom"/>
            <w:hideMark/>
          </w:tcPr>
          <w:p w:rsidR="005F5B63" w:rsidRPr="00810439" w:rsidRDefault="0019487A" w:rsidP="00142A4B">
            <w:pPr>
              <w:spacing w:before="60" w:after="60" w:line="240" w:lineRule="auto"/>
              <w:ind w:right="145"/>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fldChar w:fldCharType="begin"/>
            </w:r>
            <w:r w:rsidR="005F5B63">
              <w:rPr>
                <w:rFonts w:ascii="Microsoft Sans Serif" w:hAnsi="Microsoft Sans Serif" w:cs="Microsoft Sans Serif"/>
                <w:sz w:val="20"/>
                <w:szCs w:val="20"/>
                <w:lang w:val="de-AT" w:eastAsia="de-AT"/>
              </w:rPr>
              <w:instrText xml:space="preserve"> =SUM(ABOVE) </w:instrText>
            </w:r>
            <w:r>
              <w:rPr>
                <w:rFonts w:ascii="Microsoft Sans Serif" w:hAnsi="Microsoft Sans Serif" w:cs="Microsoft Sans Serif"/>
                <w:sz w:val="20"/>
                <w:szCs w:val="20"/>
                <w:lang w:val="de-AT" w:eastAsia="de-AT"/>
              </w:rPr>
              <w:fldChar w:fldCharType="separate"/>
            </w:r>
            <w:r w:rsidR="005F5B63">
              <w:rPr>
                <w:rFonts w:ascii="Microsoft Sans Serif" w:hAnsi="Microsoft Sans Serif" w:cs="Microsoft Sans Serif"/>
                <w:noProof/>
                <w:sz w:val="20"/>
                <w:szCs w:val="20"/>
                <w:lang w:val="de-AT" w:eastAsia="de-AT"/>
              </w:rPr>
              <w:t>310</w:t>
            </w:r>
            <w:r>
              <w:rPr>
                <w:rFonts w:ascii="Microsoft Sans Serif" w:hAnsi="Microsoft Sans Serif" w:cs="Microsoft Sans Serif"/>
                <w:sz w:val="20"/>
                <w:szCs w:val="20"/>
                <w:lang w:val="de-AT" w:eastAsia="de-AT"/>
              </w:rPr>
              <w:fldChar w:fldCharType="end"/>
            </w:r>
          </w:p>
        </w:tc>
        <w:tc>
          <w:tcPr>
            <w:tcW w:w="1447" w:type="dxa"/>
          </w:tcPr>
          <w:p w:rsidR="005F5B63" w:rsidRPr="00810439" w:rsidRDefault="005F5B63" w:rsidP="00142A4B">
            <w:pPr>
              <w:spacing w:before="60" w:after="60" w:line="240" w:lineRule="auto"/>
              <w:ind w:right="203"/>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104%</w:t>
            </w:r>
          </w:p>
        </w:tc>
      </w:tr>
    </w:tbl>
    <w:p w:rsidR="005F5B63" w:rsidRDefault="005F5B63" w:rsidP="005F5B63"/>
    <w:p w:rsidR="005F5B63" w:rsidRPr="00D81714" w:rsidRDefault="005F5B63" w:rsidP="00FF2B86">
      <w:pPr>
        <w:pStyle w:val="Untertitel"/>
        <w:rPr>
          <w:lang w:val="de-AT"/>
        </w:rPr>
      </w:pPr>
      <w:r>
        <w:rPr>
          <w:lang w:val="de-AT"/>
        </w:rPr>
        <w:t>Tab. 2: Verteilung nach Wohnungstypen, n=299, Mehrfachnennungen</w:t>
      </w:r>
    </w:p>
    <w:tbl>
      <w:tblPr>
        <w:tblW w:w="62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tblPr>
      <w:tblGrid>
        <w:gridCol w:w="3402"/>
        <w:gridCol w:w="1417"/>
        <w:gridCol w:w="1417"/>
      </w:tblGrid>
      <w:tr w:rsidR="005F5B63" w:rsidRPr="00953FD7" w:rsidTr="00142A4B">
        <w:trPr>
          <w:trHeight w:val="255"/>
        </w:trPr>
        <w:tc>
          <w:tcPr>
            <w:tcW w:w="3402" w:type="dxa"/>
            <w:shd w:val="clear" w:color="auto" w:fill="D6E3BC" w:themeFill="accent3" w:themeFillTint="66"/>
            <w:vAlign w:val="bottom"/>
            <w:hideMark/>
          </w:tcPr>
          <w:p w:rsidR="005F5B63" w:rsidRPr="00953FD7" w:rsidRDefault="005F5B63" w:rsidP="00142A4B">
            <w:pPr>
              <w:spacing w:after="0" w:line="240" w:lineRule="auto"/>
              <w:rPr>
                <w:rFonts w:ascii="Microsoft Sans Serif" w:hAnsi="Microsoft Sans Serif" w:cs="Microsoft Sans Serif"/>
                <w:sz w:val="20"/>
                <w:szCs w:val="20"/>
                <w:lang w:val="de-AT" w:eastAsia="de-AT"/>
              </w:rPr>
            </w:pPr>
          </w:p>
        </w:tc>
        <w:tc>
          <w:tcPr>
            <w:tcW w:w="1417" w:type="dxa"/>
            <w:shd w:val="clear" w:color="auto" w:fill="D6E3BC" w:themeFill="accent3" w:themeFillTint="66"/>
            <w:noWrap/>
            <w:vAlign w:val="bottom"/>
            <w:hideMark/>
          </w:tcPr>
          <w:p w:rsidR="005F5B63" w:rsidRPr="00953FD7" w:rsidRDefault="005F5B63" w:rsidP="00142A4B">
            <w:pPr>
              <w:spacing w:after="0" w:line="240" w:lineRule="auto"/>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gesamt</w:t>
            </w:r>
          </w:p>
        </w:tc>
        <w:tc>
          <w:tcPr>
            <w:tcW w:w="1417" w:type="dxa"/>
            <w:shd w:val="clear" w:color="auto" w:fill="D6E3BC" w:themeFill="accent3" w:themeFillTint="66"/>
          </w:tcPr>
          <w:p w:rsidR="005F5B63" w:rsidRDefault="005F5B63" w:rsidP="00142A4B">
            <w:pPr>
              <w:spacing w:after="0" w:line="240" w:lineRule="auto"/>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in % von 299</w:t>
            </w:r>
          </w:p>
        </w:tc>
      </w:tr>
      <w:tr w:rsidR="005F5B63" w:rsidRPr="00953FD7" w:rsidTr="00142A4B">
        <w:trPr>
          <w:trHeight w:val="255"/>
        </w:trPr>
        <w:tc>
          <w:tcPr>
            <w:tcW w:w="3402" w:type="dxa"/>
            <w:shd w:val="clear" w:color="auto" w:fill="FFFFFF" w:themeFill="background1"/>
            <w:vAlign w:val="bottom"/>
            <w:hideMark/>
          </w:tcPr>
          <w:p w:rsidR="005F5B63" w:rsidRPr="00953FD7" w:rsidRDefault="005F5B63" w:rsidP="00142A4B">
            <w:pPr>
              <w:spacing w:after="0" w:line="240" w:lineRule="auto"/>
              <w:rPr>
                <w:rFonts w:ascii="Microsoft Sans Serif" w:hAnsi="Microsoft Sans Serif" w:cs="Microsoft Sans Serif"/>
                <w:sz w:val="20"/>
                <w:szCs w:val="20"/>
                <w:lang w:val="de-AT" w:eastAsia="de-AT"/>
              </w:rPr>
            </w:pPr>
            <w:r w:rsidRPr="00953FD7">
              <w:rPr>
                <w:rFonts w:ascii="Microsoft Sans Serif" w:hAnsi="Microsoft Sans Serif" w:cs="Microsoft Sans Serif"/>
                <w:sz w:val="20"/>
                <w:szCs w:val="20"/>
                <w:lang w:val="de-AT" w:eastAsia="de-AT"/>
              </w:rPr>
              <w:t>geförderte Mietwohnungen</w:t>
            </w:r>
          </w:p>
        </w:tc>
        <w:tc>
          <w:tcPr>
            <w:tcW w:w="1417" w:type="dxa"/>
            <w:shd w:val="clear" w:color="auto" w:fill="FFFFFF" w:themeFill="background1"/>
            <w:noWrap/>
            <w:vAlign w:val="bottom"/>
            <w:hideMark/>
          </w:tcPr>
          <w:p w:rsidR="005F5B63" w:rsidRPr="00953FD7" w:rsidRDefault="005F5B63" w:rsidP="00142A4B">
            <w:pPr>
              <w:spacing w:after="0" w:line="240" w:lineRule="auto"/>
              <w:ind w:right="354"/>
              <w:jc w:val="right"/>
              <w:rPr>
                <w:rFonts w:ascii="Microsoft Sans Serif" w:hAnsi="Microsoft Sans Serif" w:cs="Microsoft Sans Serif"/>
                <w:sz w:val="20"/>
                <w:szCs w:val="20"/>
                <w:lang w:val="de-AT" w:eastAsia="de-AT"/>
              </w:rPr>
            </w:pPr>
            <w:r w:rsidRPr="00953FD7">
              <w:rPr>
                <w:rFonts w:ascii="Microsoft Sans Serif" w:hAnsi="Microsoft Sans Serif" w:cs="Microsoft Sans Serif"/>
                <w:sz w:val="20"/>
                <w:szCs w:val="20"/>
                <w:lang w:val="de-AT" w:eastAsia="de-AT"/>
              </w:rPr>
              <w:t>13</w:t>
            </w:r>
            <w:r>
              <w:rPr>
                <w:rFonts w:ascii="Microsoft Sans Serif" w:hAnsi="Microsoft Sans Serif" w:cs="Microsoft Sans Serif"/>
                <w:sz w:val="20"/>
                <w:szCs w:val="20"/>
                <w:lang w:val="de-AT" w:eastAsia="de-AT"/>
              </w:rPr>
              <w:t>0</w:t>
            </w:r>
          </w:p>
        </w:tc>
        <w:tc>
          <w:tcPr>
            <w:tcW w:w="1417" w:type="dxa"/>
            <w:shd w:val="clear" w:color="auto" w:fill="FFFFFF" w:themeFill="background1"/>
          </w:tcPr>
          <w:p w:rsidR="005F5B63" w:rsidRPr="00953FD7" w:rsidRDefault="005F5B63" w:rsidP="00142A4B">
            <w:pPr>
              <w:spacing w:after="0" w:line="240" w:lineRule="auto"/>
              <w:ind w:right="354"/>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44%</w:t>
            </w:r>
          </w:p>
        </w:tc>
      </w:tr>
      <w:tr w:rsidR="005F5B63" w:rsidRPr="00953FD7" w:rsidTr="00142A4B">
        <w:trPr>
          <w:trHeight w:val="255"/>
        </w:trPr>
        <w:tc>
          <w:tcPr>
            <w:tcW w:w="3402" w:type="dxa"/>
            <w:shd w:val="clear" w:color="auto" w:fill="FFFFFF" w:themeFill="background1"/>
            <w:vAlign w:val="bottom"/>
            <w:hideMark/>
          </w:tcPr>
          <w:p w:rsidR="005F5B63" w:rsidRPr="00953FD7" w:rsidRDefault="005F5B63" w:rsidP="00142A4B">
            <w:pPr>
              <w:spacing w:after="0" w:line="240" w:lineRule="auto"/>
              <w:rPr>
                <w:rFonts w:ascii="Microsoft Sans Serif" w:hAnsi="Microsoft Sans Serif" w:cs="Microsoft Sans Serif"/>
                <w:sz w:val="20"/>
                <w:szCs w:val="20"/>
                <w:lang w:val="de-AT" w:eastAsia="de-AT"/>
              </w:rPr>
            </w:pPr>
            <w:r w:rsidRPr="00953FD7">
              <w:rPr>
                <w:rFonts w:ascii="Microsoft Sans Serif" w:hAnsi="Microsoft Sans Serif" w:cs="Microsoft Sans Serif"/>
                <w:sz w:val="20"/>
                <w:szCs w:val="20"/>
                <w:lang w:val="de-AT" w:eastAsia="de-AT"/>
              </w:rPr>
              <w:t>geförderte Eigentumswohnungen</w:t>
            </w:r>
          </w:p>
        </w:tc>
        <w:tc>
          <w:tcPr>
            <w:tcW w:w="1417" w:type="dxa"/>
            <w:shd w:val="clear" w:color="auto" w:fill="FFFFFF" w:themeFill="background1"/>
            <w:noWrap/>
            <w:vAlign w:val="bottom"/>
            <w:hideMark/>
          </w:tcPr>
          <w:p w:rsidR="005F5B63" w:rsidRPr="00953FD7" w:rsidRDefault="005F5B63" w:rsidP="00142A4B">
            <w:pPr>
              <w:spacing w:after="0" w:line="240" w:lineRule="auto"/>
              <w:ind w:right="354"/>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59</w:t>
            </w:r>
          </w:p>
        </w:tc>
        <w:tc>
          <w:tcPr>
            <w:tcW w:w="1417" w:type="dxa"/>
            <w:shd w:val="clear" w:color="auto" w:fill="FFFFFF" w:themeFill="background1"/>
          </w:tcPr>
          <w:p w:rsidR="005F5B63" w:rsidRPr="00953FD7" w:rsidRDefault="005F5B63" w:rsidP="00142A4B">
            <w:pPr>
              <w:spacing w:after="0" w:line="240" w:lineRule="auto"/>
              <w:ind w:right="354"/>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20%</w:t>
            </w:r>
          </w:p>
        </w:tc>
      </w:tr>
      <w:tr w:rsidR="005F5B63" w:rsidRPr="00953FD7" w:rsidTr="00142A4B">
        <w:trPr>
          <w:trHeight w:val="255"/>
        </w:trPr>
        <w:tc>
          <w:tcPr>
            <w:tcW w:w="3402" w:type="dxa"/>
            <w:shd w:val="clear" w:color="auto" w:fill="FFFFFF" w:themeFill="background1"/>
            <w:vAlign w:val="bottom"/>
            <w:hideMark/>
          </w:tcPr>
          <w:p w:rsidR="005F5B63" w:rsidRPr="00953FD7" w:rsidRDefault="005F5B63" w:rsidP="00142A4B">
            <w:pPr>
              <w:spacing w:after="0" w:line="240" w:lineRule="auto"/>
              <w:rPr>
                <w:rFonts w:ascii="Microsoft Sans Serif" w:hAnsi="Microsoft Sans Serif" w:cs="Microsoft Sans Serif"/>
                <w:sz w:val="20"/>
                <w:szCs w:val="20"/>
                <w:lang w:val="de-AT" w:eastAsia="de-AT"/>
              </w:rPr>
            </w:pPr>
            <w:r w:rsidRPr="00953FD7">
              <w:rPr>
                <w:rFonts w:ascii="Microsoft Sans Serif" w:hAnsi="Microsoft Sans Serif" w:cs="Microsoft Sans Serif"/>
                <w:sz w:val="20"/>
                <w:szCs w:val="20"/>
                <w:lang w:val="de-AT" w:eastAsia="de-AT"/>
              </w:rPr>
              <w:t>Gemeindewohnungen</w:t>
            </w:r>
          </w:p>
        </w:tc>
        <w:tc>
          <w:tcPr>
            <w:tcW w:w="1417" w:type="dxa"/>
            <w:shd w:val="clear" w:color="auto" w:fill="FFFFFF" w:themeFill="background1"/>
            <w:noWrap/>
            <w:vAlign w:val="bottom"/>
            <w:hideMark/>
          </w:tcPr>
          <w:p w:rsidR="005F5B63" w:rsidRPr="00953FD7" w:rsidRDefault="005F5B63" w:rsidP="00142A4B">
            <w:pPr>
              <w:spacing w:after="0" w:line="240" w:lineRule="auto"/>
              <w:ind w:right="354"/>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139</w:t>
            </w:r>
          </w:p>
        </w:tc>
        <w:tc>
          <w:tcPr>
            <w:tcW w:w="1417" w:type="dxa"/>
            <w:shd w:val="clear" w:color="auto" w:fill="FFFFFF" w:themeFill="background1"/>
          </w:tcPr>
          <w:p w:rsidR="005F5B63" w:rsidRPr="00953FD7" w:rsidRDefault="005F5B63" w:rsidP="00142A4B">
            <w:pPr>
              <w:spacing w:after="0" w:line="240" w:lineRule="auto"/>
              <w:ind w:right="354"/>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47%</w:t>
            </w:r>
          </w:p>
        </w:tc>
      </w:tr>
      <w:tr w:rsidR="005F5B63" w:rsidRPr="00953FD7" w:rsidTr="00142A4B">
        <w:trPr>
          <w:trHeight w:val="255"/>
        </w:trPr>
        <w:tc>
          <w:tcPr>
            <w:tcW w:w="3402" w:type="dxa"/>
            <w:shd w:val="clear" w:color="auto" w:fill="FFFFFF" w:themeFill="background1"/>
            <w:vAlign w:val="bottom"/>
            <w:hideMark/>
          </w:tcPr>
          <w:p w:rsidR="005F5B63" w:rsidRPr="00953FD7" w:rsidRDefault="005F5B63" w:rsidP="00142A4B">
            <w:pPr>
              <w:spacing w:after="0" w:line="240" w:lineRule="auto"/>
              <w:rPr>
                <w:rFonts w:ascii="Microsoft Sans Serif" w:hAnsi="Microsoft Sans Serif" w:cs="Microsoft Sans Serif"/>
                <w:sz w:val="20"/>
                <w:szCs w:val="20"/>
                <w:lang w:val="de-AT" w:eastAsia="de-AT"/>
              </w:rPr>
            </w:pPr>
            <w:r w:rsidRPr="00953FD7">
              <w:rPr>
                <w:rFonts w:ascii="Microsoft Sans Serif" w:hAnsi="Microsoft Sans Serif" w:cs="Microsoft Sans Serif"/>
                <w:sz w:val="20"/>
                <w:szCs w:val="20"/>
                <w:lang w:val="de-AT" w:eastAsia="de-AT"/>
              </w:rPr>
              <w:t>private Mietwohnungen</w:t>
            </w:r>
          </w:p>
        </w:tc>
        <w:tc>
          <w:tcPr>
            <w:tcW w:w="1417" w:type="dxa"/>
            <w:shd w:val="clear" w:color="auto" w:fill="FFFFFF" w:themeFill="background1"/>
            <w:noWrap/>
            <w:vAlign w:val="bottom"/>
            <w:hideMark/>
          </w:tcPr>
          <w:p w:rsidR="005F5B63" w:rsidRPr="00953FD7" w:rsidRDefault="005F5B63" w:rsidP="00142A4B">
            <w:pPr>
              <w:spacing w:after="0" w:line="240" w:lineRule="auto"/>
              <w:ind w:right="354"/>
              <w:jc w:val="right"/>
              <w:rPr>
                <w:rFonts w:ascii="Microsoft Sans Serif" w:hAnsi="Microsoft Sans Serif" w:cs="Microsoft Sans Serif"/>
                <w:sz w:val="20"/>
                <w:szCs w:val="20"/>
                <w:lang w:val="de-AT" w:eastAsia="de-AT"/>
              </w:rPr>
            </w:pPr>
            <w:r w:rsidRPr="00953FD7">
              <w:rPr>
                <w:rFonts w:ascii="Microsoft Sans Serif" w:hAnsi="Microsoft Sans Serif" w:cs="Microsoft Sans Serif"/>
                <w:sz w:val="20"/>
                <w:szCs w:val="20"/>
                <w:lang w:val="de-AT" w:eastAsia="de-AT"/>
              </w:rPr>
              <w:t>91</w:t>
            </w:r>
          </w:p>
        </w:tc>
        <w:tc>
          <w:tcPr>
            <w:tcW w:w="1417" w:type="dxa"/>
            <w:shd w:val="clear" w:color="auto" w:fill="FFFFFF" w:themeFill="background1"/>
          </w:tcPr>
          <w:p w:rsidR="005F5B63" w:rsidRPr="00953FD7" w:rsidRDefault="005F5B63" w:rsidP="00142A4B">
            <w:pPr>
              <w:spacing w:after="0" w:line="240" w:lineRule="auto"/>
              <w:ind w:right="354"/>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30%</w:t>
            </w:r>
          </w:p>
        </w:tc>
      </w:tr>
      <w:tr w:rsidR="005F5B63" w:rsidRPr="00953FD7" w:rsidTr="00142A4B">
        <w:trPr>
          <w:trHeight w:val="255"/>
        </w:trPr>
        <w:tc>
          <w:tcPr>
            <w:tcW w:w="3402" w:type="dxa"/>
            <w:shd w:val="clear" w:color="auto" w:fill="FFFFFF" w:themeFill="background1"/>
            <w:vAlign w:val="bottom"/>
          </w:tcPr>
          <w:p w:rsidR="005F5B63" w:rsidRPr="00953FD7" w:rsidRDefault="005F5B63" w:rsidP="00142A4B">
            <w:pPr>
              <w:spacing w:after="0" w:line="240" w:lineRule="auto"/>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Nennungen gesamt</w:t>
            </w:r>
          </w:p>
        </w:tc>
        <w:tc>
          <w:tcPr>
            <w:tcW w:w="1417" w:type="dxa"/>
            <w:shd w:val="clear" w:color="auto" w:fill="FFFFFF" w:themeFill="background1"/>
            <w:noWrap/>
            <w:vAlign w:val="bottom"/>
          </w:tcPr>
          <w:p w:rsidR="005F5B63" w:rsidRPr="00953FD7" w:rsidRDefault="0019487A" w:rsidP="00142A4B">
            <w:pPr>
              <w:spacing w:after="0" w:line="240" w:lineRule="auto"/>
              <w:ind w:right="354"/>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fldChar w:fldCharType="begin"/>
            </w:r>
            <w:r w:rsidR="005F5B63">
              <w:rPr>
                <w:rFonts w:ascii="Microsoft Sans Serif" w:hAnsi="Microsoft Sans Serif" w:cs="Microsoft Sans Serif"/>
                <w:sz w:val="20"/>
                <w:szCs w:val="20"/>
                <w:lang w:val="de-AT" w:eastAsia="de-AT"/>
              </w:rPr>
              <w:instrText xml:space="preserve"> =SUM(ABOVE) </w:instrText>
            </w:r>
            <w:r>
              <w:rPr>
                <w:rFonts w:ascii="Microsoft Sans Serif" w:hAnsi="Microsoft Sans Serif" w:cs="Microsoft Sans Serif"/>
                <w:sz w:val="20"/>
                <w:szCs w:val="20"/>
                <w:lang w:val="de-AT" w:eastAsia="de-AT"/>
              </w:rPr>
              <w:fldChar w:fldCharType="separate"/>
            </w:r>
            <w:r w:rsidR="005F5B63">
              <w:rPr>
                <w:rFonts w:ascii="Microsoft Sans Serif" w:hAnsi="Microsoft Sans Serif" w:cs="Microsoft Sans Serif"/>
                <w:noProof/>
                <w:sz w:val="20"/>
                <w:szCs w:val="20"/>
                <w:lang w:val="de-AT" w:eastAsia="de-AT"/>
              </w:rPr>
              <w:t>419</w:t>
            </w:r>
            <w:r>
              <w:rPr>
                <w:rFonts w:ascii="Microsoft Sans Serif" w:hAnsi="Microsoft Sans Serif" w:cs="Microsoft Sans Serif"/>
                <w:sz w:val="20"/>
                <w:szCs w:val="20"/>
                <w:lang w:val="de-AT" w:eastAsia="de-AT"/>
              </w:rPr>
              <w:fldChar w:fldCharType="end"/>
            </w:r>
          </w:p>
        </w:tc>
        <w:tc>
          <w:tcPr>
            <w:tcW w:w="1417" w:type="dxa"/>
            <w:shd w:val="clear" w:color="auto" w:fill="FFFFFF" w:themeFill="background1"/>
          </w:tcPr>
          <w:p w:rsidR="005F5B63" w:rsidRPr="00953FD7" w:rsidRDefault="005F5B63" w:rsidP="00142A4B">
            <w:pPr>
              <w:spacing w:after="0" w:line="240" w:lineRule="auto"/>
              <w:ind w:right="354"/>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142%</w:t>
            </w:r>
          </w:p>
        </w:tc>
      </w:tr>
    </w:tbl>
    <w:p w:rsidR="005F5B63" w:rsidRDefault="005F5B63" w:rsidP="005F5B63"/>
    <w:p w:rsidR="005F5B63" w:rsidRPr="00197ADB" w:rsidRDefault="005F5B63" w:rsidP="00FF2B86">
      <w:pPr>
        <w:pStyle w:val="Untertitel"/>
        <w:rPr>
          <w:rStyle w:val="IntensiveHervorhebung"/>
          <w:b w:val="0"/>
        </w:rPr>
      </w:pPr>
      <w:r>
        <w:rPr>
          <w:rStyle w:val="IntensiveHervorhebung"/>
          <w:b w:val="0"/>
        </w:rPr>
        <w:t xml:space="preserve">Tab. 3: </w:t>
      </w:r>
      <w:r w:rsidRPr="00197ADB">
        <w:rPr>
          <w:rStyle w:val="IntensiveHervorhebung"/>
          <w:b w:val="0"/>
        </w:rPr>
        <w:t>Verteilung nach Aufgabenschwerpunkten, n=299 (Mehrfachangaben)</w:t>
      </w:r>
    </w:p>
    <w:tbl>
      <w:tblPr>
        <w:tblW w:w="7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678"/>
        <w:gridCol w:w="1134"/>
        <w:gridCol w:w="1418"/>
      </w:tblGrid>
      <w:tr w:rsidR="005F5B63" w:rsidRPr="000F7D6F" w:rsidTr="00142A4B">
        <w:trPr>
          <w:trHeight w:val="255"/>
        </w:trPr>
        <w:tc>
          <w:tcPr>
            <w:tcW w:w="4678" w:type="dxa"/>
            <w:shd w:val="clear" w:color="auto" w:fill="D6E3BC" w:themeFill="accent3" w:themeFillTint="66"/>
            <w:noWrap/>
            <w:vAlign w:val="center"/>
            <w:hideMark/>
          </w:tcPr>
          <w:p w:rsidR="005F5B63" w:rsidRPr="000F7D6F" w:rsidRDefault="005F5B63" w:rsidP="00142A4B">
            <w:pPr>
              <w:spacing w:after="0" w:line="240" w:lineRule="auto"/>
              <w:rPr>
                <w:rFonts w:ascii="Microsoft Sans Serif" w:hAnsi="Microsoft Sans Serif" w:cs="Microsoft Sans Serif"/>
                <w:sz w:val="20"/>
                <w:szCs w:val="20"/>
                <w:lang w:val="de-AT" w:eastAsia="de-AT"/>
              </w:rPr>
            </w:pPr>
          </w:p>
        </w:tc>
        <w:tc>
          <w:tcPr>
            <w:tcW w:w="1134" w:type="dxa"/>
            <w:shd w:val="clear" w:color="auto" w:fill="D6E3BC" w:themeFill="accent3" w:themeFillTint="66"/>
            <w:noWrap/>
            <w:vAlign w:val="center"/>
            <w:hideMark/>
          </w:tcPr>
          <w:p w:rsidR="005F5B63" w:rsidRPr="000F7D6F" w:rsidRDefault="005F5B63" w:rsidP="00142A4B">
            <w:pPr>
              <w:spacing w:after="0" w:line="240" w:lineRule="auto"/>
              <w:ind w:right="174"/>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absolut</w:t>
            </w:r>
          </w:p>
        </w:tc>
        <w:tc>
          <w:tcPr>
            <w:tcW w:w="1418" w:type="dxa"/>
            <w:shd w:val="clear" w:color="auto" w:fill="D6E3BC" w:themeFill="accent3" w:themeFillTint="66"/>
            <w:vAlign w:val="center"/>
          </w:tcPr>
          <w:p w:rsidR="005F5B63" w:rsidRDefault="005F5B63" w:rsidP="00142A4B">
            <w:pPr>
              <w:spacing w:after="0" w:line="240" w:lineRule="auto"/>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in % von 297</w:t>
            </w:r>
          </w:p>
        </w:tc>
      </w:tr>
      <w:tr w:rsidR="005F5B63" w:rsidRPr="000F7D6F" w:rsidTr="00142A4B">
        <w:trPr>
          <w:trHeight w:val="255"/>
        </w:trPr>
        <w:tc>
          <w:tcPr>
            <w:tcW w:w="4678" w:type="dxa"/>
            <w:shd w:val="clear" w:color="auto" w:fill="auto"/>
            <w:noWrap/>
            <w:vAlign w:val="bottom"/>
            <w:hideMark/>
          </w:tcPr>
          <w:p w:rsidR="005F5B63" w:rsidRPr="000F7D6F" w:rsidRDefault="005F5B63" w:rsidP="00142A4B">
            <w:pPr>
              <w:spacing w:after="0" w:line="240" w:lineRule="auto"/>
              <w:rPr>
                <w:rFonts w:ascii="Microsoft Sans Serif" w:hAnsi="Microsoft Sans Serif" w:cs="Microsoft Sans Serif"/>
                <w:sz w:val="20"/>
                <w:szCs w:val="20"/>
                <w:lang w:val="de-AT" w:eastAsia="de-AT"/>
              </w:rPr>
            </w:pPr>
            <w:r w:rsidRPr="000F7D6F">
              <w:rPr>
                <w:rFonts w:ascii="Microsoft Sans Serif" w:hAnsi="Microsoft Sans Serif" w:cs="Microsoft Sans Serif"/>
                <w:sz w:val="20"/>
                <w:szCs w:val="20"/>
                <w:lang w:val="de-AT" w:eastAsia="de-AT"/>
              </w:rPr>
              <w:t>Vergabe von Wohnungen</w:t>
            </w:r>
          </w:p>
        </w:tc>
        <w:tc>
          <w:tcPr>
            <w:tcW w:w="1134" w:type="dxa"/>
            <w:shd w:val="clear" w:color="auto" w:fill="auto"/>
            <w:noWrap/>
            <w:vAlign w:val="bottom"/>
            <w:hideMark/>
          </w:tcPr>
          <w:p w:rsidR="005F5B63" w:rsidRPr="000F7D6F" w:rsidRDefault="005F5B63" w:rsidP="00142A4B">
            <w:pPr>
              <w:spacing w:after="0" w:line="240" w:lineRule="auto"/>
              <w:ind w:right="174"/>
              <w:jc w:val="right"/>
              <w:rPr>
                <w:rFonts w:ascii="Microsoft Sans Serif" w:hAnsi="Microsoft Sans Serif" w:cs="Microsoft Sans Serif"/>
                <w:sz w:val="20"/>
                <w:szCs w:val="20"/>
                <w:lang w:val="de-AT" w:eastAsia="de-AT"/>
              </w:rPr>
            </w:pPr>
            <w:r w:rsidRPr="000F7D6F">
              <w:rPr>
                <w:rFonts w:ascii="Microsoft Sans Serif" w:hAnsi="Microsoft Sans Serif" w:cs="Microsoft Sans Serif"/>
                <w:sz w:val="20"/>
                <w:szCs w:val="20"/>
                <w:lang w:val="de-AT" w:eastAsia="de-AT"/>
              </w:rPr>
              <w:t>106</w:t>
            </w:r>
          </w:p>
        </w:tc>
        <w:tc>
          <w:tcPr>
            <w:tcW w:w="1418" w:type="dxa"/>
          </w:tcPr>
          <w:p w:rsidR="005F5B63" w:rsidRPr="000F7D6F" w:rsidRDefault="005F5B63" w:rsidP="00142A4B">
            <w:pPr>
              <w:spacing w:after="0" w:line="240" w:lineRule="auto"/>
              <w:ind w:right="174"/>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36%</w:t>
            </w:r>
          </w:p>
        </w:tc>
      </w:tr>
      <w:tr w:rsidR="005F5B63" w:rsidRPr="000F7D6F" w:rsidTr="00142A4B">
        <w:trPr>
          <w:trHeight w:val="255"/>
        </w:trPr>
        <w:tc>
          <w:tcPr>
            <w:tcW w:w="4678" w:type="dxa"/>
            <w:shd w:val="clear" w:color="auto" w:fill="auto"/>
            <w:noWrap/>
            <w:vAlign w:val="bottom"/>
            <w:hideMark/>
          </w:tcPr>
          <w:p w:rsidR="005F5B63" w:rsidRPr="000F7D6F" w:rsidRDefault="005F5B63" w:rsidP="00142A4B">
            <w:pPr>
              <w:spacing w:after="0" w:line="240" w:lineRule="auto"/>
              <w:rPr>
                <w:rFonts w:ascii="Microsoft Sans Serif" w:hAnsi="Microsoft Sans Serif" w:cs="Microsoft Sans Serif"/>
                <w:sz w:val="20"/>
                <w:szCs w:val="20"/>
                <w:lang w:val="de-AT" w:eastAsia="de-AT"/>
              </w:rPr>
            </w:pPr>
            <w:r w:rsidRPr="000F7D6F">
              <w:rPr>
                <w:rFonts w:ascii="Microsoft Sans Serif" w:hAnsi="Microsoft Sans Serif" w:cs="Microsoft Sans Serif"/>
                <w:sz w:val="20"/>
                <w:szCs w:val="20"/>
                <w:lang w:val="de-AT" w:eastAsia="de-AT"/>
              </w:rPr>
              <w:t>Verwaltung von Wohnungen</w:t>
            </w:r>
          </w:p>
        </w:tc>
        <w:tc>
          <w:tcPr>
            <w:tcW w:w="1134" w:type="dxa"/>
            <w:shd w:val="clear" w:color="auto" w:fill="auto"/>
            <w:noWrap/>
            <w:vAlign w:val="bottom"/>
            <w:hideMark/>
          </w:tcPr>
          <w:p w:rsidR="005F5B63" w:rsidRPr="000F7D6F" w:rsidRDefault="005F5B63" w:rsidP="00142A4B">
            <w:pPr>
              <w:spacing w:after="0" w:line="240" w:lineRule="auto"/>
              <w:ind w:right="174"/>
              <w:jc w:val="right"/>
              <w:rPr>
                <w:rFonts w:ascii="Microsoft Sans Serif" w:hAnsi="Microsoft Sans Serif" w:cs="Microsoft Sans Serif"/>
                <w:sz w:val="20"/>
                <w:szCs w:val="20"/>
                <w:lang w:val="de-AT" w:eastAsia="de-AT"/>
              </w:rPr>
            </w:pPr>
            <w:r w:rsidRPr="000F7D6F">
              <w:rPr>
                <w:rFonts w:ascii="Microsoft Sans Serif" w:hAnsi="Microsoft Sans Serif" w:cs="Microsoft Sans Serif"/>
                <w:sz w:val="20"/>
                <w:szCs w:val="20"/>
                <w:lang w:val="de-AT" w:eastAsia="de-AT"/>
              </w:rPr>
              <w:t>78</w:t>
            </w:r>
          </w:p>
        </w:tc>
        <w:tc>
          <w:tcPr>
            <w:tcW w:w="1418" w:type="dxa"/>
          </w:tcPr>
          <w:p w:rsidR="005F5B63" w:rsidRPr="000F7D6F" w:rsidRDefault="005F5B63" w:rsidP="00142A4B">
            <w:pPr>
              <w:spacing w:after="0" w:line="240" w:lineRule="auto"/>
              <w:ind w:right="174"/>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26%</w:t>
            </w:r>
          </w:p>
        </w:tc>
      </w:tr>
      <w:tr w:rsidR="005F5B63" w:rsidRPr="000F7D6F" w:rsidTr="00142A4B">
        <w:trPr>
          <w:trHeight w:val="255"/>
        </w:trPr>
        <w:tc>
          <w:tcPr>
            <w:tcW w:w="4678" w:type="dxa"/>
            <w:shd w:val="clear" w:color="auto" w:fill="auto"/>
            <w:noWrap/>
            <w:vAlign w:val="bottom"/>
            <w:hideMark/>
          </w:tcPr>
          <w:p w:rsidR="005F5B63" w:rsidRPr="000F7D6F" w:rsidRDefault="005F5B63" w:rsidP="00142A4B">
            <w:pPr>
              <w:spacing w:after="0" w:line="240" w:lineRule="auto"/>
              <w:rPr>
                <w:rFonts w:ascii="Microsoft Sans Serif" w:hAnsi="Microsoft Sans Serif" w:cs="Microsoft Sans Serif"/>
                <w:sz w:val="20"/>
                <w:szCs w:val="20"/>
                <w:lang w:val="de-AT" w:eastAsia="de-AT"/>
              </w:rPr>
            </w:pPr>
            <w:r w:rsidRPr="000F7D6F">
              <w:rPr>
                <w:rFonts w:ascii="Microsoft Sans Serif" w:hAnsi="Microsoft Sans Serif" w:cs="Microsoft Sans Serif"/>
                <w:sz w:val="20"/>
                <w:szCs w:val="20"/>
                <w:lang w:val="de-AT" w:eastAsia="de-AT"/>
              </w:rPr>
              <w:t>Beratung/Betreuung von Wohnungssuchenden</w:t>
            </w:r>
          </w:p>
        </w:tc>
        <w:tc>
          <w:tcPr>
            <w:tcW w:w="1134" w:type="dxa"/>
            <w:shd w:val="clear" w:color="auto" w:fill="auto"/>
            <w:noWrap/>
            <w:vAlign w:val="bottom"/>
            <w:hideMark/>
          </w:tcPr>
          <w:p w:rsidR="005F5B63" w:rsidRPr="000F7D6F" w:rsidRDefault="005F5B63" w:rsidP="00142A4B">
            <w:pPr>
              <w:spacing w:after="0" w:line="240" w:lineRule="auto"/>
              <w:ind w:right="174"/>
              <w:jc w:val="right"/>
              <w:rPr>
                <w:rFonts w:ascii="Microsoft Sans Serif" w:hAnsi="Microsoft Sans Serif" w:cs="Microsoft Sans Serif"/>
                <w:sz w:val="20"/>
                <w:szCs w:val="20"/>
                <w:lang w:val="de-AT" w:eastAsia="de-AT"/>
              </w:rPr>
            </w:pPr>
            <w:r w:rsidRPr="000F7D6F">
              <w:rPr>
                <w:rFonts w:ascii="Microsoft Sans Serif" w:hAnsi="Microsoft Sans Serif" w:cs="Microsoft Sans Serif"/>
                <w:sz w:val="20"/>
                <w:szCs w:val="20"/>
                <w:lang w:val="de-AT" w:eastAsia="de-AT"/>
              </w:rPr>
              <w:t>175</w:t>
            </w:r>
          </w:p>
        </w:tc>
        <w:tc>
          <w:tcPr>
            <w:tcW w:w="1418" w:type="dxa"/>
          </w:tcPr>
          <w:p w:rsidR="005F5B63" w:rsidRPr="000F7D6F" w:rsidRDefault="005F5B63" w:rsidP="00142A4B">
            <w:pPr>
              <w:spacing w:after="0" w:line="240" w:lineRule="auto"/>
              <w:ind w:right="174"/>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60%</w:t>
            </w:r>
          </w:p>
        </w:tc>
      </w:tr>
      <w:tr w:rsidR="005F5B63" w:rsidRPr="000F7D6F" w:rsidTr="00142A4B">
        <w:trPr>
          <w:trHeight w:val="255"/>
        </w:trPr>
        <w:tc>
          <w:tcPr>
            <w:tcW w:w="4678" w:type="dxa"/>
            <w:shd w:val="clear" w:color="auto" w:fill="auto"/>
            <w:noWrap/>
            <w:vAlign w:val="bottom"/>
            <w:hideMark/>
          </w:tcPr>
          <w:p w:rsidR="005F5B63" w:rsidRPr="000F7D6F" w:rsidRDefault="005F5B63" w:rsidP="00142A4B">
            <w:pPr>
              <w:spacing w:after="0" w:line="240" w:lineRule="auto"/>
              <w:rPr>
                <w:rFonts w:ascii="Microsoft Sans Serif" w:hAnsi="Microsoft Sans Serif" w:cs="Microsoft Sans Serif"/>
                <w:sz w:val="20"/>
                <w:szCs w:val="20"/>
                <w:lang w:val="de-AT" w:eastAsia="de-AT"/>
              </w:rPr>
            </w:pPr>
            <w:r w:rsidRPr="000F7D6F">
              <w:rPr>
                <w:rFonts w:ascii="Microsoft Sans Serif" w:hAnsi="Microsoft Sans Serif" w:cs="Microsoft Sans Serif"/>
                <w:sz w:val="20"/>
                <w:szCs w:val="20"/>
                <w:lang w:val="de-AT" w:eastAsia="de-AT"/>
              </w:rPr>
              <w:t>Beratung/Betreuung von MieterInnen</w:t>
            </w:r>
          </w:p>
        </w:tc>
        <w:tc>
          <w:tcPr>
            <w:tcW w:w="1134" w:type="dxa"/>
            <w:shd w:val="clear" w:color="auto" w:fill="auto"/>
            <w:noWrap/>
            <w:vAlign w:val="bottom"/>
            <w:hideMark/>
          </w:tcPr>
          <w:p w:rsidR="005F5B63" w:rsidRPr="000F7D6F" w:rsidRDefault="005F5B63" w:rsidP="00142A4B">
            <w:pPr>
              <w:spacing w:after="0" w:line="240" w:lineRule="auto"/>
              <w:ind w:right="174"/>
              <w:jc w:val="right"/>
              <w:rPr>
                <w:rFonts w:ascii="Microsoft Sans Serif" w:hAnsi="Microsoft Sans Serif" w:cs="Microsoft Sans Serif"/>
                <w:sz w:val="20"/>
                <w:szCs w:val="20"/>
                <w:lang w:val="de-AT" w:eastAsia="de-AT"/>
              </w:rPr>
            </w:pPr>
            <w:r w:rsidRPr="000F7D6F">
              <w:rPr>
                <w:rFonts w:ascii="Microsoft Sans Serif" w:hAnsi="Microsoft Sans Serif" w:cs="Microsoft Sans Serif"/>
                <w:sz w:val="20"/>
                <w:szCs w:val="20"/>
                <w:lang w:val="de-AT" w:eastAsia="de-AT"/>
              </w:rPr>
              <w:t>126</w:t>
            </w:r>
          </w:p>
        </w:tc>
        <w:tc>
          <w:tcPr>
            <w:tcW w:w="1418" w:type="dxa"/>
          </w:tcPr>
          <w:p w:rsidR="005F5B63" w:rsidRPr="000F7D6F" w:rsidRDefault="005F5B63" w:rsidP="00142A4B">
            <w:pPr>
              <w:spacing w:after="0" w:line="240" w:lineRule="auto"/>
              <w:ind w:right="174"/>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42%</w:t>
            </w:r>
          </w:p>
        </w:tc>
      </w:tr>
      <w:tr w:rsidR="005F5B63" w:rsidRPr="000F7D6F" w:rsidTr="00142A4B">
        <w:trPr>
          <w:trHeight w:val="255"/>
        </w:trPr>
        <w:tc>
          <w:tcPr>
            <w:tcW w:w="4678" w:type="dxa"/>
            <w:shd w:val="clear" w:color="auto" w:fill="auto"/>
            <w:noWrap/>
            <w:vAlign w:val="bottom"/>
            <w:hideMark/>
          </w:tcPr>
          <w:p w:rsidR="005F5B63" w:rsidRPr="000F7D6F" w:rsidRDefault="005F5B63" w:rsidP="00142A4B">
            <w:pPr>
              <w:spacing w:after="0" w:line="240" w:lineRule="auto"/>
              <w:rPr>
                <w:rFonts w:ascii="Microsoft Sans Serif" w:hAnsi="Microsoft Sans Serif" w:cs="Microsoft Sans Serif"/>
                <w:sz w:val="20"/>
                <w:szCs w:val="20"/>
                <w:lang w:val="de-AT" w:eastAsia="de-AT"/>
              </w:rPr>
            </w:pPr>
            <w:r w:rsidRPr="000F7D6F">
              <w:rPr>
                <w:rFonts w:ascii="Microsoft Sans Serif" w:hAnsi="Microsoft Sans Serif" w:cs="Microsoft Sans Serif"/>
                <w:sz w:val="20"/>
                <w:szCs w:val="20"/>
                <w:lang w:val="de-AT" w:eastAsia="de-AT"/>
              </w:rPr>
              <w:t>Wohnversorgung von MigrantInnen</w:t>
            </w:r>
          </w:p>
        </w:tc>
        <w:tc>
          <w:tcPr>
            <w:tcW w:w="1134" w:type="dxa"/>
            <w:shd w:val="clear" w:color="auto" w:fill="auto"/>
            <w:noWrap/>
            <w:vAlign w:val="bottom"/>
            <w:hideMark/>
          </w:tcPr>
          <w:p w:rsidR="005F5B63" w:rsidRPr="000F7D6F" w:rsidRDefault="005F5B63" w:rsidP="00142A4B">
            <w:pPr>
              <w:spacing w:after="0" w:line="240" w:lineRule="auto"/>
              <w:ind w:right="174"/>
              <w:jc w:val="right"/>
              <w:rPr>
                <w:rFonts w:ascii="Microsoft Sans Serif" w:hAnsi="Microsoft Sans Serif" w:cs="Microsoft Sans Serif"/>
                <w:sz w:val="20"/>
                <w:szCs w:val="20"/>
                <w:lang w:val="de-AT" w:eastAsia="de-AT"/>
              </w:rPr>
            </w:pPr>
            <w:r w:rsidRPr="000F7D6F">
              <w:rPr>
                <w:rFonts w:ascii="Microsoft Sans Serif" w:hAnsi="Microsoft Sans Serif" w:cs="Microsoft Sans Serif"/>
                <w:sz w:val="20"/>
                <w:szCs w:val="20"/>
                <w:lang w:val="de-AT" w:eastAsia="de-AT"/>
              </w:rPr>
              <w:t>85</w:t>
            </w:r>
          </w:p>
        </w:tc>
        <w:tc>
          <w:tcPr>
            <w:tcW w:w="1418" w:type="dxa"/>
          </w:tcPr>
          <w:p w:rsidR="005F5B63" w:rsidRPr="000F7D6F" w:rsidRDefault="005F5B63" w:rsidP="00142A4B">
            <w:pPr>
              <w:spacing w:after="0" w:line="240" w:lineRule="auto"/>
              <w:ind w:right="174"/>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29%</w:t>
            </w:r>
          </w:p>
        </w:tc>
      </w:tr>
      <w:tr w:rsidR="005F5B63" w:rsidRPr="000F7D6F" w:rsidTr="00142A4B">
        <w:trPr>
          <w:trHeight w:val="255"/>
        </w:trPr>
        <w:tc>
          <w:tcPr>
            <w:tcW w:w="4678" w:type="dxa"/>
            <w:shd w:val="clear" w:color="auto" w:fill="auto"/>
            <w:noWrap/>
            <w:vAlign w:val="bottom"/>
            <w:hideMark/>
          </w:tcPr>
          <w:p w:rsidR="005F5B63" w:rsidRPr="000F7D6F" w:rsidRDefault="005F5B63" w:rsidP="00142A4B">
            <w:pPr>
              <w:spacing w:after="0" w:line="240" w:lineRule="auto"/>
              <w:rPr>
                <w:rFonts w:ascii="Microsoft Sans Serif" w:hAnsi="Microsoft Sans Serif" w:cs="Microsoft Sans Serif"/>
                <w:sz w:val="20"/>
                <w:szCs w:val="20"/>
                <w:lang w:val="de-AT" w:eastAsia="de-AT"/>
              </w:rPr>
            </w:pPr>
            <w:r w:rsidRPr="000F7D6F">
              <w:rPr>
                <w:rFonts w:ascii="Microsoft Sans Serif" w:hAnsi="Microsoft Sans Serif" w:cs="Microsoft Sans Serif"/>
                <w:sz w:val="20"/>
                <w:szCs w:val="20"/>
                <w:lang w:val="de-AT" w:eastAsia="de-AT"/>
              </w:rPr>
              <w:t>Wohnversorgung von anerkannten Flüchtlingen</w:t>
            </w:r>
          </w:p>
        </w:tc>
        <w:tc>
          <w:tcPr>
            <w:tcW w:w="1134" w:type="dxa"/>
            <w:shd w:val="clear" w:color="auto" w:fill="auto"/>
            <w:noWrap/>
            <w:vAlign w:val="bottom"/>
            <w:hideMark/>
          </w:tcPr>
          <w:p w:rsidR="005F5B63" w:rsidRPr="000F7D6F" w:rsidRDefault="005F5B63" w:rsidP="00142A4B">
            <w:pPr>
              <w:spacing w:after="0" w:line="240" w:lineRule="auto"/>
              <w:ind w:right="174"/>
              <w:jc w:val="right"/>
              <w:rPr>
                <w:rFonts w:ascii="Microsoft Sans Serif" w:hAnsi="Microsoft Sans Serif" w:cs="Microsoft Sans Serif"/>
                <w:sz w:val="20"/>
                <w:szCs w:val="20"/>
                <w:lang w:val="de-AT" w:eastAsia="de-AT"/>
              </w:rPr>
            </w:pPr>
            <w:r w:rsidRPr="000F7D6F">
              <w:rPr>
                <w:rFonts w:ascii="Microsoft Sans Serif" w:hAnsi="Microsoft Sans Serif" w:cs="Microsoft Sans Serif"/>
                <w:sz w:val="20"/>
                <w:szCs w:val="20"/>
                <w:lang w:val="de-AT" w:eastAsia="de-AT"/>
              </w:rPr>
              <w:t>69</w:t>
            </w:r>
          </w:p>
        </w:tc>
        <w:tc>
          <w:tcPr>
            <w:tcW w:w="1418" w:type="dxa"/>
          </w:tcPr>
          <w:p w:rsidR="005F5B63" w:rsidRPr="000F7D6F" w:rsidRDefault="005F5B63" w:rsidP="00142A4B">
            <w:pPr>
              <w:spacing w:after="0" w:line="240" w:lineRule="auto"/>
              <w:ind w:right="174"/>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23%</w:t>
            </w:r>
          </w:p>
        </w:tc>
      </w:tr>
      <w:tr w:rsidR="005F5B63" w:rsidRPr="000F7D6F" w:rsidTr="00142A4B">
        <w:trPr>
          <w:trHeight w:val="255"/>
        </w:trPr>
        <w:tc>
          <w:tcPr>
            <w:tcW w:w="4678" w:type="dxa"/>
            <w:shd w:val="clear" w:color="auto" w:fill="auto"/>
            <w:noWrap/>
            <w:vAlign w:val="bottom"/>
            <w:hideMark/>
          </w:tcPr>
          <w:p w:rsidR="005F5B63" w:rsidRPr="000F7D6F" w:rsidRDefault="005F5B63" w:rsidP="00142A4B">
            <w:pPr>
              <w:spacing w:after="0" w:line="240" w:lineRule="auto"/>
              <w:rPr>
                <w:rFonts w:ascii="Microsoft Sans Serif" w:hAnsi="Microsoft Sans Serif" w:cs="Microsoft Sans Serif"/>
                <w:sz w:val="20"/>
                <w:szCs w:val="20"/>
                <w:lang w:val="de-AT" w:eastAsia="de-AT"/>
              </w:rPr>
            </w:pPr>
            <w:r w:rsidRPr="000F7D6F">
              <w:rPr>
                <w:rFonts w:ascii="Microsoft Sans Serif" w:hAnsi="Microsoft Sans Serif" w:cs="Microsoft Sans Serif"/>
                <w:sz w:val="20"/>
                <w:szCs w:val="20"/>
                <w:lang w:val="de-AT" w:eastAsia="de-AT"/>
              </w:rPr>
              <w:t>rechtliche Vertretung von MieterInnen</w:t>
            </w:r>
          </w:p>
        </w:tc>
        <w:tc>
          <w:tcPr>
            <w:tcW w:w="1134" w:type="dxa"/>
            <w:shd w:val="clear" w:color="auto" w:fill="auto"/>
            <w:noWrap/>
            <w:vAlign w:val="bottom"/>
            <w:hideMark/>
          </w:tcPr>
          <w:p w:rsidR="005F5B63" w:rsidRPr="000F7D6F" w:rsidRDefault="005F5B63" w:rsidP="00142A4B">
            <w:pPr>
              <w:spacing w:after="0" w:line="240" w:lineRule="auto"/>
              <w:ind w:right="174"/>
              <w:jc w:val="right"/>
              <w:rPr>
                <w:rFonts w:ascii="Microsoft Sans Serif" w:hAnsi="Microsoft Sans Serif" w:cs="Microsoft Sans Serif"/>
                <w:sz w:val="20"/>
                <w:szCs w:val="20"/>
                <w:lang w:val="de-AT" w:eastAsia="de-AT"/>
              </w:rPr>
            </w:pPr>
            <w:r w:rsidRPr="000F7D6F">
              <w:rPr>
                <w:rFonts w:ascii="Microsoft Sans Serif" w:hAnsi="Microsoft Sans Serif" w:cs="Microsoft Sans Serif"/>
                <w:sz w:val="20"/>
                <w:szCs w:val="20"/>
                <w:lang w:val="de-AT" w:eastAsia="de-AT"/>
              </w:rPr>
              <w:t>21</w:t>
            </w:r>
          </w:p>
        </w:tc>
        <w:tc>
          <w:tcPr>
            <w:tcW w:w="1418" w:type="dxa"/>
          </w:tcPr>
          <w:p w:rsidR="005F5B63" w:rsidRPr="000F7D6F" w:rsidRDefault="005F5B63" w:rsidP="00142A4B">
            <w:pPr>
              <w:spacing w:after="0" w:line="240" w:lineRule="auto"/>
              <w:ind w:right="174"/>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7%</w:t>
            </w:r>
          </w:p>
        </w:tc>
      </w:tr>
    </w:tbl>
    <w:p w:rsidR="005F5B63" w:rsidRDefault="005F5B63" w:rsidP="005F5B63"/>
    <w:p w:rsidR="005F5B63" w:rsidRPr="00CA390B" w:rsidRDefault="005F5B63" w:rsidP="00FF2B86">
      <w:pPr>
        <w:pStyle w:val="Untertitel"/>
        <w:rPr>
          <w:lang w:val="de-AT"/>
        </w:rPr>
      </w:pPr>
      <w:r>
        <w:rPr>
          <w:lang w:val="de-AT"/>
        </w:rPr>
        <w:t>Tab. 4: Wohnungsbestand in der Verfügung der Einrichtungen, n = 197</w:t>
      </w:r>
    </w:p>
    <w:tbl>
      <w:tblPr>
        <w:tblW w:w="52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776"/>
        <w:gridCol w:w="1456"/>
      </w:tblGrid>
      <w:tr w:rsidR="005F5B63" w:rsidRPr="005640D3" w:rsidTr="00142A4B">
        <w:trPr>
          <w:trHeight w:val="255"/>
        </w:trPr>
        <w:tc>
          <w:tcPr>
            <w:tcW w:w="3776" w:type="dxa"/>
            <w:shd w:val="clear" w:color="auto" w:fill="auto"/>
            <w:noWrap/>
            <w:vAlign w:val="bottom"/>
            <w:hideMark/>
          </w:tcPr>
          <w:p w:rsidR="005F5B63" w:rsidRPr="005640D3" w:rsidRDefault="005F5B63" w:rsidP="00142A4B">
            <w:pPr>
              <w:spacing w:after="0" w:line="240" w:lineRule="auto"/>
              <w:rPr>
                <w:rFonts w:ascii="Microsoft Sans Serif" w:hAnsi="Microsoft Sans Serif" w:cs="Microsoft Sans Serif"/>
                <w:sz w:val="20"/>
                <w:szCs w:val="20"/>
                <w:lang w:val="de-AT" w:eastAsia="de-AT"/>
              </w:rPr>
            </w:pPr>
            <w:r w:rsidRPr="005640D3">
              <w:rPr>
                <w:rFonts w:ascii="Microsoft Sans Serif" w:hAnsi="Microsoft Sans Serif" w:cs="Microsoft Sans Serif"/>
                <w:sz w:val="20"/>
                <w:szCs w:val="20"/>
                <w:lang w:val="de-AT" w:eastAsia="de-AT"/>
              </w:rPr>
              <w:t>keine</w:t>
            </w:r>
          </w:p>
        </w:tc>
        <w:tc>
          <w:tcPr>
            <w:tcW w:w="1456" w:type="dxa"/>
            <w:shd w:val="clear" w:color="auto" w:fill="auto"/>
            <w:noWrap/>
            <w:vAlign w:val="bottom"/>
            <w:hideMark/>
          </w:tcPr>
          <w:p w:rsidR="005F5B63" w:rsidRPr="005640D3" w:rsidRDefault="005F5B63" w:rsidP="00142A4B">
            <w:pPr>
              <w:spacing w:after="0" w:line="240" w:lineRule="auto"/>
              <w:ind w:right="200"/>
              <w:jc w:val="right"/>
              <w:rPr>
                <w:rFonts w:ascii="Microsoft Sans Serif" w:hAnsi="Microsoft Sans Serif" w:cs="Microsoft Sans Serif"/>
                <w:sz w:val="20"/>
                <w:szCs w:val="20"/>
                <w:lang w:val="de-AT" w:eastAsia="de-AT"/>
              </w:rPr>
            </w:pPr>
            <w:r w:rsidRPr="005640D3">
              <w:rPr>
                <w:rFonts w:ascii="Microsoft Sans Serif" w:hAnsi="Microsoft Sans Serif" w:cs="Microsoft Sans Serif"/>
                <w:sz w:val="20"/>
                <w:szCs w:val="20"/>
                <w:lang w:val="de-AT" w:eastAsia="de-AT"/>
              </w:rPr>
              <w:t>43</w:t>
            </w:r>
          </w:p>
        </w:tc>
      </w:tr>
      <w:tr w:rsidR="005F5B63" w:rsidRPr="005640D3" w:rsidTr="00142A4B">
        <w:trPr>
          <w:trHeight w:val="255"/>
        </w:trPr>
        <w:tc>
          <w:tcPr>
            <w:tcW w:w="3776" w:type="dxa"/>
            <w:shd w:val="clear" w:color="auto" w:fill="auto"/>
            <w:noWrap/>
            <w:vAlign w:val="bottom"/>
            <w:hideMark/>
          </w:tcPr>
          <w:p w:rsidR="005F5B63" w:rsidRPr="005640D3" w:rsidRDefault="005F5B63" w:rsidP="00142A4B">
            <w:pPr>
              <w:spacing w:after="0" w:line="240" w:lineRule="auto"/>
              <w:rPr>
                <w:rFonts w:ascii="Microsoft Sans Serif" w:hAnsi="Microsoft Sans Serif" w:cs="Microsoft Sans Serif"/>
                <w:sz w:val="20"/>
                <w:szCs w:val="20"/>
                <w:lang w:val="de-AT" w:eastAsia="de-AT"/>
              </w:rPr>
            </w:pPr>
            <w:r w:rsidRPr="005640D3">
              <w:rPr>
                <w:rFonts w:ascii="Microsoft Sans Serif" w:hAnsi="Microsoft Sans Serif" w:cs="Microsoft Sans Serif"/>
                <w:sz w:val="20"/>
                <w:szCs w:val="20"/>
                <w:lang w:val="de-AT" w:eastAsia="de-AT"/>
              </w:rPr>
              <w:t>weniger als 100</w:t>
            </w:r>
          </w:p>
        </w:tc>
        <w:tc>
          <w:tcPr>
            <w:tcW w:w="1456" w:type="dxa"/>
            <w:shd w:val="clear" w:color="auto" w:fill="auto"/>
            <w:noWrap/>
            <w:vAlign w:val="bottom"/>
            <w:hideMark/>
          </w:tcPr>
          <w:p w:rsidR="005F5B63" w:rsidRPr="005640D3" w:rsidRDefault="005F5B63" w:rsidP="00142A4B">
            <w:pPr>
              <w:spacing w:after="0" w:line="240" w:lineRule="auto"/>
              <w:ind w:right="200"/>
              <w:jc w:val="right"/>
              <w:rPr>
                <w:rFonts w:ascii="Microsoft Sans Serif" w:hAnsi="Microsoft Sans Serif" w:cs="Microsoft Sans Serif"/>
                <w:sz w:val="20"/>
                <w:szCs w:val="20"/>
                <w:lang w:val="de-AT" w:eastAsia="de-AT"/>
              </w:rPr>
            </w:pPr>
            <w:r w:rsidRPr="005640D3">
              <w:rPr>
                <w:rFonts w:ascii="Microsoft Sans Serif" w:hAnsi="Microsoft Sans Serif" w:cs="Microsoft Sans Serif"/>
                <w:sz w:val="20"/>
                <w:szCs w:val="20"/>
                <w:lang w:val="de-AT" w:eastAsia="de-AT"/>
              </w:rPr>
              <w:t>56</w:t>
            </w:r>
          </w:p>
        </w:tc>
      </w:tr>
      <w:tr w:rsidR="005F5B63" w:rsidRPr="005640D3" w:rsidTr="00142A4B">
        <w:trPr>
          <w:trHeight w:val="255"/>
        </w:trPr>
        <w:tc>
          <w:tcPr>
            <w:tcW w:w="3776" w:type="dxa"/>
            <w:shd w:val="clear" w:color="auto" w:fill="auto"/>
            <w:noWrap/>
            <w:vAlign w:val="bottom"/>
            <w:hideMark/>
          </w:tcPr>
          <w:p w:rsidR="005F5B63" w:rsidRPr="005640D3" w:rsidRDefault="005F5B63" w:rsidP="00142A4B">
            <w:pPr>
              <w:spacing w:after="0" w:line="240" w:lineRule="auto"/>
              <w:rPr>
                <w:rFonts w:ascii="Microsoft Sans Serif" w:hAnsi="Microsoft Sans Serif" w:cs="Microsoft Sans Serif"/>
                <w:sz w:val="20"/>
                <w:szCs w:val="20"/>
                <w:lang w:val="de-AT" w:eastAsia="de-AT"/>
              </w:rPr>
            </w:pPr>
            <w:r w:rsidRPr="005640D3">
              <w:rPr>
                <w:rFonts w:ascii="Microsoft Sans Serif" w:hAnsi="Microsoft Sans Serif" w:cs="Microsoft Sans Serif"/>
                <w:sz w:val="20"/>
                <w:szCs w:val="20"/>
                <w:lang w:val="de-AT" w:eastAsia="de-AT"/>
              </w:rPr>
              <w:t>zwischen 101 und 500</w:t>
            </w:r>
          </w:p>
        </w:tc>
        <w:tc>
          <w:tcPr>
            <w:tcW w:w="1456" w:type="dxa"/>
            <w:shd w:val="clear" w:color="auto" w:fill="auto"/>
            <w:noWrap/>
            <w:vAlign w:val="bottom"/>
            <w:hideMark/>
          </w:tcPr>
          <w:p w:rsidR="005F5B63" w:rsidRPr="005640D3" w:rsidRDefault="005F5B63" w:rsidP="00142A4B">
            <w:pPr>
              <w:spacing w:after="0" w:line="240" w:lineRule="auto"/>
              <w:ind w:right="200"/>
              <w:jc w:val="right"/>
              <w:rPr>
                <w:rFonts w:ascii="Microsoft Sans Serif" w:hAnsi="Microsoft Sans Serif" w:cs="Microsoft Sans Serif"/>
                <w:sz w:val="20"/>
                <w:szCs w:val="20"/>
                <w:lang w:val="de-AT" w:eastAsia="de-AT"/>
              </w:rPr>
            </w:pPr>
            <w:r w:rsidRPr="005640D3">
              <w:rPr>
                <w:rFonts w:ascii="Microsoft Sans Serif" w:hAnsi="Microsoft Sans Serif" w:cs="Microsoft Sans Serif"/>
                <w:sz w:val="20"/>
                <w:szCs w:val="20"/>
                <w:lang w:val="de-AT" w:eastAsia="de-AT"/>
              </w:rPr>
              <w:t>21</w:t>
            </w:r>
          </w:p>
        </w:tc>
      </w:tr>
      <w:tr w:rsidR="005F5B63" w:rsidRPr="005640D3" w:rsidTr="00142A4B">
        <w:trPr>
          <w:trHeight w:val="255"/>
        </w:trPr>
        <w:tc>
          <w:tcPr>
            <w:tcW w:w="3776" w:type="dxa"/>
            <w:shd w:val="clear" w:color="auto" w:fill="auto"/>
            <w:noWrap/>
            <w:vAlign w:val="bottom"/>
            <w:hideMark/>
          </w:tcPr>
          <w:p w:rsidR="005F5B63" w:rsidRPr="005640D3" w:rsidRDefault="005F5B63" w:rsidP="00142A4B">
            <w:pPr>
              <w:spacing w:after="0" w:line="240" w:lineRule="auto"/>
              <w:rPr>
                <w:rFonts w:ascii="Microsoft Sans Serif" w:hAnsi="Microsoft Sans Serif" w:cs="Microsoft Sans Serif"/>
                <w:sz w:val="20"/>
                <w:szCs w:val="20"/>
                <w:lang w:val="de-AT" w:eastAsia="de-AT"/>
              </w:rPr>
            </w:pPr>
            <w:r w:rsidRPr="005640D3">
              <w:rPr>
                <w:rFonts w:ascii="Microsoft Sans Serif" w:hAnsi="Microsoft Sans Serif" w:cs="Microsoft Sans Serif"/>
                <w:sz w:val="20"/>
                <w:szCs w:val="20"/>
                <w:lang w:val="de-AT" w:eastAsia="de-AT"/>
              </w:rPr>
              <w:t>zwischen 501 und 1000</w:t>
            </w:r>
          </w:p>
        </w:tc>
        <w:tc>
          <w:tcPr>
            <w:tcW w:w="1456" w:type="dxa"/>
            <w:shd w:val="clear" w:color="auto" w:fill="auto"/>
            <w:noWrap/>
            <w:vAlign w:val="bottom"/>
            <w:hideMark/>
          </w:tcPr>
          <w:p w:rsidR="005F5B63" w:rsidRPr="005640D3" w:rsidRDefault="005F5B63" w:rsidP="00142A4B">
            <w:pPr>
              <w:spacing w:after="0" w:line="240" w:lineRule="auto"/>
              <w:ind w:right="200"/>
              <w:jc w:val="right"/>
              <w:rPr>
                <w:rFonts w:ascii="Microsoft Sans Serif" w:hAnsi="Microsoft Sans Serif" w:cs="Microsoft Sans Serif"/>
                <w:sz w:val="20"/>
                <w:szCs w:val="20"/>
                <w:lang w:val="de-AT" w:eastAsia="de-AT"/>
              </w:rPr>
            </w:pPr>
            <w:r w:rsidRPr="005640D3">
              <w:rPr>
                <w:rFonts w:ascii="Microsoft Sans Serif" w:hAnsi="Microsoft Sans Serif" w:cs="Microsoft Sans Serif"/>
                <w:sz w:val="20"/>
                <w:szCs w:val="20"/>
                <w:lang w:val="de-AT" w:eastAsia="de-AT"/>
              </w:rPr>
              <w:t>11</w:t>
            </w:r>
          </w:p>
        </w:tc>
      </w:tr>
      <w:tr w:rsidR="005F5B63" w:rsidRPr="005640D3" w:rsidTr="00142A4B">
        <w:trPr>
          <w:trHeight w:val="255"/>
        </w:trPr>
        <w:tc>
          <w:tcPr>
            <w:tcW w:w="3776" w:type="dxa"/>
            <w:shd w:val="clear" w:color="auto" w:fill="auto"/>
            <w:noWrap/>
            <w:vAlign w:val="bottom"/>
            <w:hideMark/>
          </w:tcPr>
          <w:p w:rsidR="005F5B63" w:rsidRPr="005640D3" w:rsidRDefault="005F5B63" w:rsidP="00142A4B">
            <w:pPr>
              <w:spacing w:after="0" w:line="240" w:lineRule="auto"/>
              <w:rPr>
                <w:rFonts w:ascii="Microsoft Sans Serif" w:hAnsi="Microsoft Sans Serif" w:cs="Microsoft Sans Serif"/>
                <w:sz w:val="20"/>
                <w:szCs w:val="20"/>
                <w:lang w:val="de-AT" w:eastAsia="de-AT"/>
              </w:rPr>
            </w:pPr>
            <w:r w:rsidRPr="005640D3">
              <w:rPr>
                <w:rFonts w:ascii="Microsoft Sans Serif" w:hAnsi="Microsoft Sans Serif" w:cs="Microsoft Sans Serif"/>
                <w:sz w:val="20"/>
                <w:szCs w:val="20"/>
                <w:lang w:val="de-AT" w:eastAsia="de-AT"/>
              </w:rPr>
              <w:t>mehr als 1000</w:t>
            </w:r>
          </w:p>
        </w:tc>
        <w:tc>
          <w:tcPr>
            <w:tcW w:w="1456" w:type="dxa"/>
            <w:shd w:val="clear" w:color="auto" w:fill="auto"/>
            <w:noWrap/>
            <w:vAlign w:val="bottom"/>
            <w:hideMark/>
          </w:tcPr>
          <w:p w:rsidR="005F5B63" w:rsidRPr="005640D3" w:rsidRDefault="005F5B63" w:rsidP="00142A4B">
            <w:pPr>
              <w:spacing w:after="0" w:line="240" w:lineRule="auto"/>
              <w:ind w:right="200"/>
              <w:jc w:val="right"/>
              <w:rPr>
                <w:rFonts w:ascii="Microsoft Sans Serif" w:hAnsi="Microsoft Sans Serif" w:cs="Microsoft Sans Serif"/>
                <w:sz w:val="20"/>
                <w:szCs w:val="20"/>
                <w:lang w:val="de-AT" w:eastAsia="de-AT"/>
              </w:rPr>
            </w:pPr>
            <w:r w:rsidRPr="005640D3">
              <w:rPr>
                <w:rFonts w:ascii="Microsoft Sans Serif" w:hAnsi="Microsoft Sans Serif" w:cs="Microsoft Sans Serif"/>
                <w:sz w:val="20"/>
                <w:szCs w:val="20"/>
                <w:lang w:val="de-AT" w:eastAsia="de-AT"/>
              </w:rPr>
              <w:t>66</w:t>
            </w:r>
          </w:p>
        </w:tc>
      </w:tr>
    </w:tbl>
    <w:p w:rsidR="005F5B63" w:rsidRDefault="005F5B63" w:rsidP="005F5B63"/>
    <w:p w:rsidR="005F5B63" w:rsidRDefault="005F5B63" w:rsidP="00FF2B86">
      <w:pPr>
        <w:pStyle w:val="Untertitel"/>
      </w:pPr>
      <w:r>
        <w:t>Tab. 5: Anteil von Eigentumswohnungen im Bestand, n = 197</w:t>
      </w:r>
    </w:p>
    <w:tbl>
      <w:tblPr>
        <w:tblW w:w="6237" w:type="dxa"/>
        <w:tblInd w:w="70" w:type="dxa"/>
        <w:tblCellMar>
          <w:left w:w="70" w:type="dxa"/>
          <w:right w:w="70" w:type="dxa"/>
        </w:tblCellMar>
        <w:tblLook w:val="04A0"/>
      </w:tblPr>
      <w:tblGrid>
        <w:gridCol w:w="3261"/>
        <w:gridCol w:w="1842"/>
        <w:gridCol w:w="1134"/>
      </w:tblGrid>
      <w:tr w:rsidR="005F5B63" w:rsidRPr="005640D3" w:rsidTr="00142A4B">
        <w:trPr>
          <w:trHeight w:val="255"/>
        </w:trPr>
        <w:tc>
          <w:tcPr>
            <w:tcW w:w="3261" w:type="dxa"/>
            <w:tcBorders>
              <w:top w:val="nil"/>
              <w:left w:val="nil"/>
              <w:bottom w:val="nil"/>
              <w:right w:val="nil"/>
            </w:tcBorders>
            <w:shd w:val="clear" w:color="000000" w:fill="EEEEEE"/>
            <w:vAlign w:val="bottom"/>
            <w:hideMark/>
          </w:tcPr>
          <w:p w:rsidR="005F5B63" w:rsidRPr="005640D3" w:rsidRDefault="005F5B63" w:rsidP="00142A4B">
            <w:pPr>
              <w:spacing w:after="0" w:line="240" w:lineRule="auto"/>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keine</w:t>
            </w:r>
          </w:p>
        </w:tc>
        <w:tc>
          <w:tcPr>
            <w:tcW w:w="1842" w:type="dxa"/>
            <w:tcBorders>
              <w:top w:val="nil"/>
              <w:left w:val="nil"/>
              <w:bottom w:val="nil"/>
              <w:right w:val="nil"/>
            </w:tcBorders>
            <w:shd w:val="clear" w:color="000000" w:fill="DEE9F7"/>
            <w:noWrap/>
            <w:vAlign w:val="center"/>
            <w:hideMark/>
          </w:tcPr>
          <w:p w:rsidR="005F5B63" w:rsidRPr="005640D3" w:rsidRDefault="005F5B63" w:rsidP="00142A4B">
            <w:pPr>
              <w:spacing w:after="0" w:line="240" w:lineRule="auto"/>
              <w:ind w:right="280"/>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78,7%</w:t>
            </w:r>
          </w:p>
        </w:tc>
        <w:tc>
          <w:tcPr>
            <w:tcW w:w="1134" w:type="dxa"/>
            <w:tcBorders>
              <w:top w:val="nil"/>
              <w:left w:val="nil"/>
              <w:bottom w:val="nil"/>
              <w:right w:val="nil"/>
            </w:tcBorders>
            <w:shd w:val="clear" w:color="000000" w:fill="DEE9F7"/>
            <w:noWrap/>
            <w:vAlign w:val="center"/>
            <w:hideMark/>
          </w:tcPr>
          <w:p w:rsidR="005F5B63" w:rsidRPr="005640D3" w:rsidRDefault="005F5B63" w:rsidP="00142A4B">
            <w:pPr>
              <w:spacing w:after="0" w:line="240" w:lineRule="auto"/>
              <w:ind w:right="460"/>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155</w:t>
            </w:r>
          </w:p>
        </w:tc>
      </w:tr>
      <w:tr w:rsidR="005F5B63" w:rsidRPr="005640D3" w:rsidTr="00142A4B">
        <w:trPr>
          <w:trHeight w:val="255"/>
        </w:trPr>
        <w:tc>
          <w:tcPr>
            <w:tcW w:w="3261" w:type="dxa"/>
            <w:tcBorders>
              <w:top w:val="nil"/>
              <w:left w:val="nil"/>
              <w:bottom w:val="nil"/>
              <w:right w:val="nil"/>
            </w:tcBorders>
            <w:shd w:val="clear" w:color="000000" w:fill="EEEEEE"/>
            <w:vAlign w:val="bottom"/>
            <w:hideMark/>
          </w:tcPr>
          <w:p w:rsidR="005F5B63" w:rsidRPr="005640D3" w:rsidRDefault="005F5B63" w:rsidP="00142A4B">
            <w:pPr>
              <w:spacing w:after="0" w:line="240" w:lineRule="auto"/>
              <w:rPr>
                <w:rFonts w:ascii="Microsoft Sans Serif" w:hAnsi="Microsoft Sans Serif" w:cs="Microsoft Sans Serif"/>
                <w:sz w:val="20"/>
                <w:szCs w:val="20"/>
                <w:lang w:val="de-AT" w:eastAsia="de-AT"/>
              </w:rPr>
            </w:pPr>
            <w:r w:rsidRPr="005640D3">
              <w:rPr>
                <w:rFonts w:ascii="Microsoft Sans Serif" w:hAnsi="Microsoft Sans Serif" w:cs="Microsoft Sans Serif"/>
                <w:sz w:val="20"/>
                <w:szCs w:val="20"/>
                <w:lang w:val="de-AT" w:eastAsia="de-AT"/>
              </w:rPr>
              <w:t>bis 10%</w:t>
            </w:r>
          </w:p>
        </w:tc>
        <w:tc>
          <w:tcPr>
            <w:tcW w:w="1842" w:type="dxa"/>
            <w:tcBorders>
              <w:top w:val="nil"/>
              <w:left w:val="nil"/>
              <w:bottom w:val="nil"/>
              <w:right w:val="nil"/>
            </w:tcBorders>
            <w:shd w:val="clear" w:color="000000" w:fill="DEE9F7"/>
            <w:noWrap/>
            <w:vAlign w:val="center"/>
            <w:hideMark/>
          </w:tcPr>
          <w:p w:rsidR="005F5B63" w:rsidRPr="005640D3" w:rsidRDefault="005F5B63" w:rsidP="00142A4B">
            <w:pPr>
              <w:spacing w:after="0" w:line="240" w:lineRule="auto"/>
              <w:ind w:right="280"/>
              <w:jc w:val="right"/>
              <w:rPr>
                <w:rFonts w:ascii="Microsoft Sans Serif" w:hAnsi="Microsoft Sans Serif" w:cs="Microsoft Sans Serif"/>
                <w:sz w:val="20"/>
                <w:szCs w:val="20"/>
                <w:lang w:val="de-AT" w:eastAsia="de-AT"/>
              </w:rPr>
            </w:pPr>
            <w:r w:rsidRPr="005640D3">
              <w:rPr>
                <w:rFonts w:ascii="Microsoft Sans Serif" w:hAnsi="Microsoft Sans Serif" w:cs="Microsoft Sans Serif"/>
                <w:sz w:val="20"/>
                <w:szCs w:val="20"/>
                <w:lang w:val="de-AT" w:eastAsia="de-AT"/>
              </w:rPr>
              <w:t>14,2%</w:t>
            </w:r>
          </w:p>
        </w:tc>
        <w:tc>
          <w:tcPr>
            <w:tcW w:w="1134" w:type="dxa"/>
            <w:tcBorders>
              <w:top w:val="nil"/>
              <w:left w:val="nil"/>
              <w:bottom w:val="nil"/>
              <w:right w:val="nil"/>
            </w:tcBorders>
            <w:shd w:val="clear" w:color="000000" w:fill="DEE9F7"/>
            <w:noWrap/>
            <w:vAlign w:val="center"/>
            <w:hideMark/>
          </w:tcPr>
          <w:p w:rsidR="005F5B63" w:rsidRPr="005640D3" w:rsidRDefault="005F5B63" w:rsidP="00142A4B">
            <w:pPr>
              <w:spacing w:after="0" w:line="240" w:lineRule="auto"/>
              <w:ind w:right="460"/>
              <w:jc w:val="right"/>
              <w:rPr>
                <w:rFonts w:ascii="Microsoft Sans Serif" w:hAnsi="Microsoft Sans Serif" w:cs="Microsoft Sans Serif"/>
                <w:sz w:val="20"/>
                <w:szCs w:val="20"/>
                <w:lang w:val="de-AT" w:eastAsia="de-AT"/>
              </w:rPr>
            </w:pPr>
            <w:r w:rsidRPr="005640D3">
              <w:rPr>
                <w:rFonts w:ascii="Microsoft Sans Serif" w:hAnsi="Microsoft Sans Serif" w:cs="Microsoft Sans Serif"/>
                <w:sz w:val="20"/>
                <w:szCs w:val="20"/>
                <w:lang w:val="de-AT" w:eastAsia="de-AT"/>
              </w:rPr>
              <w:t>28</w:t>
            </w:r>
          </w:p>
        </w:tc>
      </w:tr>
      <w:tr w:rsidR="005F5B63" w:rsidRPr="005640D3" w:rsidTr="00142A4B">
        <w:trPr>
          <w:trHeight w:val="255"/>
        </w:trPr>
        <w:tc>
          <w:tcPr>
            <w:tcW w:w="3261" w:type="dxa"/>
            <w:tcBorders>
              <w:top w:val="nil"/>
              <w:left w:val="nil"/>
              <w:bottom w:val="nil"/>
              <w:right w:val="nil"/>
            </w:tcBorders>
            <w:shd w:val="clear" w:color="000000" w:fill="EEEEEE"/>
            <w:vAlign w:val="bottom"/>
            <w:hideMark/>
          </w:tcPr>
          <w:p w:rsidR="005F5B63" w:rsidRPr="005640D3" w:rsidRDefault="005F5B63" w:rsidP="00142A4B">
            <w:pPr>
              <w:spacing w:after="0" w:line="240" w:lineRule="auto"/>
              <w:rPr>
                <w:rFonts w:ascii="Microsoft Sans Serif" w:hAnsi="Microsoft Sans Serif" w:cs="Microsoft Sans Serif"/>
                <w:sz w:val="20"/>
                <w:szCs w:val="20"/>
                <w:lang w:val="de-AT" w:eastAsia="de-AT"/>
              </w:rPr>
            </w:pPr>
            <w:r w:rsidRPr="005640D3">
              <w:rPr>
                <w:rFonts w:ascii="Microsoft Sans Serif" w:hAnsi="Microsoft Sans Serif" w:cs="Microsoft Sans Serif"/>
                <w:sz w:val="20"/>
                <w:szCs w:val="20"/>
                <w:lang w:val="de-AT" w:eastAsia="de-AT"/>
              </w:rPr>
              <w:t>20%</w:t>
            </w:r>
          </w:p>
        </w:tc>
        <w:tc>
          <w:tcPr>
            <w:tcW w:w="1842" w:type="dxa"/>
            <w:tcBorders>
              <w:top w:val="nil"/>
              <w:left w:val="nil"/>
              <w:bottom w:val="nil"/>
              <w:right w:val="nil"/>
            </w:tcBorders>
            <w:shd w:val="clear" w:color="000000" w:fill="DEE9F7"/>
            <w:noWrap/>
            <w:vAlign w:val="center"/>
            <w:hideMark/>
          </w:tcPr>
          <w:p w:rsidR="005F5B63" w:rsidRPr="005640D3" w:rsidRDefault="005F5B63" w:rsidP="00142A4B">
            <w:pPr>
              <w:spacing w:after="0" w:line="240" w:lineRule="auto"/>
              <w:ind w:right="280"/>
              <w:jc w:val="right"/>
              <w:rPr>
                <w:rFonts w:ascii="Microsoft Sans Serif" w:hAnsi="Microsoft Sans Serif" w:cs="Microsoft Sans Serif"/>
                <w:sz w:val="20"/>
                <w:szCs w:val="20"/>
                <w:lang w:val="de-AT" w:eastAsia="de-AT"/>
              </w:rPr>
            </w:pPr>
            <w:r w:rsidRPr="005640D3">
              <w:rPr>
                <w:rFonts w:ascii="Microsoft Sans Serif" w:hAnsi="Microsoft Sans Serif" w:cs="Microsoft Sans Serif"/>
                <w:sz w:val="20"/>
                <w:szCs w:val="20"/>
                <w:lang w:val="de-AT" w:eastAsia="de-AT"/>
              </w:rPr>
              <w:t>5,6%</w:t>
            </w:r>
          </w:p>
        </w:tc>
        <w:tc>
          <w:tcPr>
            <w:tcW w:w="1134" w:type="dxa"/>
            <w:tcBorders>
              <w:top w:val="nil"/>
              <w:left w:val="nil"/>
              <w:bottom w:val="nil"/>
              <w:right w:val="nil"/>
            </w:tcBorders>
            <w:shd w:val="clear" w:color="000000" w:fill="DEE9F7"/>
            <w:noWrap/>
            <w:vAlign w:val="center"/>
            <w:hideMark/>
          </w:tcPr>
          <w:p w:rsidR="005F5B63" w:rsidRPr="005640D3" w:rsidRDefault="005F5B63" w:rsidP="00142A4B">
            <w:pPr>
              <w:spacing w:after="0" w:line="240" w:lineRule="auto"/>
              <w:ind w:right="460"/>
              <w:jc w:val="right"/>
              <w:rPr>
                <w:rFonts w:ascii="Microsoft Sans Serif" w:hAnsi="Microsoft Sans Serif" w:cs="Microsoft Sans Serif"/>
                <w:sz w:val="20"/>
                <w:szCs w:val="20"/>
                <w:lang w:val="de-AT" w:eastAsia="de-AT"/>
              </w:rPr>
            </w:pPr>
            <w:r w:rsidRPr="005640D3">
              <w:rPr>
                <w:rFonts w:ascii="Microsoft Sans Serif" w:hAnsi="Microsoft Sans Serif" w:cs="Microsoft Sans Serif"/>
                <w:sz w:val="20"/>
                <w:szCs w:val="20"/>
                <w:lang w:val="de-AT" w:eastAsia="de-AT"/>
              </w:rPr>
              <w:t>11</w:t>
            </w:r>
          </w:p>
        </w:tc>
      </w:tr>
      <w:tr w:rsidR="005F5B63" w:rsidRPr="005640D3" w:rsidTr="00142A4B">
        <w:trPr>
          <w:trHeight w:val="255"/>
        </w:trPr>
        <w:tc>
          <w:tcPr>
            <w:tcW w:w="3261" w:type="dxa"/>
            <w:tcBorders>
              <w:top w:val="nil"/>
              <w:left w:val="nil"/>
              <w:bottom w:val="nil"/>
              <w:right w:val="nil"/>
            </w:tcBorders>
            <w:shd w:val="clear" w:color="000000" w:fill="EEEEEE"/>
            <w:vAlign w:val="bottom"/>
            <w:hideMark/>
          </w:tcPr>
          <w:p w:rsidR="005F5B63" w:rsidRPr="005640D3" w:rsidRDefault="005F5B63" w:rsidP="00142A4B">
            <w:pPr>
              <w:spacing w:after="0" w:line="240" w:lineRule="auto"/>
              <w:rPr>
                <w:rFonts w:ascii="Microsoft Sans Serif" w:hAnsi="Microsoft Sans Serif" w:cs="Microsoft Sans Serif"/>
                <w:sz w:val="20"/>
                <w:szCs w:val="20"/>
                <w:lang w:val="de-AT" w:eastAsia="de-AT"/>
              </w:rPr>
            </w:pPr>
            <w:r w:rsidRPr="005640D3">
              <w:rPr>
                <w:rFonts w:ascii="Microsoft Sans Serif" w:hAnsi="Microsoft Sans Serif" w:cs="Microsoft Sans Serif"/>
                <w:sz w:val="20"/>
                <w:szCs w:val="20"/>
                <w:lang w:val="de-AT" w:eastAsia="de-AT"/>
              </w:rPr>
              <w:t>30%</w:t>
            </w:r>
          </w:p>
        </w:tc>
        <w:tc>
          <w:tcPr>
            <w:tcW w:w="1842" w:type="dxa"/>
            <w:tcBorders>
              <w:top w:val="nil"/>
              <w:left w:val="nil"/>
              <w:bottom w:val="nil"/>
              <w:right w:val="nil"/>
            </w:tcBorders>
            <w:shd w:val="clear" w:color="000000" w:fill="DEE9F7"/>
            <w:noWrap/>
            <w:vAlign w:val="center"/>
            <w:hideMark/>
          </w:tcPr>
          <w:p w:rsidR="005F5B63" w:rsidRPr="005640D3" w:rsidRDefault="005F5B63" w:rsidP="00142A4B">
            <w:pPr>
              <w:spacing w:after="0" w:line="240" w:lineRule="auto"/>
              <w:ind w:right="280"/>
              <w:jc w:val="right"/>
              <w:rPr>
                <w:rFonts w:ascii="Microsoft Sans Serif" w:hAnsi="Microsoft Sans Serif" w:cs="Microsoft Sans Serif"/>
                <w:sz w:val="20"/>
                <w:szCs w:val="20"/>
                <w:lang w:val="de-AT" w:eastAsia="de-AT"/>
              </w:rPr>
            </w:pPr>
            <w:r w:rsidRPr="005640D3">
              <w:rPr>
                <w:rFonts w:ascii="Microsoft Sans Serif" w:hAnsi="Microsoft Sans Serif" w:cs="Microsoft Sans Serif"/>
                <w:sz w:val="20"/>
                <w:szCs w:val="20"/>
                <w:lang w:val="de-AT" w:eastAsia="de-AT"/>
              </w:rPr>
              <w:t>1,5%</w:t>
            </w:r>
          </w:p>
        </w:tc>
        <w:tc>
          <w:tcPr>
            <w:tcW w:w="1134" w:type="dxa"/>
            <w:tcBorders>
              <w:top w:val="nil"/>
              <w:left w:val="nil"/>
              <w:bottom w:val="nil"/>
              <w:right w:val="nil"/>
            </w:tcBorders>
            <w:shd w:val="clear" w:color="000000" w:fill="DEE9F7"/>
            <w:noWrap/>
            <w:vAlign w:val="center"/>
            <w:hideMark/>
          </w:tcPr>
          <w:p w:rsidR="005F5B63" w:rsidRPr="005640D3" w:rsidRDefault="005F5B63" w:rsidP="00142A4B">
            <w:pPr>
              <w:spacing w:after="0" w:line="240" w:lineRule="auto"/>
              <w:ind w:right="460"/>
              <w:jc w:val="right"/>
              <w:rPr>
                <w:rFonts w:ascii="Microsoft Sans Serif" w:hAnsi="Microsoft Sans Serif" w:cs="Microsoft Sans Serif"/>
                <w:sz w:val="20"/>
                <w:szCs w:val="20"/>
                <w:lang w:val="de-AT" w:eastAsia="de-AT"/>
              </w:rPr>
            </w:pPr>
            <w:r w:rsidRPr="005640D3">
              <w:rPr>
                <w:rFonts w:ascii="Microsoft Sans Serif" w:hAnsi="Microsoft Sans Serif" w:cs="Microsoft Sans Serif"/>
                <w:sz w:val="20"/>
                <w:szCs w:val="20"/>
                <w:lang w:val="de-AT" w:eastAsia="de-AT"/>
              </w:rPr>
              <w:t>3</w:t>
            </w:r>
          </w:p>
        </w:tc>
      </w:tr>
    </w:tbl>
    <w:p w:rsidR="005F5B63" w:rsidRDefault="005F5B63" w:rsidP="005F5B63"/>
    <w:p w:rsidR="005F5B63" w:rsidRDefault="005F5B63" w:rsidP="005F5B63">
      <w:pPr>
        <w:spacing w:after="200" w:line="276" w:lineRule="auto"/>
      </w:pPr>
      <w:r>
        <w:br w:type="page"/>
      </w:r>
    </w:p>
    <w:p w:rsidR="005F5B63" w:rsidRPr="006502C8" w:rsidRDefault="00FF2B86" w:rsidP="00FF2B86">
      <w:pPr>
        <w:pStyle w:val="Untertitel"/>
        <w:rPr>
          <w:lang w:val="de-AT"/>
        </w:rPr>
      </w:pPr>
      <w:r>
        <w:rPr>
          <w:lang w:val="de-AT"/>
        </w:rPr>
        <w:lastRenderedPageBreak/>
        <w:t>Tab. 6:</w:t>
      </w:r>
      <w:r w:rsidR="005F5B63">
        <w:rPr>
          <w:lang w:val="de-AT"/>
        </w:rPr>
        <w:t xml:space="preserve"> Verteilung der MieterInnen nach fremdenrechtlichem Status, n=198</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119"/>
        <w:gridCol w:w="1003"/>
        <w:gridCol w:w="1004"/>
        <w:gridCol w:w="1004"/>
        <w:gridCol w:w="1004"/>
        <w:gridCol w:w="1004"/>
        <w:gridCol w:w="1004"/>
      </w:tblGrid>
      <w:tr w:rsidR="005F5B63" w:rsidRPr="00EC7429" w:rsidTr="00142A4B">
        <w:trPr>
          <w:trHeight w:val="255"/>
        </w:trPr>
        <w:tc>
          <w:tcPr>
            <w:tcW w:w="3119" w:type="dxa"/>
            <w:shd w:val="clear" w:color="000000" w:fill="DEE9F7"/>
          </w:tcPr>
          <w:p w:rsidR="005F5B63" w:rsidRPr="00EC7429" w:rsidRDefault="005F5B63" w:rsidP="00142A4B">
            <w:pPr>
              <w:spacing w:after="0" w:line="240" w:lineRule="auto"/>
              <w:rPr>
                <w:rFonts w:ascii="Microsoft Sans Serif" w:hAnsi="Microsoft Sans Serif" w:cs="Microsoft Sans Serif"/>
                <w:b/>
                <w:bCs/>
                <w:color w:val="000000"/>
                <w:sz w:val="20"/>
                <w:szCs w:val="20"/>
                <w:lang w:val="de-AT" w:eastAsia="de-AT"/>
              </w:rPr>
            </w:pPr>
          </w:p>
        </w:tc>
        <w:tc>
          <w:tcPr>
            <w:tcW w:w="1003" w:type="dxa"/>
            <w:shd w:val="clear" w:color="000000" w:fill="DEE9F7"/>
            <w:vAlign w:val="center"/>
            <w:hideMark/>
          </w:tcPr>
          <w:p w:rsidR="005F5B63" w:rsidRPr="00EC7429" w:rsidRDefault="005F5B63" w:rsidP="00142A4B">
            <w:pPr>
              <w:spacing w:after="0" w:line="240" w:lineRule="auto"/>
              <w:rPr>
                <w:rFonts w:ascii="Microsoft Sans Serif" w:hAnsi="Microsoft Sans Serif" w:cs="Microsoft Sans Serif"/>
                <w:b/>
                <w:bCs/>
                <w:color w:val="000000"/>
                <w:sz w:val="18"/>
                <w:szCs w:val="20"/>
                <w:lang w:val="de-AT" w:eastAsia="de-AT"/>
              </w:rPr>
            </w:pPr>
            <w:r w:rsidRPr="00EC7429">
              <w:rPr>
                <w:rFonts w:ascii="Microsoft Sans Serif" w:hAnsi="Microsoft Sans Serif" w:cs="Microsoft Sans Serif"/>
                <w:b/>
                <w:bCs/>
                <w:color w:val="000000"/>
                <w:sz w:val="18"/>
                <w:szCs w:val="20"/>
                <w:lang w:val="de-AT" w:eastAsia="de-AT"/>
              </w:rPr>
              <w:t>keine</w:t>
            </w:r>
          </w:p>
        </w:tc>
        <w:tc>
          <w:tcPr>
            <w:tcW w:w="1004" w:type="dxa"/>
            <w:shd w:val="clear" w:color="000000" w:fill="DEE9F7"/>
            <w:vAlign w:val="center"/>
            <w:hideMark/>
          </w:tcPr>
          <w:p w:rsidR="005F5B63" w:rsidRPr="00EC7429" w:rsidRDefault="005F5B63" w:rsidP="00142A4B">
            <w:pPr>
              <w:spacing w:after="0" w:line="240" w:lineRule="auto"/>
              <w:rPr>
                <w:rFonts w:ascii="Microsoft Sans Serif" w:hAnsi="Microsoft Sans Serif" w:cs="Microsoft Sans Serif"/>
                <w:b/>
                <w:bCs/>
                <w:color w:val="000000"/>
                <w:sz w:val="18"/>
                <w:szCs w:val="20"/>
                <w:lang w:val="de-AT" w:eastAsia="de-AT"/>
              </w:rPr>
            </w:pPr>
            <w:r w:rsidRPr="00EC7429">
              <w:rPr>
                <w:rFonts w:ascii="Microsoft Sans Serif" w:hAnsi="Microsoft Sans Serif" w:cs="Microsoft Sans Serif"/>
                <w:b/>
                <w:bCs/>
                <w:color w:val="000000"/>
                <w:sz w:val="18"/>
                <w:szCs w:val="20"/>
                <w:lang w:val="de-AT" w:eastAsia="de-AT"/>
              </w:rPr>
              <w:t>0 - 20%</w:t>
            </w:r>
          </w:p>
        </w:tc>
        <w:tc>
          <w:tcPr>
            <w:tcW w:w="1004" w:type="dxa"/>
            <w:shd w:val="clear" w:color="000000" w:fill="DEE9F7"/>
            <w:vAlign w:val="center"/>
            <w:hideMark/>
          </w:tcPr>
          <w:p w:rsidR="005F5B63" w:rsidRPr="00EC7429" w:rsidRDefault="005F5B63" w:rsidP="00142A4B">
            <w:pPr>
              <w:spacing w:after="0" w:line="240" w:lineRule="auto"/>
              <w:rPr>
                <w:rFonts w:ascii="Microsoft Sans Serif" w:hAnsi="Microsoft Sans Serif" w:cs="Microsoft Sans Serif"/>
                <w:b/>
                <w:bCs/>
                <w:color w:val="000000"/>
                <w:sz w:val="18"/>
                <w:szCs w:val="20"/>
                <w:lang w:val="de-AT" w:eastAsia="de-AT"/>
              </w:rPr>
            </w:pPr>
            <w:r w:rsidRPr="00EC7429">
              <w:rPr>
                <w:rFonts w:ascii="Microsoft Sans Serif" w:hAnsi="Microsoft Sans Serif" w:cs="Microsoft Sans Serif"/>
                <w:b/>
                <w:bCs/>
                <w:color w:val="000000"/>
                <w:sz w:val="18"/>
                <w:szCs w:val="20"/>
                <w:lang w:val="de-AT" w:eastAsia="de-AT"/>
              </w:rPr>
              <w:t>20 - 40%</w:t>
            </w:r>
          </w:p>
        </w:tc>
        <w:tc>
          <w:tcPr>
            <w:tcW w:w="1004" w:type="dxa"/>
            <w:shd w:val="clear" w:color="000000" w:fill="DEE9F7"/>
            <w:vAlign w:val="center"/>
            <w:hideMark/>
          </w:tcPr>
          <w:p w:rsidR="005F5B63" w:rsidRPr="00EC7429" w:rsidRDefault="005F5B63" w:rsidP="00142A4B">
            <w:pPr>
              <w:spacing w:after="0" w:line="240" w:lineRule="auto"/>
              <w:rPr>
                <w:rFonts w:ascii="Microsoft Sans Serif" w:hAnsi="Microsoft Sans Serif" w:cs="Microsoft Sans Serif"/>
                <w:b/>
                <w:bCs/>
                <w:color w:val="000000"/>
                <w:sz w:val="18"/>
                <w:szCs w:val="20"/>
                <w:lang w:val="de-AT" w:eastAsia="de-AT"/>
              </w:rPr>
            </w:pPr>
            <w:r w:rsidRPr="00EC7429">
              <w:rPr>
                <w:rFonts w:ascii="Microsoft Sans Serif" w:hAnsi="Microsoft Sans Serif" w:cs="Microsoft Sans Serif"/>
                <w:b/>
                <w:bCs/>
                <w:color w:val="000000"/>
                <w:sz w:val="18"/>
                <w:szCs w:val="20"/>
                <w:lang w:val="de-AT" w:eastAsia="de-AT"/>
              </w:rPr>
              <w:t>40 - 60%</w:t>
            </w:r>
          </w:p>
        </w:tc>
        <w:tc>
          <w:tcPr>
            <w:tcW w:w="1004" w:type="dxa"/>
            <w:shd w:val="clear" w:color="000000" w:fill="DEE9F7"/>
            <w:vAlign w:val="center"/>
            <w:hideMark/>
          </w:tcPr>
          <w:p w:rsidR="005F5B63" w:rsidRPr="00EC7429" w:rsidRDefault="005F5B63" w:rsidP="00142A4B">
            <w:pPr>
              <w:spacing w:after="0" w:line="240" w:lineRule="auto"/>
              <w:rPr>
                <w:rFonts w:ascii="Microsoft Sans Serif" w:hAnsi="Microsoft Sans Serif" w:cs="Microsoft Sans Serif"/>
                <w:b/>
                <w:bCs/>
                <w:color w:val="000000"/>
                <w:sz w:val="18"/>
                <w:szCs w:val="20"/>
                <w:lang w:val="de-AT" w:eastAsia="de-AT"/>
              </w:rPr>
            </w:pPr>
            <w:r w:rsidRPr="00EC7429">
              <w:rPr>
                <w:rFonts w:ascii="Microsoft Sans Serif" w:hAnsi="Microsoft Sans Serif" w:cs="Microsoft Sans Serif"/>
                <w:b/>
                <w:bCs/>
                <w:color w:val="000000"/>
                <w:sz w:val="18"/>
                <w:szCs w:val="20"/>
                <w:lang w:val="de-AT" w:eastAsia="de-AT"/>
              </w:rPr>
              <w:t>60 - 80%</w:t>
            </w:r>
          </w:p>
        </w:tc>
        <w:tc>
          <w:tcPr>
            <w:tcW w:w="1004" w:type="dxa"/>
            <w:shd w:val="clear" w:color="000000" w:fill="DEE9F7"/>
            <w:vAlign w:val="center"/>
            <w:hideMark/>
          </w:tcPr>
          <w:p w:rsidR="005F5B63" w:rsidRPr="00EC7429" w:rsidRDefault="005F5B63" w:rsidP="00142A4B">
            <w:pPr>
              <w:spacing w:after="0" w:line="240" w:lineRule="auto"/>
              <w:rPr>
                <w:rFonts w:ascii="Microsoft Sans Serif" w:hAnsi="Microsoft Sans Serif" w:cs="Microsoft Sans Serif"/>
                <w:b/>
                <w:bCs/>
                <w:color w:val="000000"/>
                <w:sz w:val="18"/>
                <w:szCs w:val="20"/>
                <w:lang w:val="de-AT" w:eastAsia="de-AT"/>
              </w:rPr>
            </w:pPr>
            <w:r w:rsidRPr="00EC7429">
              <w:rPr>
                <w:rFonts w:ascii="Microsoft Sans Serif" w:hAnsi="Microsoft Sans Serif" w:cs="Microsoft Sans Serif"/>
                <w:b/>
                <w:bCs/>
                <w:color w:val="000000"/>
                <w:sz w:val="18"/>
                <w:szCs w:val="20"/>
                <w:lang w:val="de-AT" w:eastAsia="de-AT"/>
              </w:rPr>
              <w:t>80 - 100%</w:t>
            </w:r>
          </w:p>
        </w:tc>
      </w:tr>
      <w:tr w:rsidR="005F5B63" w:rsidRPr="00EC7429" w:rsidTr="00142A4B">
        <w:trPr>
          <w:trHeight w:val="255"/>
        </w:trPr>
        <w:tc>
          <w:tcPr>
            <w:tcW w:w="3119" w:type="dxa"/>
            <w:shd w:val="clear" w:color="000000" w:fill="EEEEEE"/>
          </w:tcPr>
          <w:p w:rsidR="005F5B63" w:rsidRPr="00EC7429" w:rsidRDefault="005F5B63" w:rsidP="00142A4B">
            <w:pPr>
              <w:spacing w:after="0" w:line="240" w:lineRule="auto"/>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ÖsterreicherInnen</w:t>
            </w:r>
          </w:p>
        </w:tc>
        <w:tc>
          <w:tcPr>
            <w:tcW w:w="1003" w:type="dxa"/>
            <w:shd w:val="clear" w:color="000000" w:fill="EEEEEE"/>
            <w:noWrap/>
            <w:vAlign w:val="center"/>
            <w:hideMark/>
          </w:tcPr>
          <w:p w:rsidR="005F5B63" w:rsidRPr="00EC7429" w:rsidRDefault="005F5B63" w:rsidP="00142A4B">
            <w:pPr>
              <w:spacing w:after="0" w:line="240" w:lineRule="auto"/>
              <w:ind w:right="284"/>
              <w:jc w:val="right"/>
              <w:rPr>
                <w:rFonts w:ascii="Microsoft Sans Serif" w:hAnsi="Microsoft Sans Serif" w:cs="Microsoft Sans Serif"/>
                <w:sz w:val="18"/>
                <w:szCs w:val="20"/>
                <w:lang w:val="de-AT" w:eastAsia="de-AT"/>
              </w:rPr>
            </w:pPr>
            <w:r w:rsidRPr="00EC7429">
              <w:rPr>
                <w:rFonts w:ascii="Microsoft Sans Serif" w:hAnsi="Microsoft Sans Serif" w:cs="Microsoft Sans Serif"/>
                <w:sz w:val="18"/>
                <w:szCs w:val="20"/>
                <w:lang w:val="de-AT" w:eastAsia="de-AT"/>
              </w:rPr>
              <w:t>35</w:t>
            </w:r>
          </w:p>
        </w:tc>
        <w:tc>
          <w:tcPr>
            <w:tcW w:w="1004" w:type="dxa"/>
            <w:shd w:val="clear" w:color="000000" w:fill="EEEEEE"/>
            <w:noWrap/>
            <w:vAlign w:val="center"/>
            <w:hideMark/>
          </w:tcPr>
          <w:p w:rsidR="005F5B63" w:rsidRPr="00EC7429" w:rsidRDefault="005F5B63" w:rsidP="00142A4B">
            <w:pPr>
              <w:spacing w:after="0" w:line="240" w:lineRule="auto"/>
              <w:ind w:right="284"/>
              <w:jc w:val="right"/>
              <w:rPr>
                <w:rFonts w:ascii="Microsoft Sans Serif" w:hAnsi="Microsoft Sans Serif" w:cs="Microsoft Sans Serif"/>
                <w:sz w:val="18"/>
                <w:szCs w:val="20"/>
                <w:lang w:val="de-AT" w:eastAsia="de-AT"/>
              </w:rPr>
            </w:pPr>
            <w:r w:rsidRPr="00EC7429">
              <w:rPr>
                <w:rFonts w:ascii="Microsoft Sans Serif" w:hAnsi="Microsoft Sans Serif" w:cs="Microsoft Sans Serif"/>
                <w:sz w:val="18"/>
                <w:szCs w:val="20"/>
                <w:lang w:val="de-AT" w:eastAsia="de-AT"/>
              </w:rPr>
              <w:t>8</w:t>
            </w:r>
          </w:p>
        </w:tc>
        <w:tc>
          <w:tcPr>
            <w:tcW w:w="1004" w:type="dxa"/>
            <w:shd w:val="clear" w:color="000000" w:fill="EEEEEE"/>
            <w:noWrap/>
            <w:vAlign w:val="center"/>
            <w:hideMark/>
          </w:tcPr>
          <w:p w:rsidR="005F5B63" w:rsidRPr="00EC7429" w:rsidRDefault="005F5B63" w:rsidP="00142A4B">
            <w:pPr>
              <w:spacing w:after="0" w:line="240" w:lineRule="auto"/>
              <w:ind w:right="284"/>
              <w:jc w:val="right"/>
              <w:rPr>
                <w:rFonts w:ascii="Microsoft Sans Serif" w:hAnsi="Microsoft Sans Serif" w:cs="Microsoft Sans Serif"/>
                <w:sz w:val="18"/>
                <w:szCs w:val="20"/>
                <w:lang w:val="de-AT" w:eastAsia="de-AT"/>
              </w:rPr>
            </w:pPr>
            <w:r w:rsidRPr="00EC7429">
              <w:rPr>
                <w:rFonts w:ascii="Microsoft Sans Serif" w:hAnsi="Microsoft Sans Serif" w:cs="Microsoft Sans Serif"/>
                <w:sz w:val="18"/>
                <w:szCs w:val="20"/>
                <w:lang w:val="de-AT" w:eastAsia="de-AT"/>
              </w:rPr>
              <w:t>6</w:t>
            </w:r>
          </w:p>
        </w:tc>
        <w:tc>
          <w:tcPr>
            <w:tcW w:w="1004" w:type="dxa"/>
            <w:shd w:val="clear" w:color="000000" w:fill="EEEEEE"/>
            <w:noWrap/>
            <w:vAlign w:val="center"/>
            <w:hideMark/>
          </w:tcPr>
          <w:p w:rsidR="005F5B63" w:rsidRPr="00EC7429" w:rsidRDefault="005F5B63" w:rsidP="00142A4B">
            <w:pPr>
              <w:spacing w:after="0" w:line="240" w:lineRule="auto"/>
              <w:ind w:right="284"/>
              <w:jc w:val="right"/>
              <w:rPr>
                <w:rFonts w:ascii="Microsoft Sans Serif" w:hAnsi="Microsoft Sans Serif" w:cs="Microsoft Sans Serif"/>
                <w:sz w:val="18"/>
                <w:szCs w:val="20"/>
                <w:lang w:val="de-AT" w:eastAsia="de-AT"/>
              </w:rPr>
            </w:pPr>
            <w:r w:rsidRPr="00EC7429">
              <w:rPr>
                <w:rFonts w:ascii="Microsoft Sans Serif" w:hAnsi="Microsoft Sans Serif" w:cs="Microsoft Sans Serif"/>
                <w:sz w:val="18"/>
                <w:szCs w:val="20"/>
                <w:lang w:val="de-AT" w:eastAsia="de-AT"/>
              </w:rPr>
              <w:t>39</w:t>
            </w:r>
          </w:p>
        </w:tc>
        <w:tc>
          <w:tcPr>
            <w:tcW w:w="1004" w:type="dxa"/>
            <w:shd w:val="clear" w:color="000000" w:fill="EEEEEE"/>
            <w:noWrap/>
            <w:vAlign w:val="center"/>
            <w:hideMark/>
          </w:tcPr>
          <w:p w:rsidR="005F5B63" w:rsidRPr="00EC7429" w:rsidRDefault="005F5B63" w:rsidP="00142A4B">
            <w:pPr>
              <w:spacing w:after="0" w:line="240" w:lineRule="auto"/>
              <w:ind w:right="284"/>
              <w:jc w:val="right"/>
              <w:rPr>
                <w:rFonts w:ascii="Microsoft Sans Serif" w:hAnsi="Microsoft Sans Serif" w:cs="Microsoft Sans Serif"/>
                <w:sz w:val="18"/>
                <w:szCs w:val="20"/>
                <w:lang w:val="de-AT" w:eastAsia="de-AT"/>
              </w:rPr>
            </w:pPr>
            <w:r w:rsidRPr="00EC7429">
              <w:rPr>
                <w:rFonts w:ascii="Microsoft Sans Serif" w:hAnsi="Microsoft Sans Serif" w:cs="Microsoft Sans Serif"/>
                <w:sz w:val="18"/>
                <w:szCs w:val="20"/>
                <w:lang w:val="de-AT" w:eastAsia="de-AT"/>
              </w:rPr>
              <w:t>67</w:t>
            </w:r>
          </w:p>
        </w:tc>
        <w:tc>
          <w:tcPr>
            <w:tcW w:w="1004" w:type="dxa"/>
            <w:shd w:val="clear" w:color="000000" w:fill="EEEEEE"/>
            <w:noWrap/>
            <w:vAlign w:val="center"/>
            <w:hideMark/>
          </w:tcPr>
          <w:p w:rsidR="005F5B63" w:rsidRPr="00EC7429" w:rsidRDefault="005F5B63" w:rsidP="00142A4B">
            <w:pPr>
              <w:spacing w:after="0" w:line="240" w:lineRule="auto"/>
              <w:ind w:right="284"/>
              <w:jc w:val="right"/>
              <w:rPr>
                <w:rFonts w:ascii="Microsoft Sans Serif" w:hAnsi="Microsoft Sans Serif" w:cs="Microsoft Sans Serif"/>
                <w:sz w:val="18"/>
                <w:szCs w:val="20"/>
                <w:lang w:val="de-AT" w:eastAsia="de-AT"/>
              </w:rPr>
            </w:pPr>
            <w:r w:rsidRPr="00EC7429">
              <w:rPr>
                <w:rFonts w:ascii="Microsoft Sans Serif" w:hAnsi="Microsoft Sans Serif" w:cs="Microsoft Sans Serif"/>
                <w:sz w:val="18"/>
                <w:szCs w:val="20"/>
                <w:lang w:val="de-AT" w:eastAsia="de-AT"/>
              </w:rPr>
              <w:t>42</w:t>
            </w:r>
          </w:p>
        </w:tc>
      </w:tr>
      <w:tr w:rsidR="005F5B63" w:rsidRPr="00EC7429" w:rsidTr="00142A4B">
        <w:trPr>
          <w:trHeight w:val="255"/>
        </w:trPr>
        <w:tc>
          <w:tcPr>
            <w:tcW w:w="3119" w:type="dxa"/>
            <w:shd w:val="clear" w:color="000000" w:fill="EEEEEE"/>
          </w:tcPr>
          <w:p w:rsidR="005F5B63" w:rsidRPr="00EC7429" w:rsidRDefault="005F5B63" w:rsidP="00142A4B">
            <w:pPr>
              <w:spacing w:after="0" w:line="240" w:lineRule="auto"/>
              <w:rPr>
                <w:rFonts w:ascii="Microsoft Sans Serif" w:hAnsi="Microsoft Sans Serif" w:cs="Microsoft Sans Serif"/>
                <w:sz w:val="20"/>
                <w:szCs w:val="20"/>
                <w:lang w:val="de-AT" w:eastAsia="de-AT"/>
              </w:rPr>
            </w:pPr>
            <w:r w:rsidRPr="00EC7429">
              <w:rPr>
                <w:rFonts w:ascii="Microsoft Sans Serif" w:hAnsi="Microsoft Sans Serif" w:cs="Microsoft Sans Serif"/>
                <w:sz w:val="20"/>
                <w:szCs w:val="20"/>
                <w:lang w:val="de-AT" w:eastAsia="de-AT"/>
              </w:rPr>
              <w:t>andere EU-StaatsbürgerInnen</w:t>
            </w:r>
          </w:p>
        </w:tc>
        <w:tc>
          <w:tcPr>
            <w:tcW w:w="1003" w:type="dxa"/>
            <w:shd w:val="clear" w:color="000000" w:fill="EEEEEE"/>
            <w:noWrap/>
            <w:vAlign w:val="center"/>
            <w:hideMark/>
          </w:tcPr>
          <w:p w:rsidR="005F5B63" w:rsidRPr="00EC7429" w:rsidRDefault="005F5B63" w:rsidP="00142A4B">
            <w:pPr>
              <w:spacing w:after="0" w:line="240" w:lineRule="auto"/>
              <w:ind w:right="284"/>
              <w:jc w:val="right"/>
              <w:rPr>
                <w:rFonts w:ascii="Microsoft Sans Serif" w:hAnsi="Microsoft Sans Serif" w:cs="Microsoft Sans Serif"/>
                <w:sz w:val="18"/>
                <w:szCs w:val="20"/>
                <w:lang w:val="de-AT" w:eastAsia="de-AT"/>
              </w:rPr>
            </w:pPr>
            <w:r w:rsidRPr="00EC7429">
              <w:rPr>
                <w:rFonts w:ascii="Microsoft Sans Serif" w:hAnsi="Microsoft Sans Serif" w:cs="Microsoft Sans Serif"/>
                <w:sz w:val="18"/>
                <w:szCs w:val="20"/>
                <w:lang w:val="de-AT" w:eastAsia="de-AT"/>
              </w:rPr>
              <w:t>46</w:t>
            </w:r>
          </w:p>
        </w:tc>
        <w:tc>
          <w:tcPr>
            <w:tcW w:w="1004" w:type="dxa"/>
            <w:shd w:val="clear" w:color="000000" w:fill="EEEEEE"/>
            <w:noWrap/>
            <w:vAlign w:val="center"/>
            <w:hideMark/>
          </w:tcPr>
          <w:p w:rsidR="005F5B63" w:rsidRPr="00EC7429" w:rsidRDefault="005F5B63" w:rsidP="00142A4B">
            <w:pPr>
              <w:spacing w:after="0" w:line="240" w:lineRule="auto"/>
              <w:ind w:right="284"/>
              <w:jc w:val="right"/>
              <w:rPr>
                <w:rFonts w:ascii="Microsoft Sans Serif" w:hAnsi="Microsoft Sans Serif" w:cs="Microsoft Sans Serif"/>
                <w:sz w:val="18"/>
                <w:szCs w:val="20"/>
                <w:lang w:val="de-AT" w:eastAsia="de-AT"/>
              </w:rPr>
            </w:pPr>
            <w:r w:rsidRPr="00EC7429">
              <w:rPr>
                <w:rFonts w:ascii="Microsoft Sans Serif" w:hAnsi="Microsoft Sans Serif" w:cs="Microsoft Sans Serif"/>
                <w:sz w:val="18"/>
                <w:szCs w:val="20"/>
                <w:lang w:val="de-AT" w:eastAsia="de-AT"/>
              </w:rPr>
              <w:t>114</w:t>
            </w:r>
          </w:p>
        </w:tc>
        <w:tc>
          <w:tcPr>
            <w:tcW w:w="1004" w:type="dxa"/>
            <w:shd w:val="clear" w:color="000000" w:fill="EEEEEE"/>
            <w:noWrap/>
            <w:vAlign w:val="center"/>
            <w:hideMark/>
          </w:tcPr>
          <w:p w:rsidR="005F5B63" w:rsidRPr="00EC7429" w:rsidRDefault="005F5B63" w:rsidP="00142A4B">
            <w:pPr>
              <w:spacing w:after="0" w:line="240" w:lineRule="auto"/>
              <w:ind w:right="284"/>
              <w:jc w:val="right"/>
              <w:rPr>
                <w:rFonts w:ascii="Microsoft Sans Serif" w:hAnsi="Microsoft Sans Serif" w:cs="Microsoft Sans Serif"/>
                <w:sz w:val="18"/>
                <w:szCs w:val="20"/>
                <w:lang w:val="de-AT" w:eastAsia="de-AT"/>
              </w:rPr>
            </w:pPr>
            <w:r w:rsidRPr="00EC7429">
              <w:rPr>
                <w:rFonts w:ascii="Microsoft Sans Serif" w:hAnsi="Microsoft Sans Serif" w:cs="Microsoft Sans Serif"/>
                <w:sz w:val="18"/>
                <w:szCs w:val="20"/>
                <w:lang w:val="de-AT" w:eastAsia="de-AT"/>
              </w:rPr>
              <w:t>31</w:t>
            </w:r>
          </w:p>
        </w:tc>
        <w:tc>
          <w:tcPr>
            <w:tcW w:w="1004" w:type="dxa"/>
            <w:shd w:val="clear" w:color="000000" w:fill="EEEEEE"/>
            <w:noWrap/>
            <w:vAlign w:val="center"/>
            <w:hideMark/>
          </w:tcPr>
          <w:p w:rsidR="005F5B63" w:rsidRPr="00EC7429" w:rsidRDefault="005F5B63" w:rsidP="00142A4B">
            <w:pPr>
              <w:spacing w:after="0" w:line="240" w:lineRule="auto"/>
              <w:ind w:right="284"/>
              <w:jc w:val="right"/>
              <w:rPr>
                <w:rFonts w:ascii="Microsoft Sans Serif" w:hAnsi="Microsoft Sans Serif" w:cs="Microsoft Sans Serif"/>
                <w:sz w:val="18"/>
                <w:szCs w:val="20"/>
                <w:lang w:val="de-AT" w:eastAsia="de-AT"/>
              </w:rPr>
            </w:pPr>
            <w:r w:rsidRPr="00EC7429">
              <w:rPr>
                <w:rFonts w:ascii="Microsoft Sans Serif" w:hAnsi="Microsoft Sans Serif" w:cs="Microsoft Sans Serif"/>
                <w:sz w:val="18"/>
                <w:szCs w:val="20"/>
                <w:lang w:val="de-AT" w:eastAsia="de-AT"/>
              </w:rPr>
              <w:t>4</w:t>
            </w:r>
          </w:p>
        </w:tc>
        <w:tc>
          <w:tcPr>
            <w:tcW w:w="1004" w:type="dxa"/>
            <w:shd w:val="clear" w:color="000000" w:fill="EEEEEE"/>
            <w:noWrap/>
            <w:vAlign w:val="center"/>
            <w:hideMark/>
          </w:tcPr>
          <w:p w:rsidR="005F5B63" w:rsidRPr="00EC7429" w:rsidRDefault="005F5B63" w:rsidP="00142A4B">
            <w:pPr>
              <w:spacing w:after="0" w:line="240" w:lineRule="auto"/>
              <w:ind w:right="284"/>
              <w:jc w:val="right"/>
              <w:rPr>
                <w:rFonts w:ascii="Microsoft Sans Serif" w:hAnsi="Microsoft Sans Serif" w:cs="Microsoft Sans Serif"/>
                <w:sz w:val="18"/>
                <w:szCs w:val="20"/>
                <w:lang w:val="de-AT" w:eastAsia="de-AT"/>
              </w:rPr>
            </w:pPr>
            <w:r w:rsidRPr="00EC7429">
              <w:rPr>
                <w:rFonts w:ascii="Microsoft Sans Serif" w:hAnsi="Microsoft Sans Serif" w:cs="Microsoft Sans Serif"/>
                <w:sz w:val="18"/>
                <w:szCs w:val="20"/>
                <w:lang w:val="de-AT" w:eastAsia="de-AT"/>
              </w:rPr>
              <w:t>0</w:t>
            </w:r>
          </w:p>
        </w:tc>
        <w:tc>
          <w:tcPr>
            <w:tcW w:w="1004" w:type="dxa"/>
            <w:shd w:val="clear" w:color="000000" w:fill="EEEEEE"/>
            <w:noWrap/>
            <w:vAlign w:val="center"/>
            <w:hideMark/>
          </w:tcPr>
          <w:p w:rsidR="005F5B63" w:rsidRPr="00EC7429" w:rsidRDefault="005F5B63" w:rsidP="00142A4B">
            <w:pPr>
              <w:spacing w:after="0" w:line="240" w:lineRule="auto"/>
              <w:ind w:right="284"/>
              <w:jc w:val="right"/>
              <w:rPr>
                <w:rFonts w:ascii="Microsoft Sans Serif" w:hAnsi="Microsoft Sans Serif" w:cs="Microsoft Sans Serif"/>
                <w:sz w:val="18"/>
                <w:szCs w:val="20"/>
                <w:lang w:val="de-AT" w:eastAsia="de-AT"/>
              </w:rPr>
            </w:pPr>
            <w:r w:rsidRPr="00EC7429">
              <w:rPr>
                <w:rFonts w:ascii="Microsoft Sans Serif" w:hAnsi="Microsoft Sans Serif" w:cs="Microsoft Sans Serif"/>
                <w:sz w:val="18"/>
                <w:szCs w:val="20"/>
                <w:lang w:val="de-AT" w:eastAsia="de-AT"/>
              </w:rPr>
              <w:t>2</w:t>
            </w:r>
          </w:p>
        </w:tc>
      </w:tr>
      <w:tr w:rsidR="005F5B63" w:rsidRPr="00EC7429" w:rsidTr="00142A4B">
        <w:trPr>
          <w:trHeight w:val="255"/>
        </w:trPr>
        <w:tc>
          <w:tcPr>
            <w:tcW w:w="3119" w:type="dxa"/>
            <w:shd w:val="clear" w:color="000000" w:fill="EEEEEE"/>
          </w:tcPr>
          <w:p w:rsidR="005F5B63" w:rsidRPr="00EC7429" w:rsidRDefault="005F5B63" w:rsidP="00142A4B">
            <w:pPr>
              <w:spacing w:after="0" w:line="240" w:lineRule="auto"/>
              <w:rPr>
                <w:rFonts w:ascii="Microsoft Sans Serif" w:hAnsi="Microsoft Sans Serif" w:cs="Microsoft Sans Serif"/>
                <w:sz w:val="20"/>
                <w:szCs w:val="20"/>
                <w:lang w:val="de-AT" w:eastAsia="de-AT"/>
              </w:rPr>
            </w:pPr>
            <w:r w:rsidRPr="00EC7429">
              <w:rPr>
                <w:rFonts w:ascii="Microsoft Sans Serif" w:hAnsi="Microsoft Sans Serif" w:cs="Microsoft Sans Serif"/>
                <w:sz w:val="20"/>
                <w:szCs w:val="20"/>
                <w:lang w:val="de-AT" w:eastAsia="de-AT"/>
              </w:rPr>
              <w:t>Drittstaatsangehörige</w:t>
            </w:r>
          </w:p>
        </w:tc>
        <w:tc>
          <w:tcPr>
            <w:tcW w:w="1003" w:type="dxa"/>
            <w:shd w:val="clear" w:color="000000" w:fill="EEEEEE"/>
            <w:noWrap/>
            <w:vAlign w:val="center"/>
            <w:hideMark/>
          </w:tcPr>
          <w:p w:rsidR="005F5B63" w:rsidRPr="00EC7429" w:rsidRDefault="005F5B63" w:rsidP="00142A4B">
            <w:pPr>
              <w:spacing w:after="0" w:line="240" w:lineRule="auto"/>
              <w:ind w:right="284"/>
              <w:jc w:val="right"/>
              <w:rPr>
                <w:rFonts w:ascii="Microsoft Sans Serif" w:hAnsi="Microsoft Sans Serif" w:cs="Microsoft Sans Serif"/>
                <w:sz w:val="18"/>
                <w:szCs w:val="20"/>
                <w:lang w:val="de-AT" w:eastAsia="de-AT"/>
              </w:rPr>
            </w:pPr>
            <w:r w:rsidRPr="00EC7429">
              <w:rPr>
                <w:rFonts w:ascii="Microsoft Sans Serif" w:hAnsi="Microsoft Sans Serif" w:cs="Microsoft Sans Serif"/>
                <w:sz w:val="18"/>
                <w:szCs w:val="20"/>
                <w:lang w:val="de-AT" w:eastAsia="de-AT"/>
              </w:rPr>
              <w:t>60</w:t>
            </w:r>
          </w:p>
        </w:tc>
        <w:tc>
          <w:tcPr>
            <w:tcW w:w="1004" w:type="dxa"/>
            <w:shd w:val="clear" w:color="000000" w:fill="EEEEEE"/>
            <w:noWrap/>
            <w:vAlign w:val="center"/>
            <w:hideMark/>
          </w:tcPr>
          <w:p w:rsidR="005F5B63" w:rsidRPr="00EC7429" w:rsidRDefault="005F5B63" w:rsidP="00142A4B">
            <w:pPr>
              <w:spacing w:after="0" w:line="240" w:lineRule="auto"/>
              <w:ind w:right="284"/>
              <w:jc w:val="right"/>
              <w:rPr>
                <w:rFonts w:ascii="Microsoft Sans Serif" w:hAnsi="Microsoft Sans Serif" w:cs="Microsoft Sans Serif"/>
                <w:sz w:val="18"/>
                <w:szCs w:val="20"/>
                <w:lang w:val="de-AT" w:eastAsia="de-AT"/>
              </w:rPr>
            </w:pPr>
            <w:r w:rsidRPr="00EC7429">
              <w:rPr>
                <w:rFonts w:ascii="Microsoft Sans Serif" w:hAnsi="Microsoft Sans Serif" w:cs="Microsoft Sans Serif"/>
                <w:sz w:val="18"/>
                <w:szCs w:val="20"/>
                <w:lang w:val="de-AT" w:eastAsia="de-AT"/>
              </w:rPr>
              <w:t>102</w:t>
            </w:r>
          </w:p>
        </w:tc>
        <w:tc>
          <w:tcPr>
            <w:tcW w:w="1004" w:type="dxa"/>
            <w:shd w:val="clear" w:color="000000" w:fill="EEEEEE"/>
            <w:noWrap/>
            <w:vAlign w:val="center"/>
            <w:hideMark/>
          </w:tcPr>
          <w:p w:rsidR="005F5B63" w:rsidRPr="00EC7429" w:rsidRDefault="005F5B63" w:rsidP="00142A4B">
            <w:pPr>
              <w:spacing w:after="0" w:line="240" w:lineRule="auto"/>
              <w:ind w:right="284"/>
              <w:jc w:val="right"/>
              <w:rPr>
                <w:rFonts w:ascii="Microsoft Sans Serif" w:hAnsi="Microsoft Sans Serif" w:cs="Microsoft Sans Serif"/>
                <w:sz w:val="18"/>
                <w:szCs w:val="20"/>
                <w:lang w:val="de-AT" w:eastAsia="de-AT"/>
              </w:rPr>
            </w:pPr>
            <w:r w:rsidRPr="00EC7429">
              <w:rPr>
                <w:rFonts w:ascii="Microsoft Sans Serif" w:hAnsi="Microsoft Sans Serif" w:cs="Microsoft Sans Serif"/>
                <w:sz w:val="18"/>
                <w:szCs w:val="20"/>
                <w:lang w:val="de-AT" w:eastAsia="de-AT"/>
              </w:rPr>
              <w:t>21</w:t>
            </w:r>
          </w:p>
        </w:tc>
        <w:tc>
          <w:tcPr>
            <w:tcW w:w="1004" w:type="dxa"/>
            <w:shd w:val="clear" w:color="000000" w:fill="EEEEEE"/>
            <w:noWrap/>
            <w:vAlign w:val="center"/>
            <w:hideMark/>
          </w:tcPr>
          <w:p w:rsidR="005F5B63" w:rsidRPr="00EC7429" w:rsidRDefault="005F5B63" w:rsidP="00142A4B">
            <w:pPr>
              <w:spacing w:after="0" w:line="240" w:lineRule="auto"/>
              <w:ind w:right="284"/>
              <w:jc w:val="right"/>
              <w:rPr>
                <w:rFonts w:ascii="Microsoft Sans Serif" w:hAnsi="Microsoft Sans Serif" w:cs="Microsoft Sans Serif"/>
                <w:sz w:val="18"/>
                <w:szCs w:val="20"/>
                <w:lang w:val="de-AT" w:eastAsia="de-AT"/>
              </w:rPr>
            </w:pPr>
            <w:r w:rsidRPr="00EC7429">
              <w:rPr>
                <w:rFonts w:ascii="Microsoft Sans Serif" w:hAnsi="Microsoft Sans Serif" w:cs="Microsoft Sans Serif"/>
                <w:sz w:val="18"/>
                <w:szCs w:val="20"/>
                <w:lang w:val="de-AT" w:eastAsia="de-AT"/>
              </w:rPr>
              <w:t>8</w:t>
            </w:r>
          </w:p>
        </w:tc>
        <w:tc>
          <w:tcPr>
            <w:tcW w:w="1004" w:type="dxa"/>
            <w:shd w:val="clear" w:color="000000" w:fill="EEEEEE"/>
            <w:noWrap/>
            <w:vAlign w:val="center"/>
            <w:hideMark/>
          </w:tcPr>
          <w:p w:rsidR="005F5B63" w:rsidRPr="00EC7429" w:rsidRDefault="005F5B63" w:rsidP="00142A4B">
            <w:pPr>
              <w:spacing w:after="0" w:line="240" w:lineRule="auto"/>
              <w:ind w:right="284"/>
              <w:jc w:val="right"/>
              <w:rPr>
                <w:rFonts w:ascii="Microsoft Sans Serif" w:hAnsi="Microsoft Sans Serif" w:cs="Microsoft Sans Serif"/>
                <w:sz w:val="18"/>
                <w:szCs w:val="20"/>
                <w:lang w:val="de-AT" w:eastAsia="de-AT"/>
              </w:rPr>
            </w:pPr>
            <w:r w:rsidRPr="00EC7429">
              <w:rPr>
                <w:rFonts w:ascii="Microsoft Sans Serif" w:hAnsi="Microsoft Sans Serif" w:cs="Microsoft Sans Serif"/>
                <w:sz w:val="18"/>
                <w:szCs w:val="20"/>
                <w:lang w:val="de-AT" w:eastAsia="de-AT"/>
              </w:rPr>
              <w:t>0</w:t>
            </w:r>
          </w:p>
        </w:tc>
        <w:tc>
          <w:tcPr>
            <w:tcW w:w="1004" w:type="dxa"/>
            <w:shd w:val="clear" w:color="000000" w:fill="EEEEEE"/>
            <w:noWrap/>
            <w:vAlign w:val="center"/>
            <w:hideMark/>
          </w:tcPr>
          <w:p w:rsidR="005F5B63" w:rsidRPr="00EC7429" w:rsidRDefault="005F5B63" w:rsidP="00142A4B">
            <w:pPr>
              <w:spacing w:after="0" w:line="240" w:lineRule="auto"/>
              <w:ind w:right="284"/>
              <w:jc w:val="right"/>
              <w:rPr>
                <w:rFonts w:ascii="Microsoft Sans Serif" w:hAnsi="Microsoft Sans Serif" w:cs="Microsoft Sans Serif"/>
                <w:sz w:val="18"/>
                <w:szCs w:val="20"/>
                <w:lang w:val="de-AT" w:eastAsia="de-AT"/>
              </w:rPr>
            </w:pPr>
            <w:r w:rsidRPr="00EC7429">
              <w:rPr>
                <w:rFonts w:ascii="Microsoft Sans Serif" w:hAnsi="Microsoft Sans Serif" w:cs="Microsoft Sans Serif"/>
                <w:sz w:val="18"/>
                <w:szCs w:val="20"/>
                <w:lang w:val="de-AT" w:eastAsia="de-AT"/>
              </w:rPr>
              <w:t>6</w:t>
            </w:r>
          </w:p>
        </w:tc>
      </w:tr>
      <w:tr w:rsidR="005F5B63" w:rsidRPr="00EC7429" w:rsidTr="00142A4B">
        <w:trPr>
          <w:trHeight w:val="255"/>
        </w:trPr>
        <w:tc>
          <w:tcPr>
            <w:tcW w:w="3119" w:type="dxa"/>
            <w:shd w:val="clear" w:color="000000" w:fill="EEEEEE"/>
          </w:tcPr>
          <w:p w:rsidR="005F5B63" w:rsidRPr="00EC7429" w:rsidRDefault="005F5B63" w:rsidP="00142A4B">
            <w:pPr>
              <w:spacing w:after="0" w:line="240" w:lineRule="auto"/>
              <w:rPr>
                <w:rFonts w:ascii="Microsoft Sans Serif" w:hAnsi="Microsoft Sans Serif" w:cs="Microsoft Sans Serif"/>
                <w:sz w:val="20"/>
                <w:szCs w:val="20"/>
                <w:lang w:val="de-AT" w:eastAsia="de-AT"/>
              </w:rPr>
            </w:pPr>
            <w:r w:rsidRPr="00EC7429">
              <w:rPr>
                <w:rFonts w:ascii="Microsoft Sans Serif" w:hAnsi="Microsoft Sans Serif" w:cs="Microsoft Sans Serif"/>
                <w:sz w:val="20"/>
                <w:szCs w:val="20"/>
                <w:lang w:val="de-AT" w:eastAsia="de-AT"/>
              </w:rPr>
              <w:t>Asylberechtigte</w:t>
            </w:r>
          </w:p>
        </w:tc>
        <w:tc>
          <w:tcPr>
            <w:tcW w:w="1003" w:type="dxa"/>
            <w:shd w:val="clear" w:color="000000" w:fill="EEEEEE"/>
            <w:noWrap/>
            <w:vAlign w:val="center"/>
            <w:hideMark/>
          </w:tcPr>
          <w:p w:rsidR="005F5B63" w:rsidRPr="00EC7429" w:rsidRDefault="005F5B63" w:rsidP="00142A4B">
            <w:pPr>
              <w:spacing w:after="0" w:line="240" w:lineRule="auto"/>
              <w:ind w:right="284"/>
              <w:jc w:val="right"/>
              <w:rPr>
                <w:rFonts w:ascii="Microsoft Sans Serif" w:hAnsi="Microsoft Sans Serif" w:cs="Microsoft Sans Serif"/>
                <w:sz w:val="18"/>
                <w:szCs w:val="20"/>
                <w:lang w:val="de-AT" w:eastAsia="de-AT"/>
              </w:rPr>
            </w:pPr>
            <w:r w:rsidRPr="00EC7429">
              <w:rPr>
                <w:rFonts w:ascii="Microsoft Sans Serif" w:hAnsi="Microsoft Sans Serif" w:cs="Microsoft Sans Serif"/>
                <w:sz w:val="18"/>
                <w:szCs w:val="20"/>
                <w:lang w:val="de-AT" w:eastAsia="de-AT"/>
              </w:rPr>
              <w:t>92</w:t>
            </w:r>
          </w:p>
        </w:tc>
        <w:tc>
          <w:tcPr>
            <w:tcW w:w="1004" w:type="dxa"/>
            <w:shd w:val="clear" w:color="000000" w:fill="EEEEEE"/>
            <w:noWrap/>
            <w:vAlign w:val="center"/>
            <w:hideMark/>
          </w:tcPr>
          <w:p w:rsidR="005F5B63" w:rsidRPr="00EC7429" w:rsidRDefault="005F5B63" w:rsidP="00142A4B">
            <w:pPr>
              <w:spacing w:after="0" w:line="240" w:lineRule="auto"/>
              <w:ind w:right="284"/>
              <w:jc w:val="right"/>
              <w:rPr>
                <w:rFonts w:ascii="Microsoft Sans Serif" w:hAnsi="Microsoft Sans Serif" w:cs="Microsoft Sans Serif"/>
                <w:sz w:val="18"/>
                <w:szCs w:val="20"/>
                <w:lang w:val="de-AT" w:eastAsia="de-AT"/>
              </w:rPr>
            </w:pPr>
            <w:r w:rsidRPr="00EC7429">
              <w:rPr>
                <w:rFonts w:ascii="Microsoft Sans Serif" w:hAnsi="Microsoft Sans Serif" w:cs="Microsoft Sans Serif"/>
                <w:sz w:val="18"/>
                <w:szCs w:val="20"/>
                <w:lang w:val="de-AT" w:eastAsia="de-AT"/>
              </w:rPr>
              <w:t>89</w:t>
            </w:r>
          </w:p>
        </w:tc>
        <w:tc>
          <w:tcPr>
            <w:tcW w:w="1004" w:type="dxa"/>
            <w:shd w:val="clear" w:color="000000" w:fill="EEEEEE"/>
            <w:noWrap/>
            <w:vAlign w:val="center"/>
            <w:hideMark/>
          </w:tcPr>
          <w:p w:rsidR="005F5B63" w:rsidRPr="00EC7429" w:rsidRDefault="005F5B63" w:rsidP="00142A4B">
            <w:pPr>
              <w:spacing w:after="0" w:line="240" w:lineRule="auto"/>
              <w:ind w:right="284"/>
              <w:jc w:val="right"/>
              <w:rPr>
                <w:rFonts w:ascii="Microsoft Sans Serif" w:hAnsi="Microsoft Sans Serif" w:cs="Microsoft Sans Serif"/>
                <w:sz w:val="18"/>
                <w:szCs w:val="20"/>
                <w:lang w:val="de-AT" w:eastAsia="de-AT"/>
              </w:rPr>
            </w:pPr>
            <w:r w:rsidRPr="00EC7429">
              <w:rPr>
                <w:rFonts w:ascii="Microsoft Sans Serif" w:hAnsi="Microsoft Sans Serif" w:cs="Microsoft Sans Serif"/>
                <w:sz w:val="18"/>
                <w:szCs w:val="20"/>
                <w:lang w:val="de-AT" w:eastAsia="de-AT"/>
              </w:rPr>
              <w:t>7</w:t>
            </w:r>
          </w:p>
        </w:tc>
        <w:tc>
          <w:tcPr>
            <w:tcW w:w="1004" w:type="dxa"/>
            <w:shd w:val="clear" w:color="000000" w:fill="EEEEEE"/>
            <w:noWrap/>
            <w:vAlign w:val="center"/>
            <w:hideMark/>
          </w:tcPr>
          <w:p w:rsidR="005F5B63" w:rsidRPr="00EC7429" w:rsidRDefault="005F5B63" w:rsidP="00142A4B">
            <w:pPr>
              <w:spacing w:after="0" w:line="240" w:lineRule="auto"/>
              <w:ind w:right="284"/>
              <w:jc w:val="right"/>
              <w:rPr>
                <w:rFonts w:ascii="Microsoft Sans Serif" w:hAnsi="Microsoft Sans Serif" w:cs="Microsoft Sans Serif"/>
                <w:sz w:val="18"/>
                <w:szCs w:val="20"/>
                <w:lang w:val="de-AT" w:eastAsia="de-AT"/>
              </w:rPr>
            </w:pPr>
            <w:r w:rsidRPr="00EC7429">
              <w:rPr>
                <w:rFonts w:ascii="Microsoft Sans Serif" w:hAnsi="Microsoft Sans Serif" w:cs="Microsoft Sans Serif"/>
                <w:sz w:val="18"/>
                <w:szCs w:val="20"/>
                <w:lang w:val="de-AT" w:eastAsia="de-AT"/>
              </w:rPr>
              <w:t>2</w:t>
            </w:r>
          </w:p>
        </w:tc>
        <w:tc>
          <w:tcPr>
            <w:tcW w:w="1004" w:type="dxa"/>
            <w:shd w:val="clear" w:color="000000" w:fill="EEEEEE"/>
            <w:noWrap/>
            <w:vAlign w:val="center"/>
            <w:hideMark/>
          </w:tcPr>
          <w:p w:rsidR="005F5B63" w:rsidRPr="00EC7429" w:rsidRDefault="005F5B63" w:rsidP="00142A4B">
            <w:pPr>
              <w:spacing w:after="0" w:line="240" w:lineRule="auto"/>
              <w:ind w:right="284"/>
              <w:jc w:val="right"/>
              <w:rPr>
                <w:rFonts w:ascii="Microsoft Sans Serif" w:hAnsi="Microsoft Sans Serif" w:cs="Microsoft Sans Serif"/>
                <w:sz w:val="18"/>
                <w:szCs w:val="20"/>
                <w:lang w:val="de-AT" w:eastAsia="de-AT"/>
              </w:rPr>
            </w:pPr>
            <w:r w:rsidRPr="00EC7429">
              <w:rPr>
                <w:rFonts w:ascii="Microsoft Sans Serif" w:hAnsi="Microsoft Sans Serif" w:cs="Microsoft Sans Serif"/>
                <w:sz w:val="18"/>
                <w:szCs w:val="20"/>
                <w:lang w:val="de-AT" w:eastAsia="de-AT"/>
              </w:rPr>
              <w:t>1</w:t>
            </w:r>
          </w:p>
        </w:tc>
        <w:tc>
          <w:tcPr>
            <w:tcW w:w="1004" w:type="dxa"/>
            <w:shd w:val="clear" w:color="000000" w:fill="EEEEEE"/>
            <w:noWrap/>
            <w:vAlign w:val="center"/>
            <w:hideMark/>
          </w:tcPr>
          <w:p w:rsidR="005F5B63" w:rsidRPr="00EC7429" w:rsidRDefault="005F5B63" w:rsidP="00142A4B">
            <w:pPr>
              <w:spacing w:after="0" w:line="240" w:lineRule="auto"/>
              <w:ind w:right="284"/>
              <w:jc w:val="right"/>
              <w:rPr>
                <w:rFonts w:ascii="Microsoft Sans Serif" w:hAnsi="Microsoft Sans Serif" w:cs="Microsoft Sans Serif"/>
                <w:sz w:val="18"/>
                <w:szCs w:val="20"/>
                <w:lang w:val="de-AT" w:eastAsia="de-AT"/>
              </w:rPr>
            </w:pPr>
            <w:r w:rsidRPr="00EC7429">
              <w:rPr>
                <w:rFonts w:ascii="Microsoft Sans Serif" w:hAnsi="Microsoft Sans Serif" w:cs="Microsoft Sans Serif"/>
                <w:sz w:val="18"/>
                <w:szCs w:val="20"/>
                <w:lang w:val="de-AT" w:eastAsia="de-AT"/>
              </w:rPr>
              <w:t>6</w:t>
            </w:r>
          </w:p>
        </w:tc>
      </w:tr>
    </w:tbl>
    <w:p w:rsidR="005F5B63" w:rsidRDefault="005F5B63" w:rsidP="005F5B63">
      <w:r>
        <w:br/>
      </w:r>
    </w:p>
    <w:p w:rsidR="005F5B63" w:rsidRDefault="005F5B63" w:rsidP="00FF2B86">
      <w:pPr>
        <w:pStyle w:val="Untertitel"/>
      </w:pPr>
      <w:r>
        <w:t>Tab. 7: Andere als deutsche Muttersprache</w:t>
      </w:r>
    </w:p>
    <w:tbl>
      <w:tblPr>
        <w:tblW w:w="77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848"/>
        <w:gridCol w:w="1456"/>
        <w:gridCol w:w="1456"/>
      </w:tblGrid>
      <w:tr w:rsidR="005F5B63" w:rsidRPr="00BE79F8" w:rsidTr="00142A4B">
        <w:trPr>
          <w:trHeight w:val="255"/>
        </w:trPr>
        <w:tc>
          <w:tcPr>
            <w:tcW w:w="4848" w:type="dxa"/>
            <w:shd w:val="clear" w:color="000000" w:fill="EEEEEE"/>
            <w:vAlign w:val="bottom"/>
            <w:hideMark/>
          </w:tcPr>
          <w:p w:rsidR="005F5B63" w:rsidRPr="00BE79F8" w:rsidRDefault="005F5B63" w:rsidP="00142A4B">
            <w:pPr>
              <w:spacing w:after="0" w:line="240" w:lineRule="auto"/>
              <w:rPr>
                <w:rFonts w:ascii="Microsoft Sans Serif" w:hAnsi="Microsoft Sans Serif" w:cs="Microsoft Sans Serif"/>
                <w:sz w:val="20"/>
                <w:szCs w:val="20"/>
                <w:lang w:val="de-AT" w:eastAsia="de-AT"/>
              </w:rPr>
            </w:pPr>
            <w:r w:rsidRPr="00BE79F8">
              <w:rPr>
                <w:rFonts w:ascii="Microsoft Sans Serif" w:hAnsi="Microsoft Sans Serif" w:cs="Microsoft Sans Serif"/>
                <w:sz w:val="20"/>
                <w:szCs w:val="20"/>
                <w:lang w:val="de-AT" w:eastAsia="de-AT"/>
              </w:rPr>
              <w:t>keine</w:t>
            </w:r>
          </w:p>
        </w:tc>
        <w:tc>
          <w:tcPr>
            <w:tcW w:w="1456" w:type="dxa"/>
            <w:shd w:val="clear" w:color="000000" w:fill="DEE9F7"/>
            <w:noWrap/>
            <w:vAlign w:val="center"/>
            <w:hideMark/>
          </w:tcPr>
          <w:p w:rsidR="005F5B63" w:rsidRPr="00BE79F8" w:rsidRDefault="005F5B63" w:rsidP="00142A4B">
            <w:pPr>
              <w:spacing w:after="0" w:line="240" w:lineRule="auto"/>
              <w:jc w:val="right"/>
              <w:rPr>
                <w:rFonts w:ascii="Microsoft Sans Serif" w:hAnsi="Microsoft Sans Serif" w:cs="Microsoft Sans Serif"/>
                <w:sz w:val="20"/>
                <w:szCs w:val="20"/>
                <w:lang w:val="de-AT" w:eastAsia="de-AT"/>
              </w:rPr>
            </w:pPr>
            <w:r w:rsidRPr="00BE79F8">
              <w:rPr>
                <w:rFonts w:ascii="Microsoft Sans Serif" w:hAnsi="Microsoft Sans Serif" w:cs="Microsoft Sans Serif"/>
                <w:sz w:val="20"/>
                <w:szCs w:val="20"/>
                <w:lang w:val="de-AT" w:eastAsia="de-AT"/>
              </w:rPr>
              <w:t>13,2%</w:t>
            </w:r>
          </w:p>
        </w:tc>
        <w:tc>
          <w:tcPr>
            <w:tcW w:w="1456" w:type="dxa"/>
            <w:shd w:val="clear" w:color="000000" w:fill="DEE9F7"/>
            <w:noWrap/>
            <w:vAlign w:val="center"/>
            <w:hideMark/>
          </w:tcPr>
          <w:p w:rsidR="005F5B63" w:rsidRPr="00BE79F8" w:rsidRDefault="005F5B63" w:rsidP="00142A4B">
            <w:pPr>
              <w:spacing w:after="0" w:line="240" w:lineRule="auto"/>
              <w:jc w:val="right"/>
              <w:rPr>
                <w:rFonts w:ascii="Microsoft Sans Serif" w:hAnsi="Microsoft Sans Serif" w:cs="Microsoft Sans Serif"/>
                <w:sz w:val="20"/>
                <w:szCs w:val="20"/>
                <w:lang w:val="de-AT" w:eastAsia="de-AT"/>
              </w:rPr>
            </w:pPr>
            <w:r w:rsidRPr="00BE79F8">
              <w:rPr>
                <w:rFonts w:ascii="Microsoft Sans Serif" w:hAnsi="Microsoft Sans Serif" w:cs="Microsoft Sans Serif"/>
                <w:sz w:val="20"/>
                <w:szCs w:val="20"/>
                <w:lang w:val="de-AT" w:eastAsia="de-AT"/>
              </w:rPr>
              <w:t>26</w:t>
            </w:r>
          </w:p>
        </w:tc>
      </w:tr>
      <w:tr w:rsidR="005F5B63" w:rsidRPr="00BE79F8" w:rsidTr="00142A4B">
        <w:trPr>
          <w:trHeight w:val="255"/>
        </w:trPr>
        <w:tc>
          <w:tcPr>
            <w:tcW w:w="4848" w:type="dxa"/>
            <w:shd w:val="clear" w:color="000000" w:fill="EEEEEE"/>
            <w:vAlign w:val="bottom"/>
            <w:hideMark/>
          </w:tcPr>
          <w:p w:rsidR="005F5B63" w:rsidRPr="00BE79F8" w:rsidRDefault="005F5B63" w:rsidP="00142A4B">
            <w:pPr>
              <w:spacing w:after="0" w:line="240" w:lineRule="auto"/>
              <w:rPr>
                <w:rFonts w:ascii="Microsoft Sans Serif" w:hAnsi="Microsoft Sans Serif" w:cs="Microsoft Sans Serif"/>
                <w:sz w:val="20"/>
                <w:szCs w:val="20"/>
                <w:lang w:val="de-AT" w:eastAsia="de-AT"/>
              </w:rPr>
            </w:pPr>
            <w:r w:rsidRPr="00BE79F8">
              <w:rPr>
                <w:rFonts w:ascii="Microsoft Sans Serif" w:hAnsi="Microsoft Sans Serif" w:cs="Microsoft Sans Serif"/>
                <w:sz w:val="20"/>
                <w:szCs w:val="20"/>
                <w:lang w:val="de-AT" w:eastAsia="de-AT"/>
              </w:rPr>
              <w:t>10%</w:t>
            </w:r>
          </w:p>
        </w:tc>
        <w:tc>
          <w:tcPr>
            <w:tcW w:w="1456" w:type="dxa"/>
            <w:shd w:val="clear" w:color="000000" w:fill="DEE9F7"/>
            <w:noWrap/>
            <w:vAlign w:val="center"/>
            <w:hideMark/>
          </w:tcPr>
          <w:p w:rsidR="005F5B63" w:rsidRPr="00BE79F8" w:rsidRDefault="005F5B63" w:rsidP="00142A4B">
            <w:pPr>
              <w:spacing w:after="0" w:line="240" w:lineRule="auto"/>
              <w:jc w:val="right"/>
              <w:rPr>
                <w:rFonts w:ascii="Microsoft Sans Serif" w:hAnsi="Microsoft Sans Serif" w:cs="Microsoft Sans Serif"/>
                <w:sz w:val="20"/>
                <w:szCs w:val="20"/>
                <w:lang w:val="de-AT" w:eastAsia="de-AT"/>
              </w:rPr>
            </w:pPr>
            <w:r w:rsidRPr="00BE79F8">
              <w:rPr>
                <w:rFonts w:ascii="Microsoft Sans Serif" w:hAnsi="Microsoft Sans Serif" w:cs="Microsoft Sans Serif"/>
                <w:sz w:val="20"/>
                <w:szCs w:val="20"/>
                <w:lang w:val="de-AT" w:eastAsia="de-AT"/>
              </w:rPr>
              <w:t>10,7%</w:t>
            </w:r>
          </w:p>
        </w:tc>
        <w:tc>
          <w:tcPr>
            <w:tcW w:w="1456" w:type="dxa"/>
            <w:shd w:val="clear" w:color="000000" w:fill="DEE9F7"/>
            <w:noWrap/>
            <w:vAlign w:val="center"/>
            <w:hideMark/>
          </w:tcPr>
          <w:p w:rsidR="005F5B63" w:rsidRPr="00BE79F8" w:rsidRDefault="005F5B63" w:rsidP="00142A4B">
            <w:pPr>
              <w:spacing w:after="0" w:line="240" w:lineRule="auto"/>
              <w:jc w:val="right"/>
              <w:rPr>
                <w:rFonts w:ascii="Microsoft Sans Serif" w:hAnsi="Microsoft Sans Serif" w:cs="Microsoft Sans Serif"/>
                <w:sz w:val="20"/>
                <w:szCs w:val="20"/>
                <w:lang w:val="de-AT" w:eastAsia="de-AT"/>
              </w:rPr>
            </w:pPr>
            <w:r w:rsidRPr="00BE79F8">
              <w:rPr>
                <w:rFonts w:ascii="Microsoft Sans Serif" w:hAnsi="Microsoft Sans Serif" w:cs="Microsoft Sans Serif"/>
                <w:sz w:val="20"/>
                <w:szCs w:val="20"/>
                <w:lang w:val="de-AT" w:eastAsia="de-AT"/>
              </w:rPr>
              <w:t>21</w:t>
            </w:r>
          </w:p>
        </w:tc>
      </w:tr>
      <w:tr w:rsidR="005F5B63" w:rsidRPr="00BE79F8" w:rsidTr="00142A4B">
        <w:trPr>
          <w:trHeight w:val="255"/>
        </w:trPr>
        <w:tc>
          <w:tcPr>
            <w:tcW w:w="4848" w:type="dxa"/>
            <w:shd w:val="clear" w:color="000000" w:fill="EEEEEE"/>
            <w:vAlign w:val="bottom"/>
            <w:hideMark/>
          </w:tcPr>
          <w:p w:rsidR="005F5B63" w:rsidRPr="00BE79F8" w:rsidRDefault="005F5B63" w:rsidP="00142A4B">
            <w:pPr>
              <w:spacing w:after="0" w:line="240" w:lineRule="auto"/>
              <w:rPr>
                <w:rFonts w:ascii="Microsoft Sans Serif" w:hAnsi="Microsoft Sans Serif" w:cs="Microsoft Sans Serif"/>
                <w:sz w:val="20"/>
                <w:szCs w:val="20"/>
                <w:lang w:val="de-AT" w:eastAsia="de-AT"/>
              </w:rPr>
            </w:pPr>
            <w:r w:rsidRPr="00BE79F8">
              <w:rPr>
                <w:rFonts w:ascii="Microsoft Sans Serif" w:hAnsi="Microsoft Sans Serif" w:cs="Microsoft Sans Serif"/>
                <w:sz w:val="20"/>
                <w:szCs w:val="20"/>
                <w:lang w:val="de-AT" w:eastAsia="de-AT"/>
              </w:rPr>
              <w:t>20%</w:t>
            </w:r>
          </w:p>
        </w:tc>
        <w:tc>
          <w:tcPr>
            <w:tcW w:w="1456" w:type="dxa"/>
            <w:shd w:val="clear" w:color="000000" w:fill="DEE9F7"/>
            <w:noWrap/>
            <w:vAlign w:val="center"/>
            <w:hideMark/>
          </w:tcPr>
          <w:p w:rsidR="005F5B63" w:rsidRPr="00BE79F8" w:rsidRDefault="005F5B63" w:rsidP="00142A4B">
            <w:pPr>
              <w:spacing w:after="0" w:line="240" w:lineRule="auto"/>
              <w:jc w:val="right"/>
              <w:rPr>
                <w:rFonts w:ascii="Microsoft Sans Serif" w:hAnsi="Microsoft Sans Serif" w:cs="Microsoft Sans Serif"/>
                <w:sz w:val="20"/>
                <w:szCs w:val="20"/>
                <w:lang w:val="de-AT" w:eastAsia="de-AT"/>
              </w:rPr>
            </w:pPr>
            <w:r w:rsidRPr="00BE79F8">
              <w:rPr>
                <w:rFonts w:ascii="Microsoft Sans Serif" w:hAnsi="Microsoft Sans Serif" w:cs="Microsoft Sans Serif"/>
                <w:sz w:val="20"/>
                <w:szCs w:val="20"/>
                <w:lang w:val="de-AT" w:eastAsia="de-AT"/>
              </w:rPr>
              <w:t>13,2%</w:t>
            </w:r>
          </w:p>
        </w:tc>
        <w:tc>
          <w:tcPr>
            <w:tcW w:w="1456" w:type="dxa"/>
            <w:shd w:val="clear" w:color="000000" w:fill="DEE9F7"/>
            <w:noWrap/>
            <w:vAlign w:val="center"/>
            <w:hideMark/>
          </w:tcPr>
          <w:p w:rsidR="005F5B63" w:rsidRPr="00BE79F8" w:rsidRDefault="005F5B63" w:rsidP="00142A4B">
            <w:pPr>
              <w:spacing w:after="0" w:line="240" w:lineRule="auto"/>
              <w:jc w:val="right"/>
              <w:rPr>
                <w:rFonts w:ascii="Microsoft Sans Serif" w:hAnsi="Microsoft Sans Serif" w:cs="Microsoft Sans Serif"/>
                <w:sz w:val="20"/>
                <w:szCs w:val="20"/>
                <w:lang w:val="de-AT" w:eastAsia="de-AT"/>
              </w:rPr>
            </w:pPr>
            <w:r w:rsidRPr="00BE79F8">
              <w:rPr>
                <w:rFonts w:ascii="Microsoft Sans Serif" w:hAnsi="Microsoft Sans Serif" w:cs="Microsoft Sans Serif"/>
                <w:sz w:val="20"/>
                <w:szCs w:val="20"/>
                <w:lang w:val="de-AT" w:eastAsia="de-AT"/>
              </w:rPr>
              <w:t>26</w:t>
            </w:r>
          </w:p>
        </w:tc>
      </w:tr>
      <w:tr w:rsidR="005F5B63" w:rsidRPr="00BE79F8" w:rsidTr="00142A4B">
        <w:trPr>
          <w:trHeight w:val="255"/>
        </w:trPr>
        <w:tc>
          <w:tcPr>
            <w:tcW w:w="4848" w:type="dxa"/>
            <w:shd w:val="clear" w:color="000000" w:fill="EEEEEE"/>
            <w:vAlign w:val="bottom"/>
            <w:hideMark/>
          </w:tcPr>
          <w:p w:rsidR="005F5B63" w:rsidRPr="00BE79F8" w:rsidRDefault="005F5B63" w:rsidP="00142A4B">
            <w:pPr>
              <w:spacing w:after="0" w:line="240" w:lineRule="auto"/>
              <w:rPr>
                <w:rFonts w:ascii="Microsoft Sans Serif" w:hAnsi="Microsoft Sans Serif" w:cs="Microsoft Sans Serif"/>
                <w:sz w:val="20"/>
                <w:szCs w:val="20"/>
                <w:lang w:val="de-AT" w:eastAsia="de-AT"/>
              </w:rPr>
            </w:pPr>
            <w:r w:rsidRPr="00BE79F8">
              <w:rPr>
                <w:rFonts w:ascii="Microsoft Sans Serif" w:hAnsi="Microsoft Sans Serif" w:cs="Microsoft Sans Serif"/>
                <w:sz w:val="20"/>
                <w:szCs w:val="20"/>
                <w:lang w:val="de-AT" w:eastAsia="de-AT"/>
              </w:rPr>
              <w:t>30%</w:t>
            </w:r>
          </w:p>
        </w:tc>
        <w:tc>
          <w:tcPr>
            <w:tcW w:w="1456" w:type="dxa"/>
            <w:shd w:val="clear" w:color="000000" w:fill="DEE9F7"/>
            <w:noWrap/>
            <w:vAlign w:val="center"/>
            <w:hideMark/>
          </w:tcPr>
          <w:p w:rsidR="005F5B63" w:rsidRPr="00BE79F8" w:rsidRDefault="005F5B63" w:rsidP="00142A4B">
            <w:pPr>
              <w:spacing w:after="0" w:line="240" w:lineRule="auto"/>
              <w:jc w:val="right"/>
              <w:rPr>
                <w:rFonts w:ascii="Microsoft Sans Serif" w:hAnsi="Microsoft Sans Serif" w:cs="Microsoft Sans Serif"/>
                <w:sz w:val="20"/>
                <w:szCs w:val="20"/>
                <w:lang w:val="de-AT" w:eastAsia="de-AT"/>
              </w:rPr>
            </w:pPr>
            <w:r w:rsidRPr="00BE79F8">
              <w:rPr>
                <w:rFonts w:ascii="Microsoft Sans Serif" w:hAnsi="Microsoft Sans Serif" w:cs="Microsoft Sans Serif"/>
                <w:sz w:val="20"/>
                <w:szCs w:val="20"/>
                <w:lang w:val="de-AT" w:eastAsia="de-AT"/>
              </w:rPr>
              <w:t>17,3%</w:t>
            </w:r>
          </w:p>
        </w:tc>
        <w:tc>
          <w:tcPr>
            <w:tcW w:w="1456" w:type="dxa"/>
            <w:shd w:val="clear" w:color="000000" w:fill="DEE9F7"/>
            <w:noWrap/>
            <w:vAlign w:val="center"/>
            <w:hideMark/>
          </w:tcPr>
          <w:p w:rsidR="005F5B63" w:rsidRPr="00BE79F8" w:rsidRDefault="005F5B63" w:rsidP="00142A4B">
            <w:pPr>
              <w:spacing w:after="0" w:line="240" w:lineRule="auto"/>
              <w:jc w:val="right"/>
              <w:rPr>
                <w:rFonts w:ascii="Microsoft Sans Serif" w:hAnsi="Microsoft Sans Serif" w:cs="Microsoft Sans Serif"/>
                <w:sz w:val="20"/>
                <w:szCs w:val="20"/>
                <w:lang w:val="de-AT" w:eastAsia="de-AT"/>
              </w:rPr>
            </w:pPr>
            <w:r w:rsidRPr="00BE79F8">
              <w:rPr>
                <w:rFonts w:ascii="Microsoft Sans Serif" w:hAnsi="Microsoft Sans Serif" w:cs="Microsoft Sans Serif"/>
                <w:sz w:val="20"/>
                <w:szCs w:val="20"/>
                <w:lang w:val="de-AT" w:eastAsia="de-AT"/>
              </w:rPr>
              <w:t>34</w:t>
            </w:r>
          </w:p>
        </w:tc>
      </w:tr>
      <w:tr w:rsidR="005F5B63" w:rsidRPr="00BE79F8" w:rsidTr="00142A4B">
        <w:trPr>
          <w:trHeight w:val="255"/>
        </w:trPr>
        <w:tc>
          <w:tcPr>
            <w:tcW w:w="4848" w:type="dxa"/>
            <w:shd w:val="clear" w:color="000000" w:fill="EEEEEE"/>
            <w:vAlign w:val="bottom"/>
            <w:hideMark/>
          </w:tcPr>
          <w:p w:rsidR="005F5B63" w:rsidRPr="00BE79F8" w:rsidRDefault="005F5B63" w:rsidP="00142A4B">
            <w:pPr>
              <w:spacing w:after="0" w:line="240" w:lineRule="auto"/>
              <w:rPr>
                <w:rFonts w:ascii="Microsoft Sans Serif" w:hAnsi="Microsoft Sans Serif" w:cs="Microsoft Sans Serif"/>
                <w:sz w:val="20"/>
                <w:szCs w:val="20"/>
                <w:lang w:val="de-AT" w:eastAsia="de-AT"/>
              </w:rPr>
            </w:pPr>
            <w:r w:rsidRPr="00BE79F8">
              <w:rPr>
                <w:rFonts w:ascii="Microsoft Sans Serif" w:hAnsi="Microsoft Sans Serif" w:cs="Microsoft Sans Serif"/>
                <w:sz w:val="20"/>
                <w:szCs w:val="20"/>
                <w:lang w:val="de-AT" w:eastAsia="de-AT"/>
              </w:rPr>
              <w:t>40%</w:t>
            </w:r>
          </w:p>
        </w:tc>
        <w:tc>
          <w:tcPr>
            <w:tcW w:w="1456" w:type="dxa"/>
            <w:shd w:val="clear" w:color="000000" w:fill="DEE9F7"/>
            <w:noWrap/>
            <w:vAlign w:val="center"/>
            <w:hideMark/>
          </w:tcPr>
          <w:p w:rsidR="005F5B63" w:rsidRPr="00BE79F8" w:rsidRDefault="005F5B63" w:rsidP="00142A4B">
            <w:pPr>
              <w:spacing w:after="0" w:line="240" w:lineRule="auto"/>
              <w:jc w:val="right"/>
              <w:rPr>
                <w:rFonts w:ascii="Microsoft Sans Serif" w:hAnsi="Microsoft Sans Serif" w:cs="Microsoft Sans Serif"/>
                <w:sz w:val="20"/>
                <w:szCs w:val="20"/>
                <w:lang w:val="de-AT" w:eastAsia="de-AT"/>
              </w:rPr>
            </w:pPr>
            <w:r w:rsidRPr="00BE79F8">
              <w:rPr>
                <w:rFonts w:ascii="Microsoft Sans Serif" w:hAnsi="Microsoft Sans Serif" w:cs="Microsoft Sans Serif"/>
                <w:sz w:val="20"/>
                <w:szCs w:val="20"/>
                <w:lang w:val="de-AT" w:eastAsia="de-AT"/>
              </w:rPr>
              <w:t>8,1%</w:t>
            </w:r>
          </w:p>
        </w:tc>
        <w:tc>
          <w:tcPr>
            <w:tcW w:w="1456" w:type="dxa"/>
            <w:shd w:val="clear" w:color="000000" w:fill="DEE9F7"/>
            <w:noWrap/>
            <w:vAlign w:val="center"/>
            <w:hideMark/>
          </w:tcPr>
          <w:p w:rsidR="005F5B63" w:rsidRPr="00BE79F8" w:rsidRDefault="005F5B63" w:rsidP="00142A4B">
            <w:pPr>
              <w:spacing w:after="0" w:line="240" w:lineRule="auto"/>
              <w:jc w:val="right"/>
              <w:rPr>
                <w:rFonts w:ascii="Microsoft Sans Serif" w:hAnsi="Microsoft Sans Serif" w:cs="Microsoft Sans Serif"/>
                <w:sz w:val="20"/>
                <w:szCs w:val="20"/>
                <w:lang w:val="de-AT" w:eastAsia="de-AT"/>
              </w:rPr>
            </w:pPr>
            <w:r w:rsidRPr="00BE79F8">
              <w:rPr>
                <w:rFonts w:ascii="Microsoft Sans Serif" w:hAnsi="Microsoft Sans Serif" w:cs="Microsoft Sans Serif"/>
                <w:sz w:val="20"/>
                <w:szCs w:val="20"/>
                <w:lang w:val="de-AT" w:eastAsia="de-AT"/>
              </w:rPr>
              <w:t>16</w:t>
            </w:r>
          </w:p>
        </w:tc>
      </w:tr>
      <w:tr w:rsidR="005F5B63" w:rsidRPr="00BE79F8" w:rsidTr="00142A4B">
        <w:trPr>
          <w:trHeight w:val="255"/>
        </w:trPr>
        <w:tc>
          <w:tcPr>
            <w:tcW w:w="4848" w:type="dxa"/>
            <w:shd w:val="clear" w:color="000000" w:fill="EEEEEE"/>
            <w:vAlign w:val="bottom"/>
            <w:hideMark/>
          </w:tcPr>
          <w:p w:rsidR="005F5B63" w:rsidRPr="00BE79F8" w:rsidRDefault="005F5B63" w:rsidP="00142A4B">
            <w:pPr>
              <w:spacing w:after="0" w:line="240" w:lineRule="auto"/>
              <w:rPr>
                <w:rFonts w:ascii="Microsoft Sans Serif" w:hAnsi="Microsoft Sans Serif" w:cs="Microsoft Sans Serif"/>
                <w:sz w:val="20"/>
                <w:szCs w:val="20"/>
                <w:lang w:val="de-AT" w:eastAsia="de-AT"/>
              </w:rPr>
            </w:pPr>
            <w:r w:rsidRPr="00BE79F8">
              <w:rPr>
                <w:rFonts w:ascii="Microsoft Sans Serif" w:hAnsi="Microsoft Sans Serif" w:cs="Microsoft Sans Serif"/>
                <w:sz w:val="20"/>
                <w:szCs w:val="20"/>
                <w:lang w:val="de-AT" w:eastAsia="de-AT"/>
              </w:rPr>
              <w:t>50%</w:t>
            </w:r>
          </w:p>
        </w:tc>
        <w:tc>
          <w:tcPr>
            <w:tcW w:w="1456" w:type="dxa"/>
            <w:shd w:val="clear" w:color="000000" w:fill="DEE9F7"/>
            <w:noWrap/>
            <w:vAlign w:val="center"/>
            <w:hideMark/>
          </w:tcPr>
          <w:p w:rsidR="005F5B63" w:rsidRPr="00BE79F8" w:rsidRDefault="005F5B63" w:rsidP="00142A4B">
            <w:pPr>
              <w:spacing w:after="0" w:line="240" w:lineRule="auto"/>
              <w:jc w:val="right"/>
              <w:rPr>
                <w:rFonts w:ascii="Microsoft Sans Serif" w:hAnsi="Microsoft Sans Serif" w:cs="Microsoft Sans Serif"/>
                <w:sz w:val="20"/>
                <w:szCs w:val="20"/>
                <w:lang w:val="de-AT" w:eastAsia="de-AT"/>
              </w:rPr>
            </w:pPr>
            <w:r w:rsidRPr="00BE79F8">
              <w:rPr>
                <w:rFonts w:ascii="Microsoft Sans Serif" w:hAnsi="Microsoft Sans Serif" w:cs="Microsoft Sans Serif"/>
                <w:sz w:val="20"/>
                <w:szCs w:val="20"/>
                <w:lang w:val="de-AT" w:eastAsia="de-AT"/>
              </w:rPr>
              <w:t>5,1%</w:t>
            </w:r>
          </w:p>
        </w:tc>
        <w:tc>
          <w:tcPr>
            <w:tcW w:w="1456" w:type="dxa"/>
            <w:shd w:val="clear" w:color="000000" w:fill="DEE9F7"/>
            <w:noWrap/>
            <w:vAlign w:val="center"/>
            <w:hideMark/>
          </w:tcPr>
          <w:p w:rsidR="005F5B63" w:rsidRPr="00BE79F8" w:rsidRDefault="005F5B63" w:rsidP="00142A4B">
            <w:pPr>
              <w:spacing w:after="0" w:line="240" w:lineRule="auto"/>
              <w:jc w:val="right"/>
              <w:rPr>
                <w:rFonts w:ascii="Microsoft Sans Serif" w:hAnsi="Microsoft Sans Serif" w:cs="Microsoft Sans Serif"/>
                <w:sz w:val="20"/>
                <w:szCs w:val="20"/>
                <w:lang w:val="de-AT" w:eastAsia="de-AT"/>
              </w:rPr>
            </w:pPr>
            <w:r w:rsidRPr="00BE79F8">
              <w:rPr>
                <w:rFonts w:ascii="Microsoft Sans Serif" w:hAnsi="Microsoft Sans Serif" w:cs="Microsoft Sans Serif"/>
                <w:sz w:val="20"/>
                <w:szCs w:val="20"/>
                <w:lang w:val="de-AT" w:eastAsia="de-AT"/>
              </w:rPr>
              <w:t>10</w:t>
            </w:r>
          </w:p>
        </w:tc>
      </w:tr>
      <w:tr w:rsidR="005F5B63" w:rsidRPr="00BE79F8" w:rsidTr="00142A4B">
        <w:trPr>
          <w:trHeight w:val="255"/>
        </w:trPr>
        <w:tc>
          <w:tcPr>
            <w:tcW w:w="4848" w:type="dxa"/>
            <w:shd w:val="clear" w:color="000000" w:fill="EEEEEE"/>
            <w:vAlign w:val="bottom"/>
            <w:hideMark/>
          </w:tcPr>
          <w:p w:rsidR="005F5B63" w:rsidRPr="00BE79F8" w:rsidRDefault="005F5B63" w:rsidP="00142A4B">
            <w:pPr>
              <w:spacing w:after="0" w:line="240" w:lineRule="auto"/>
              <w:rPr>
                <w:rFonts w:ascii="Microsoft Sans Serif" w:hAnsi="Microsoft Sans Serif" w:cs="Microsoft Sans Serif"/>
                <w:sz w:val="20"/>
                <w:szCs w:val="20"/>
                <w:lang w:val="de-AT" w:eastAsia="de-AT"/>
              </w:rPr>
            </w:pPr>
            <w:r w:rsidRPr="00BE79F8">
              <w:rPr>
                <w:rFonts w:ascii="Microsoft Sans Serif" w:hAnsi="Microsoft Sans Serif" w:cs="Microsoft Sans Serif"/>
                <w:sz w:val="20"/>
                <w:szCs w:val="20"/>
                <w:lang w:val="de-AT" w:eastAsia="de-AT"/>
              </w:rPr>
              <w:t>60%</w:t>
            </w:r>
          </w:p>
        </w:tc>
        <w:tc>
          <w:tcPr>
            <w:tcW w:w="1456" w:type="dxa"/>
            <w:shd w:val="clear" w:color="000000" w:fill="DEE9F7"/>
            <w:noWrap/>
            <w:vAlign w:val="center"/>
            <w:hideMark/>
          </w:tcPr>
          <w:p w:rsidR="005F5B63" w:rsidRPr="00BE79F8" w:rsidRDefault="005F5B63" w:rsidP="00142A4B">
            <w:pPr>
              <w:spacing w:after="0" w:line="240" w:lineRule="auto"/>
              <w:jc w:val="right"/>
              <w:rPr>
                <w:rFonts w:ascii="Microsoft Sans Serif" w:hAnsi="Microsoft Sans Serif" w:cs="Microsoft Sans Serif"/>
                <w:sz w:val="20"/>
                <w:szCs w:val="20"/>
                <w:lang w:val="de-AT" w:eastAsia="de-AT"/>
              </w:rPr>
            </w:pPr>
            <w:r w:rsidRPr="00BE79F8">
              <w:rPr>
                <w:rFonts w:ascii="Microsoft Sans Serif" w:hAnsi="Microsoft Sans Serif" w:cs="Microsoft Sans Serif"/>
                <w:sz w:val="20"/>
                <w:szCs w:val="20"/>
                <w:lang w:val="de-AT" w:eastAsia="de-AT"/>
              </w:rPr>
              <w:t>1,5%</w:t>
            </w:r>
          </w:p>
        </w:tc>
        <w:tc>
          <w:tcPr>
            <w:tcW w:w="1456" w:type="dxa"/>
            <w:shd w:val="clear" w:color="000000" w:fill="DEE9F7"/>
            <w:noWrap/>
            <w:vAlign w:val="center"/>
            <w:hideMark/>
          </w:tcPr>
          <w:p w:rsidR="005F5B63" w:rsidRPr="00BE79F8" w:rsidRDefault="005F5B63" w:rsidP="00142A4B">
            <w:pPr>
              <w:spacing w:after="0" w:line="240" w:lineRule="auto"/>
              <w:jc w:val="right"/>
              <w:rPr>
                <w:rFonts w:ascii="Microsoft Sans Serif" w:hAnsi="Microsoft Sans Serif" w:cs="Microsoft Sans Serif"/>
                <w:sz w:val="20"/>
                <w:szCs w:val="20"/>
                <w:lang w:val="de-AT" w:eastAsia="de-AT"/>
              </w:rPr>
            </w:pPr>
            <w:r w:rsidRPr="00BE79F8">
              <w:rPr>
                <w:rFonts w:ascii="Microsoft Sans Serif" w:hAnsi="Microsoft Sans Serif" w:cs="Microsoft Sans Serif"/>
                <w:sz w:val="20"/>
                <w:szCs w:val="20"/>
                <w:lang w:val="de-AT" w:eastAsia="de-AT"/>
              </w:rPr>
              <w:t>3</w:t>
            </w:r>
          </w:p>
        </w:tc>
      </w:tr>
      <w:tr w:rsidR="005F5B63" w:rsidRPr="00BE79F8" w:rsidTr="00142A4B">
        <w:trPr>
          <w:trHeight w:val="255"/>
        </w:trPr>
        <w:tc>
          <w:tcPr>
            <w:tcW w:w="4848" w:type="dxa"/>
            <w:shd w:val="clear" w:color="000000" w:fill="EEEEEE"/>
            <w:vAlign w:val="bottom"/>
            <w:hideMark/>
          </w:tcPr>
          <w:p w:rsidR="005F5B63" w:rsidRPr="00BE79F8" w:rsidRDefault="005F5B63" w:rsidP="00142A4B">
            <w:pPr>
              <w:spacing w:after="0" w:line="240" w:lineRule="auto"/>
              <w:rPr>
                <w:rFonts w:ascii="Microsoft Sans Serif" w:hAnsi="Microsoft Sans Serif" w:cs="Microsoft Sans Serif"/>
                <w:sz w:val="20"/>
                <w:szCs w:val="20"/>
                <w:lang w:val="de-AT" w:eastAsia="de-AT"/>
              </w:rPr>
            </w:pPr>
            <w:r w:rsidRPr="00BE79F8">
              <w:rPr>
                <w:rFonts w:ascii="Microsoft Sans Serif" w:hAnsi="Microsoft Sans Serif" w:cs="Microsoft Sans Serif"/>
                <w:sz w:val="20"/>
                <w:szCs w:val="20"/>
                <w:lang w:val="de-AT" w:eastAsia="de-AT"/>
              </w:rPr>
              <w:t>70%</w:t>
            </w:r>
          </w:p>
        </w:tc>
        <w:tc>
          <w:tcPr>
            <w:tcW w:w="1456" w:type="dxa"/>
            <w:shd w:val="clear" w:color="000000" w:fill="DEE9F7"/>
            <w:noWrap/>
            <w:vAlign w:val="center"/>
            <w:hideMark/>
          </w:tcPr>
          <w:p w:rsidR="005F5B63" w:rsidRPr="00BE79F8" w:rsidRDefault="005F5B63" w:rsidP="00142A4B">
            <w:pPr>
              <w:spacing w:after="0" w:line="240" w:lineRule="auto"/>
              <w:jc w:val="right"/>
              <w:rPr>
                <w:rFonts w:ascii="Microsoft Sans Serif" w:hAnsi="Microsoft Sans Serif" w:cs="Microsoft Sans Serif"/>
                <w:sz w:val="20"/>
                <w:szCs w:val="20"/>
                <w:lang w:val="de-AT" w:eastAsia="de-AT"/>
              </w:rPr>
            </w:pPr>
            <w:r w:rsidRPr="00BE79F8">
              <w:rPr>
                <w:rFonts w:ascii="Microsoft Sans Serif" w:hAnsi="Microsoft Sans Serif" w:cs="Microsoft Sans Serif"/>
                <w:sz w:val="20"/>
                <w:szCs w:val="20"/>
                <w:lang w:val="de-AT" w:eastAsia="de-AT"/>
              </w:rPr>
              <w:t>2,5%</w:t>
            </w:r>
          </w:p>
        </w:tc>
        <w:tc>
          <w:tcPr>
            <w:tcW w:w="1456" w:type="dxa"/>
            <w:shd w:val="clear" w:color="000000" w:fill="DEE9F7"/>
            <w:noWrap/>
            <w:vAlign w:val="center"/>
            <w:hideMark/>
          </w:tcPr>
          <w:p w:rsidR="005F5B63" w:rsidRPr="00BE79F8" w:rsidRDefault="005F5B63" w:rsidP="00142A4B">
            <w:pPr>
              <w:spacing w:after="0" w:line="240" w:lineRule="auto"/>
              <w:jc w:val="right"/>
              <w:rPr>
                <w:rFonts w:ascii="Microsoft Sans Serif" w:hAnsi="Microsoft Sans Serif" w:cs="Microsoft Sans Serif"/>
                <w:sz w:val="20"/>
                <w:szCs w:val="20"/>
                <w:lang w:val="de-AT" w:eastAsia="de-AT"/>
              </w:rPr>
            </w:pPr>
            <w:r w:rsidRPr="00BE79F8">
              <w:rPr>
                <w:rFonts w:ascii="Microsoft Sans Serif" w:hAnsi="Microsoft Sans Serif" w:cs="Microsoft Sans Serif"/>
                <w:sz w:val="20"/>
                <w:szCs w:val="20"/>
                <w:lang w:val="de-AT" w:eastAsia="de-AT"/>
              </w:rPr>
              <w:t>5</w:t>
            </w:r>
          </w:p>
        </w:tc>
      </w:tr>
      <w:tr w:rsidR="005F5B63" w:rsidRPr="00BE79F8" w:rsidTr="00142A4B">
        <w:trPr>
          <w:trHeight w:val="255"/>
        </w:trPr>
        <w:tc>
          <w:tcPr>
            <w:tcW w:w="4848" w:type="dxa"/>
            <w:shd w:val="clear" w:color="000000" w:fill="EEEEEE"/>
            <w:vAlign w:val="bottom"/>
            <w:hideMark/>
          </w:tcPr>
          <w:p w:rsidR="005F5B63" w:rsidRPr="00BE79F8" w:rsidRDefault="005F5B63" w:rsidP="00142A4B">
            <w:pPr>
              <w:spacing w:after="0" w:line="240" w:lineRule="auto"/>
              <w:rPr>
                <w:rFonts w:ascii="Microsoft Sans Serif" w:hAnsi="Microsoft Sans Serif" w:cs="Microsoft Sans Serif"/>
                <w:sz w:val="20"/>
                <w:szCs w:val="20"/>
                <w:lang w:val="de-AT" w:eastAsia="de-AT"/>
              </w:rPr>
            </w:pPr>
            <w:r w:rsidRPr="00BE79F8">
              <w:rPr>
                <w:rFonts w:ascii="Microsoft Sans Serif" w:hAnsi="Microsoft Sans Serif" w:cs="Microsoft Sans Serif"/>
                <w:sz w:val="20"/>
                <w:szCs w:val="20"/>
                <w:lang w:val="de-AT" w:eastAsia="de-AT"/>
              </w:rPr>
              <w:t>80%</w:t>
            </w:r>
          </w:p>
        </w:tc>
        <w:tc>
          <w:tcPr>
            <w:tcW w:w="1456" w:type="dxa"/>
            <w:shd w:val="clear" w:color="000000" w:fill="DEE9F7"/>
            <w:noWrap/>
            <w:vAlign w:val="center"/>
            <w:hideMark/>
          </w:tcPr>
          <w:p w:rsidR="005F5B63" w:rsidRPr="00BE79F8" w:rsidRDefault="005F5B63" w:rsidP="00142A4B">
            <w:pPr>
              <w:spacing w:after="0" w:line="240" w:lineRule="auto"/>
              <w:jc w:val="right"/>
              <w:rPr>
                <w:rFonts w:ascii="Microsoft Sans Serif" w:hAnsi="Microsoft Sans Serif" w:cs="Microsoft Sans Serif"/>
                <w:sz w:val="20"/>
                <w:szCs w:val="20"/>
                <w:lang w:val="de-AT" w:eastAsia="de-AT"/>
              </w:rPr>
            </w:pPr>
            <w:r w:rsidRPr="00BE79F8">
              <w:rPr>
                <w:rFonts w:ascii="Microsoft Sans Serif" w:hAnsi="Microsoft Sans Serif" w:cs="Microsoft Sans Serif"/>
                <w:sz w:val="20"/>
                <w:szCs w:val="20"/>
                <w:lang w:val="de-AT" w:eastAsia="de-AT"/>
              </w:rPr>
              <w:t>1,0%</w:t>
            </w:r>
          </w:p>
        </w:tc>
        <w:tc>
          <w:tcPr>
            <w:tcW w:w="1456" w:type="dxa"/>
            <w:shd w:val="clear" w:color="000000" w:fill="DEE9F7"/>
            <w:noWrap/>
            <w:vAlign w:val="center"/>
            <w:hideMark/>
          </w:tcPr>
          <w:p w:rsidR="005F5B63" w:rsidRPr="00BE79F8" w:rsidRDefault="005F5B63" w:rsidP="00142A4B">
            <w:pPr>
              <w:spacing w:after="0" w:line="240" w:lineRule="auto"/>
              <w:jc w:val="right"/>
              <w:rPr>
                <w:rFonts w:ascii="Microsoft Sans Serif" w:hAnsi="Microsoft Sans Serif" w:cs="Microsoft Sans Serif"/>
                <w:sz w:val="20"/>
                <w:szCs w:val="20"/>
                <w:lang w:val="de-AT" w:eastAsia="de-AT"/>
              </w:rPr>
            </w:pPr>
            <w:r w:rsidRPr="00BE79F8">
              <w:rPr>
                <w:rFonts w:ascii="Microsoft Sans Serif" w:hAnsi="Microsoft Sans Serif" w:cs="Microsoft Sans Serif"/>
                <w:sz w:val="20"/>
                <w:szCs w:val="20"/>
                <w:lang w:val="de-AT" w:eastAsia="de-AT"/>
              </w:rPr>
              <w:t>2</w:t>
            </w:r>
          </w:p>
        </w:tc>
      </w:tr>
      <w:tr w:rsidR="005F5B63" w:rsidRPr="00BE79F8" w:rsidTr="00142A4B">
        <w:trPr>
          <w:trHeight w:val="255"/>
        </w:trPr>
        <w:tc>
          <w:tcPr>
            <w:tcW w:w="4848" w:type="dxa"/>
            <w:shd w:val="clear" w:color="000000" w:fill="EEEEEE"/>
            <w:vAlign w:val="bottom"/>
            <w:hideMark/>
          </w:tcPr>
          <w:p w:rsidR="005F5B63" w:rsidRPr="00BE79F8" w:rsidRDefault="005F5B63" w:rsidP="00142A4B">
            <w:pPr>
              <w:spacing w:after="0" w:line="240" w:lineRule="auto"/>
              <w:rPr>
                <w:rFonts w:ascii="Microsoft Sans Serif" w:hAnsi="Microsoft Sans Serif" w:cs="Microsoft Sans Serif"/>
                <w:sz w:val="20"/>
                <w:szCs w:val="20"/>
                <w:lang w:val="de-AT" w:eastAsia="de-AT"/>
              </w:rPr>
            </w:pPr>
            <w:r w:rsidRPr="00BE79F8">
              <w:rPr>
                <w:rFonts w:ascii="Microsoft Sans Serif" w:hAnsi="Microsoft Sans Serif" w:cs="Microsoft Sans Serif"/>
                <w:sz w:val="20"/>
                <w:szCs w:val="20"/>
                <w:lang w:val="de-AT" w:eastAsia="de-AT"/>
              </w:rPr>
              <w:t>90%</w:t>
            </w:r>
          </w:p>
        </w:tc>
        <w:tc>
          <w:tcPr>
            <w:tcW w:w="1456" w:type="dxa"/>
            <w:shd w:val="clear" w:color="000000" w:fill="DEE9F7"/>
            <w:noWrap/>
            <w:vAlign w:val="center"/>
            <w:hideMark/>
          </w:tcPr>
          <w:p w:rsidR="005F5B63" w:rsidRPr="00BE79F8" w:rsidRDefault="005F5B63" w:rsidP="00142A4B">
            <w:pPr>
              <w:spacing w:after="0" w:line="240" w:lineRule="auto"/>
              <w:jc w:val="right"/>
              <w:rPr>
                <w:rFonts w:ascii="Microsoft Sans Serif" w:hAnsi="Microsoft Sans Serif" w:cs="Microsoft Sans Serif"/>
                <w:sz w:val="20"/>
                <w:szCs w:val="20"/>
                <w:lang w:val="de-AT" w:eastAsia="de-AT"/>
              </w:rPr>
            </w:pPr>
            <w:r w:rsidRPr="00BE79F8">
              <w:rPr>
                <w:rFonts w:ascii="Microsoft Sans Serif" w:hAnsi="Microsoft Sans Serif" w:cs="Microsoft Sans Serif"/>
                <w:sz w:val="20"/>
                <w:szCs w:val="20"/>
                <w:lang w:val="de-AT" w:eastAsia="de-AT"/>
              </w:rPr>
              <w:t>0,5%</w:t>
            </w:r>
          </w:p>
        </w:tc>
        <w:tc>
          <w:tcPr>
            <w:tcW w:w="1456" w:type="dxa"/>
            <w:shd w:val="clear" w:color="000000" w:fill="DEE9F7"/>
            <w:noWrap/>
            <w:vAlign w:val="center"/>
            <w:hideMark/>
          </w:tcPr>
          <w:p w:rsidR="005F5B63" w:rsidRPr="00BE79F8" w:rsidRDefault="005F5B63" w:rsidP="00142A4B">
            <w:pPr>
              <w:spacing w:after="0" w:line="240" w:lineRule="auto"/>
              <w:jc w:val="right"/>
              <w:rPr>
                <w:rFonts w:ascii="Microsoft Sans Serif" w:hAnsi="Microsoft Sans Serif" w:cs="Microsoft Sans Serif"/>
                <w:sz w:val="20"/>
                <w:szCs w:val="20"/>
                <w:lang w:val="de-AT" w:eastAsia="de-AT"/>
              </w:rPr>
            </w:pPr>
            <w:r w:rsidRPr="00BE79F8">
              <w:rPr>
                <w:rFonts w:ascii="Microsoft Sans Serif" w:hAnsi="Microsoft Sans Serif" w:cs="Microsoft Sans Serif"/>
                <w:sz w:val="20"/>
                <w:szCs w:val="20"/>
                <w:lang w:val="de-AT" w:eastAsia="de-AT"/>
              </w:rPr>
              <w:t>1</w:t>
            </w:r>
          </w:p>
        </w:tc>
      </w:tr>
      <w:tr w:rsidR="005F5B63" w:rsidRPr="00BE79F8" w:rsidTr="00142A4B">
        <w:trPr>
          <w:trHeight w:val="255"/>
        </w:trPr>
        <w:tc>
          <w:tcPr>
            <w:tcW w:w="4848" w:type="dxa"/>
            <w:shd w:val="clear" w:color="000000" w:fill="EEEEEE"/>
            <w:vAlign w:val="bottom"/>
            <w:hideMark/>
          </w:tcPr>
          <w:p w:rsidR="005F5B63" w:rsidRPr="00BE79F8" w:rsidRDefault="005F5B63" w:rsidP="00142A4B">
            <w:pPr>
              <w:spacing w:after="0" w:line="240" w:lineRule="auto"/>
              <w:rPr>
                <w:rFonts w:ascii="Microsoft Sans Serif" w:hAnsi="Microsoft Sans Serif" w:cs="Microsoft Sans Serif"/>
                <w:sz w:val="20"/>
                <w:szCs w:val="20"/>
                <w:lang w:val="de-AT" w:eastAsia="de-AT"/>
              </w:rPr>
            </w:pPr>
            <w:r w:rsidRPr="00BE79F8">
              <w:rPr>
                <w:rFonts w:ascii="Microsoft Sans Serif" w:hAnsi="Microsoft Sans Serif" w:cs="Microsoft Sans Serif"/>
                <w:sz w:val="20"/>
                <w:szCs w:val="20"/>
                <w:lang w:val="de-AT" w:eastAsia="de-AT"/>
              </w:rPr>
              <w:t>100%</w:t>
            </w:r>
          </w:p>
        </w:tc>
        <w:tc>
          <w:tcPr>
            <w:tcW w:w="1456" w:type="dxa"/>
            <w:shd w:val="clear" w:color="000000" w:fill="DEE9F7"/>
            <w:noWrap/>
            <w:vAlign w:val="center"/>
            <w:hideMark/>
          </w:tcPr>
          <w:p w:rsidR="005F5B63" w:rsidRPr="00BE79F8" w:rsidRDefault="005F5B63" w:rsidP="00142A4B">
            <w:pPr>
              <w:spacing w:after="0" w:line="240" w:lineRule="auto"/>
              <w:jc w:val="right"/>
              <w:rPr>
                <w:rFonts w:ascii="Microsoft Sans Serif" w:hAnsi="Microsoft Sans Serif" w:cs="Microsoft Sans Serif"/>
                <w:sz w:val="20"/>
                <w:szCs w:val="20"/>
                <w:lang w:val="de-AT" w:eastAsia="de-AT"/>
              </w:rPr>
            </w:pPr>
            <w:r w:rsidRPr="00BE79F8">
              <w:rPr>
                <w:rFonts w:ascii="Microsoft Sans Serif" w:hAnsi="Microsoft Sans Serif" w:cs="Microsoft Sans Serif"/>
                <w:sz w:val="20"/>
                <w:szCs w:val="20"/>
                <w:lang w:val="de-AT" w:eastAsia="de-AT"/>
              </w:rPr>
              <w:t>4,1%</w:t>
            </w:r>
          </w:p>
        </w:tc>
        <w:tc>
          <w:tcPr>
            <w:tcW w:w="1456" w:type="dxa"/>
            <w:shd w:val="clear" w:color="000000" w:fill="DEE9F7"/>
            <w:noWrap/>
            <w:vAlign w:val="center"/>
            <w:hideMark/>
          </w:tcPr>
          <w:p w:rsidR="005F5B63" w:rsidRPr="00BE79F8" w:rsidRDefault="005F5B63" w:rsidP="00142A4B">
            <w:pPr>
              <w:spacing w:after="0" w:line="240" w:lineRule="auto"/>
              <w:jc w:val="right"/>
              <w:rPr>
                <w:rFonts w:ascii="Microsoft Sans Serif" w:hAnsi="Microsoft Sans Serif" w:cs="Microsoft Sans Serif"/>
                <w:sz w:val="20"/>
                <w:szCs w:val="20"/>
                <w:lang w:val="de-AT" w:eastAsia="de-AT"/>
              </w:rPr>
            </w:pPr>
            <w:r w:rsidRPr="00BE79F8">
              <w:rPr>
                <w:rFonts w:ascii="Microsoft Sans Serif" w:hAnsi="Microsoft Sans Serif" w:cs="Microsoft Sans Serif"/>
                <w:sz w:val="20"/>
                <w:szCs w:val="20"/>
                <w:lang w:val="de-AT" w:eastAsia="de-AT"/>
              </w:rPr>
              <w:t>8</w:t>
            </w:r>
          </w:p>
        </w:tc>
      </w:tr>
      <w:tr w:rsidR="005F5B63" w:rsidRPr="00BE79F8" w:rsidTr="00142A4B">
        <w:trPr>
          <w:trHeight w:val="255"/>
        </w:trPr>
        <w:tc>
          <w:tcPr>
            <w:tcW w:w="4848" w:type="dxa"/>
            <w:shd w:val="clear" w:color="000000" w:fill="EEEEEE"/>
            <w:vAlign w:val="bottom"/>
            <w:hideMark/>
          </w:tcPr>
          <w:p w:rsidR="005F5B63" w:rsidRPr="00BE79F8" w:rsidRDefault="005F5B63" w:rsidP="00142A4B">
            <w:pPr>
              <w:spacing w:after="0" w:line="240" w:lineRule="auto"/>
              <w:rPr>
                <w:rFonts w:ascii="Microsoft Sans Serif" w:hAnsi="Microsoft Sans Serif" w:cs="Microsoft Sans Serif"/>
                <w:sz w:val="20"/>
                <w:szCs w:val="20"/>
                <w:lang w:val="de-AT" w:eastAsia="de-AT"/>
              </w:rPr>
            </w:pPr>
            <w:r w:rsidRPr="00BE79F8">
              <w:rPr>
                <w:rFonts w:ascii="Microsoft Sans Serif" w:hAnsi="Microsoft Sans Serif" w:cs="Microsoft Sans Serif"/>
                <w:sz w:val="20"/>
                <w:szCs w:val="20"/>
                <w:lang w:val="de-AT" w:eastAsia="de-AT"/>
              </w:rPr>
              <w:t>das ist nicht bekannt</w:t>
            </w:r>
          </w:p>
        </w:tc>
        <w:tc>
          <w:tcPr>
            <w:tcW w:w="1456" w:type="dxa"/>
            <w:shd w:val="clear" w:color="000000" w:fill="DEE9F7"/>
            <w:noWrap/>
            <w:vAlign w:val="center"/>
            <w:hideMark/>
          </w:tcPr>
          <w:p w:rsidR="005F5B63" w:rsidRPr="00BE79F8" w:rsidRDefault="005F5B63" w:rsidP="00142A4B">
            <w:pPr>
              <w:spacing w:after="0" w:line="240" w:lineRule="auto"/>
              <w:jc w:val="right"/>
              <w:rPr>
                <w:rFonts w:ascii="Microsoft Sans Serif" w:hAnsi="Microsoft Sans Serif" w:cs="Microsoft Sans Serif"/>
                <w:sz w:val="20"/>
                <w:szCs w:val="20"/>
                <w:lang w:val="de-AT" w:eastAsia="de-AT"/>
              </w:rPr>
            </w:pPr>
            <w:r w:rsidRPr="00BE79F8">
              <w:rPr>
                <w:rFonts w:ascii="Microsoft Sans Serif" w:hAnsi="Microsoft Sans Serif" w:cs="Microsoft Sans Serif"/>
                <w:sz w:val="20"/>
                <w:szCs w:val="20"/>
                <w:lang w:val="de-AT" w:eastAsia="de-AT"/>
              </w:rPr>
              <w:t>22,8%</w:t>
            </w:r>
          </w:p>
        </w:tc>
        <w:tc>
          <w:tcPr>
            <w:tcW w:w="1456" w:type="dxa"/>
            <w:shd w:val="clear" w:color="000000" w:fill="DEE9F7"/>
            <w:noWrap/>
            <w:vAlign w:val="center"/>
            <w:hideMark/>
          </w:tcPr>
          <w:p w:rsidR="005F5B63" w:rsidRPr="00BE79F8" w:rsidRDefault="005F5B63" w:rsidP="00142A4B">
            <w:pPr>
              <w:spacing w:after="0" w:line="240" w:lineRule="auto"/>
              <w:jc w:val="right"/>
              <w:rPr>
                <w:rFonts w:ascii="Microsoft Sans Serif" w:hAnsi="Microsoft Sans Serif" w:cs="Microsoft Sans Serif"/>
                <w:sz w:val="20"/>
                <w:szCs w:val="20"/>
                <w:lang w:val="de-AT" w:eastAsia="de-AT"/>
              </w:rPr>
            </w:pPr>
            <w:r w:rsidRPr="00BE79F8">
              <w:rPr>
                <w:rFonts w:ascii="Microsoft Sans Serif" w:hAnsi="Microsoft Sans Serif" w:cs="Microsoft Sans Serif"/>
                <w:sz w:val="20"/>
                <w:szCs w:val="20"/>
                <w:lang w:val="de-AT" w:eastAsia="de-AT"/>
              </w:rPr>
              <w:t>45</w:t>
            </w:r>
          </w:p>
        </w:tc>
      </w:tr>
      <w:tr w:rsidR="005F5B63" w:rsidRPr="00BE79F8" w:rsidTr="00142A4B">
        <w:trPr>
          <w:trHeight w:val="255"/>
        </w:trPr>
        <w:tc>
          <w:tcPr>
            <w:tcW w:w="4848" w:type="dxa"/>
            <w:shd w:val="clear" w:color="000000" w:fill="EEEEEE"/>
            <w:vAlign w:val="bottom"/>
            <w:hideMark/>
          </w:tcPr>
          <w:p w:rsidR="005F5B63" w:rsidRPr="00BE79F8" w:rsidRDefault="005F5B63" w:rsidP="00142A4B">
            <w:pPr>
              <w:spacing w:after="0" w:line="240" w:lineRule="auto"/>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 xml:space="preserve">gesamt </w:t>
            </w:r>
          </w:p>
        </w:tc>
        <w:tc>
          <w:tcPr>
            <w:tcW w:w="1456" w:type="dxa"/>
            <w:shd w:val="clear" w:color="000000" w:fill="DEE9F7"/>
            <w:noWrap/>
            <w:vAlign w:val="center"/>
            <w:hideMark/>
          </w:tcPr>
          <w:p w:rsidR="005F5B63" w:rsidRPr="00BE79F8" w:rsidRDefault="005F5B63" w:rsidP="00142A4B">
            <w:pPr>
              <w:spacing w:after="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100%</w:t>
            </w:r>
          </w:p>
        </w:tc>
        <w:tc>
          <w:tcPr>
            <w:tcW w:w="1456" w:type="dxa"/>
            <w:shd w:val="clear" w:color="000000" w:fill="DEE9F7"/>
            <w:noWrap/>
            <w:vAlign w:val="center"/>
            <w:hideMark/>
          </w:tcPr>
          <w:p w:rsidR="005F5B63" w:rsidRPr="00BE79F8" w:rsidRDefault="005F5B63" w:rsidP="00142A4B">
            <w:pPr>
              <w:spacing w:after="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195</w:t>
            </w:r>
          </w:p>
        </w:tc>
      </w:tr>
    </w:tbl>
    <w:p w:rsidR="005F5B63" w:rsidRDefault="005F5B63" w:rsidP="005F5B63"/>
    <w:tbl>
      <w:tblPr>
        <w:tblW w:w="7760" w:type="dxa"/>
        <w:tblInd w:w="70" w:type="dxa"/>
        <w:tblCellMar>
          <w:left w:w="70" w:type="dxa"/>
          <w:right w:w="70" w:type="dxa"/>
        </w:tblCellMar>
        <w:tblLook w:val="04A0"/>
      </w:tblPr>
      <w:tblGrid>
        <w:gridCol w:w="4880"/>
        <w:gridCol w:w="1440"/>
        <w:gridCol w:w="1440"/>
      </w:tblGrid>
      <w:tr w:rsidR="005F5B63" w:rsidRPr="00531887" w:rsidTr="00142A4B">
        <w:trPr>
          <w:trHeight w:val="499"/>
        </w:trPr>
        <w:tc>
          <w:tcPr>
            <w:tcW w:w="7760" w:type="dxa"/>
            <w:gridSpan w:val="3"/>
            <w:tcBorders>
              <w:top w:val="nil"/>
              <w:left w:val="nil"/>
              <w:bottom w:val="nil"/>
              <w:right w:val="nil"/>
            </w:tcBorders>
            <w:shd w:val="clear" w:color="000000" w:fill="DDDDDD"/>
            <w:vAlign w:val="center"/>
            <w:hideMark/>
          </w:tcPr>
          <w:p w:rsidR="005F5B63" w:rsidRPr="00531887" w:rsidRDefault="005F5B63" w:rsidP="00FF2B86">
            <w:pPr>
              <w:pStyle w:val="Untertitel"/>
              <w:rPr>
                <w:lang w:val="de-AT"/>
              </w:rPr>
            </w:pPr>
            <w:r>
              <w:rPr>
                <w:lang w:val="de-AT"/>
              </w:rPr>
              <w:t xml:space="preserve">Tab. 8: </w:t>
            </w:r>
            <w:r w:rsidRPr="00531887">
              <w:rPr>
                <w:lang w:val="de-AT"/>
              </w:rPr>
              <w:t>nicht in Österreich geboren</w:t>
            </w:r>
          </w:p>
        </w:tc>
      </w:tr>
      <w:tr w:rsidR="005F5B63" w:rsidRPr="00531887" w:rsidTr="00142A4B">
        <w:trPr>
          <w:trHeight w:val="600"/>
        </w:trPr>
        <w:tc>
          <w:tcPr>
            <w:tcW w:w="4880" w:type="dxa"/>
            <w:tcBorders>
              <w:top w:val="nil"/>
              <w:left w:val="nil"/>
              <w:bottom w:val="nil"/>
              <w:right w:val="nil"/>
            </w:tcBorders>
            <w:shd w:val="clear" w:color="000000" w:fill="DEE9F7"/>
            <w:vAlign w:val="center"/>
            <w:hideMark/>
          </w:tcPr>
          <w:p w:rsidR="005F5B63" w:rsidRPr="00531887" w:rsidRDefault="005F5B63" w:rsidP="00142A4B">
            <w:pPr>
              <w:spacing w:after="0" w:line="240" w:lineRule="auto"/>
              <w:rPr>
                <w:rFonts w:ascii="Microsoft Sans Serif" w:hAnsi="Microsoft Sans Serif" w:cs="Microsoft Sans Serif"/>
                <w:b/>
                <w:bCs/>
                <w:color w:val="000000"/>
                <w:sz w:val="20"/>
                <w:szCs w:val="20"/>
                <w:lang w:val="de-AT" w:eastAsia="de-AT"/>
              </w:rPr>
            </w:pPr>
            <w:r w:rsidRPr="00531887">
              <w:rPr>
                <w:rFonts w:ascii="Microsoft Sans Serif" w:hAnsi="Microsoft Sans Serif" w:cs="Microsoft Sans Serif"/>
                <w:b/>
                <w:bCs/>
                <w:color w:val="000000"/>
                <w:sz w:val="20"/>
                <w:szCs w:val="20"/>
                <w:lang w:val="de-AT" w:eastAsia="de-AT"/>
              </w:rPr>
              <w:t>Answer Options</w:t>
            </w:r>
          </w:p>
        </w:tc>
        <w:tc>
          <w:tcPr>
            <w:tcW w:w="1440" w:type="dxa"/>
            <w:tcBorders>
              <w:top w:val="nil"/>
              <w:left w:val="nil"/>
              <w:bottom w:val="nil"/>
              <w:right w:val="nil"/>
            </w:tcBorders>
            <w:shd w:val="clear" w:color="000000" w:fill="CDD8E6"/>
            <w:vAlign w:val="center"/>
            <w:hideMark/>
          </w:tcPr>
          <w:p w:rsidR="005F5B63" w:rsidRPr="00531887" w:rsidRDefault="005F5B63" w:rsidP="00142A4B">
            <w:pPr>
              <w:spacing w:after="0" w:line="240" w:lineRule="auto"/>
              <w:rPr>
                <w:rFonts w:ascii="Microsoft Sans Serif" w:hAnsi="Microsoft Sans Serif" w:cs="Microsoft Sans Serif"/>
                <w:b/>
                <w:bCs/>
                <w:color w:val="000000"/>
                <w:sz w:val="20"/>
                <w:szCs w:val="20"/>
                <w:lang w:val="de-AT" w:eastAsia="de-AT"/>
              </w:rPr>
            </w:pPr>
            <w:r w:rsidRPr="00531887">
              <w:rPr>
                <w:rFonts w:ascii="Microsoft Sans Serif" w:hAnsi="Microsoft Sans Serif" w:cs="Microsoft Sans Serif"/>
                <w:b/>
                <w:bCs/>
                <w:color w:val="000000"/>
                <w:sz w:val="20"/>
                <w:szCs w:val="20"/>
                <w:lang w:val="de-AT" w:eastAsia="de-AT"/>
              </w:rPr>
              <w:t>Response Percent</w:t>
            </w:r>
          </w:p>
        </w:tc>
        <w:tc>
          <w:tcPr>
            <w:tcW w:w="1440" w:type="dxa"/>
            <w:tcBorders>
              <w:top w:val="nil"/>
              <w:left w:val="nil"/>
              <w:bottom w:val="nil"/>
              <w:right w:val="nil"/>
            </w:tcBorders>
            <w:shd w:val="clear" w:color="000000" w:fill="CDD8E6"/>
            <w:vAlign w:val="center"/>
            <w:hideMark/>
          </w:tcPr>
          <w:p w:rsidR="005F5B63" w:rsidRPr="00531887" w:rsidRDefault="005F5B63" w:rsidP="00142A4B">
            <w:pPr>
              <w:spacing w:after="0" w:line="240" w:lineRule="auto"/>
              <w:rPr>
                <w:rFonts w:ascii="Microsoft Sans Serif" w:hAnsi="Microsoft Sans Serif" w:cs="Microsoft Sans Serif"/>
                <w:b/>
                <w:bCs/>
                <w:color w:val="000000"/>
                <w:sz w:val="20"/>
                <w:szCs w:val="20"/>
                <w:lang w:val="de-AT" w:eastAsia="de-AT"/>
              </w:rPr>
            </w:pPr>
            <w:r w:rsidRPr="00531887">
              <w:rPr>
                <w:rFonts w:ascii="Microsoft Sans Serif" w:hAnsi="Microsoft Sans Serif" w:cs="Microsoft Sans Serif"/>
                <w:b/>
                <w:bCs/>
                <w:color w:val="000000"/>
                <w:sz w:val="20"/>
                <w:szCs w:val="20"/>
                <w:lang w:val="de-AT" w:eastAsia="de-AT"/>
              </w:rPr>
              <w:t>Response Count</w:t>
            </w:r>
          </w:p>
        </w:tc>
      </w:tr>
      <w:tr w:rsidR="005F5B63" w:rsidRPr="00531887" w:rsidTr="00142A4B">
        <w:trPr>
          <w:trHeight w:val="255"/>
        </w:trPr>
        <w:tc>
          <w:tcPr>
            <w:tcW w:w="4880" w:type="dxa"/>
            <w:tcBorders>
              <w:top w:val="nil"/>
              <w:left w:val="nil"/>
              <w:bottom w:val="nil"/>
              <w:right w:val="nil"/>
            </w:tcBorders>
            <w:shd w:val="clear" w:color="000000" w:fill="EEEEEE"/>
            <w:vAlign w:val="bottom"/>
            <w:hideMark/>
          </w:tcPr>
          <w:p w:rsidR="005F5B63" w:rsidRPr="00531887" w:rsidRDefault="005F5B63" w:rsidP="00142A4B">
            <w:pPr>
              <w:spacing w:after="0" w:line="240" w:lineRule="auto"/>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keine</w:t>
            </w:r>
          </w:p>
        </w:tc>
        <w:tc>
          <w:tcPr>
            <w:tcW w:w="1440" w:type="dxa"/>
            <w:tcBorders>
              <w:top w:val="nil"/>
              <w:left w:val="nil"/>
              <w:bottom w:val="nil"/>
              <w:right w:val="nil"/>
            </w:tcBorders>
            <w:shd w:val="clear" w:color="000000" w:fill="DEE9F7"/>
            <w:noWrap/>
            <w:vAlign w:val="center"/>
            <w:hideMark/>
          </w:tcPr>
          <w:p w:rsidR="005F5B63" w:rsidRPr="00531887" w:rsidRDefault="005F5B63" w:rsidP="00142A4B">
            <w:pPr>
              <w:spacing w:after="0" w:line="240" w:lineRule="auto"/>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11,7%</w:t>
            </w:r>
          </w:p>
        </w:tc>
        <w:tc>
          <w:tcPr>
            <w:tcW w:w="1440" w:type="dxa"/>
            <w:tcBorders>
              <w:top w:val="nil"/>
              <w:left w:val="nil"/>
              <w:bottom w:val="nil"/>
              <w:right w:val="nil"/>
            </w:tcBorders>
            <w:shd w:val="clear" w:color="000000" w:fill="DEE9F7"/>
            <w:noWrap/>
            <w:vAlign w:val="center"/>
            <w:hideMark/>
          </w:tcPr>
          <w:p w:rsidR="005F5B63" w:rsidRPr="00531887" w:rsidRDefault="005F5B63" w:rsidP="00142A4B">
            <w:pPr>
              <w:spacing w:after="0" w:line="240" w:lineRule="auto"/>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23</w:t>
            </w:r>
          </w:p>
        </w:tc>
      </w:tr>
      <w:tr w:rsidR="005F5B63" w:rsidRPr="00531887" w:rsidTr="00142A4B">
        <w:trPr>
          <w:trHeight w:val="255"/>
        </w:trPr>
        <w:tc>
          <w:tcPr>
            <w:tcW w:w="4880" w:type="dxa"/>
            <w:tcBorders>
              <w:top w:val="nil"/>
              <w:left w:val="nil"/>
              <w:bottom w:val="nil"/>
              <w:right w:val="nil"/>
            </w:tcBorders>
            <w:shd w:val="clear" w:color="000000" w:fill="EEEEEE"/>
            <w:vAlign w:val="bottom"/>
            <w:hideMark/>
          </w:tcPr>
          <w:p w:rsidR="005F5B63" w:rsidRPr="00531887" w:rsidRDefault="005F5B63" w:rsidP="00142A4B">
            <w:pPr>
              <w:spacing w:after="0" w:line="240" w:lineRule="auto"/>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10%</w:t>
            </w:r>
          </w:p>
        </w:tc>
        <w:tc>
          <w:tcPr>
            <w:tcW w:w="1440" w:type="dxa"/>
            <w:tcBorders>
              <w:top w:val="nil"/>
              <w:left w:val="nil"/>
              <w:bottom w:val="nil"/>
              <w:right w:val="nil"/>
            </w:tcBorders>
            <w:shd w:val="clear" w:color="000000" w:fill="DEE9F7"/>
            <w:noWrap/>
            <w:vAlign w:val="center"/>
            <w:hideMark/>
          </w:tcPr>
          <w:p w:rsidR="005F5B63" w:rsidRPr="00531887" w:rsidRDefault="005F5B63" w:rsidP="00142A4B">
            <w:pPr>
              <w:spacing w:after="0" w:line="240" w:lineRule="auto"/>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11,7%</w:t>
            </w:r>
          </w:p>
        </w:tc>
        <w:tc>
          <w:tcPr>
            <w:tcW w:w="1440" w:type="dxa"/>
            <w:tcBorders>
              <w:top w:val="nil"/>
              <w:left w:val="nil"/>
              <w:bottom w:val="nil"/>
              <w:right w:val="nil"/>
            </w:tcBorders>
            <w:shd w:val="clear" w:color="000000" w:fill="DEE9F7"/>
            <w:noWrap/>
            <w:vAlign w:val="center"/>
            <w:hideMark/>
          </w:tcPr>
          <w:p w:rsidR="005F5B63" w:rsidRPr="00531887" w:rsidRDefault="005F5B63" w:rsidP="00142A4B">
            <w:pPr>
              <w:spacing w:after="0" w:line="240" w:lineRule="auto"/>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23</w:t>
            </w:r>
          </w:p>
        </w:tc>
      </w:tr>
      <w:tr w:rsidR="005F5B63" w:rsidRPr="00531887" w:rsidTr="00142A4B">
        <w:trPr>
          <w:trHeight w:val="255"/>
        </w:trPr>
        <w:tc>
          <w:tcPr>
            <w:tcW w:w="4880" w:type="dxa"/>
            <w:tcBorders>
              <w:top w:val="nil"/>
              <w:left w:val="nil"/>
              <w:bottom w:val="nil"/>
              <w:right w:val="nil"/>
            </w:tcBorders>
            <w:shd w:val="clear" w:color="000000" w:fill="EEEEEE"/>
            <w:vAlign w:val="bottom"/>
            <w:hideMark/>
          </w:tcPr>
          <w:p w:rsidR="005F5B63" w:rsidRPr="00531887" w:rsidRDefault="005F5B63" w:rsidP="00142A4B">
            <w:pPr>
              <w:spacing w:after="0" w:line="240" w:lineRule="auto"/>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20%</w:t>
            </w:r>
          </w:p>
        </w:tc>
        <w:tc>
          <w:tcPr>
            <w:tcW w:w="1440" w:type="dxa"/>
            <w:tcBorders>
              <w:top w:val="nil"/>
              <w:left w:val="nil"/>
              <w:bottom w:val="nil"/>
              <w:right w:val="nil"/>
            </w:tcBorders>
            <w:shd w:val="clear" w:color="000000" w:fill="DEE9F7"/>
            <w:noWrap/>
            <w:vAlign w:val="center"/>
            <w:hideMark/>
          </w:tcPr>
          <w:p w:rsidR="005F5B63" w:rsidRPr="00531887" w:rsidRDefault="005F5B63" w:rsidP="00142A4B">
            <w:pPr>
              <w:spacing w:after="0" w:line="240" w:lineRule="auto"/>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16,8%</w:t>
            </w:r>
          </w:p>
        </w:tc>
        <w:tc>
          <w:tcPr>
            <w:tcW w:w="1440" w:type="dxa"/>
            <w:tcBorders>
              <w:top w:val="nil"/>
              <w:left w:val="nil"/>
              <w:bottom w:val="nil"/>
              <w:right w:val="nil"/>
            </w:tcBorders>
            <w:shd w:val="clear" w:color="000000" w:fill="DEE9F7"/>
            <w:noWrap/>
            <w:vAlign w:val="center"/>
            <w:hideMark/>
          </w:tcPr>
          <w:p w:rsidR="005F5B63" w:rsidRPr="00531887" w:rsidRDefault="005F5B63" w:rsidP="00142A4B">
            <w:pPr>
              <w:spacing w:after="0" w:line="240" w:lineRule="auto"/>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33</w:t>
            </w:r>
          </w:p>
        </w:tc>
      </w:tr>
      <w:tr w:rsidR="005F5B63" w:rsidRPr="00531887" w:rsidTr="00142A4B">
        <w:trPr>
          <w:trHeight w:val="255"/>
        </w:trPr>
        <w:tc>
          <w:tcPr>
            <w:tcW w:w="4880" w:type="dxa"/>
            <w:tcBorders>
              <w:top w:val="nil"/>
              <w:left w:val="nil"/>
              <w:bottom w:val="nil"/>
              <w:right w:val="nil"/>
            </w:tcBorders>
            <w:shd w:val="clear" w:color="000000" w:fill="EEEEEE"/>
            <w:vAlign w:val="bottom"/>
            <w:hideMark/>
          </w:tcPr>
          <w:p w:rsidR="005F5B63" w:rsidRPr="00531887" w:rsidRDefault="005F5B63" w:rsidP="00142A4B">
            <w:pPr>
              <w:spacing w:after="0" w:line="240" w:lineRule="auto"/>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30%</w:t>
            </w:r>
          </w:p>
        </w:tc>
        <w:tc>
          <w:tcPr>
            <w:tcW w:w="1440" w:type="dxa"/>
            <w:tcBorders>
              <w:top w:val="nil"/>
              <w:left w:val="nil"/>
              <w:bottom w:val="nil"/>
              <w:right w:val="nil"/>
            </w:tcBorders>
            <w:shd w:val="clear" w:color="000000" w:fill="DEE9F7"/>
            <w:noWrap/>
            <w:vAlign w:val="center"/>
            <w:hideMark/>
          </w:tcPr>
          <w:p w:rsidR="005F5B63" w:rsidRPr="00531887" w:rsidRDefault="005F5B63" w:rsidP="00142A4B">
            <w:pPr>
              <w:spacing w:after="0" w:line="240" w:lineRule="auto"/>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13,7%</w:t>
            </w:r>
          </w:p>
        </w:tc>
        <w:tc>
          <w:tcPr>
            <w:tcW w:w="1440" w:type="dxa"/>
            <w:tcBorders>
              <w:top w:val="nil"/>
              <w:left w:val="nil"/>
              <w:bottom w:val="nil"/>
              <w:right w:val="nil"/>
            </w:tcBorders>
            <w:shd w:val="clear" w:color="000000" w:fill="DEE9F7"/>
            <w:noWrap/>
            <w:vAlign w:val="center"/>
            <w:hideMark/>
          </w:tcPr>
          <w:p w:rsidR="005F5B63" w:rsidRPr="00531887" w:rsidRDefault="005F5B63" w:rsidP="00142A4B">
            <w:pPr>
              <w:spacing w:after="0" w:line="240" w:lineRule="auto"/>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27</w:t>
            </w:r>
          </w:p>
        </w:tc>
      </w:tr>
      <w:tr w:rsidR="005F5B63" w:rsidRPr="00531887" w:rsidTr="00142A4B">
        <w:trPr>
          <w:trHeight w:val="255"/>
        </w:trPr>
        <w:tc>
          <w:tcPr>
            <w:tcW w:w="4880" w:type="dxa"/>
            <w:tcBorders>
              <w:top w:val="nil"/>
              <w:left w:val="nil"/>
              <w:bottom w:val="nil"/>
              <w:right w:val="nil"/>
            </w:tcBorders>
            <w:shd w:val="clear" w:color="000000" w:fill="EEEEEE"/>
            <w:vAlign w:val="bottom"/>
            <w:hideMark/>
          </w:tcPr>
          <w:p w:rsidR="005F5B63" w:rsidRPr="00531887" w:rsidRDefault="005F5B63" w:rsidP="00142A4B">
            <w:pPr>
              <w:spacing w:after="0" w:line="240" w:lineRule="auto"/>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40%</w:t>
            </w:r>
          </w:p>
        </w:tc>
        <w:tc>
          <w:tcPr>
            <w:tcW w:w="1440" w:type="dxa"/>
            <w:tcBorders>
              <w:top w:val="nil"/>
              <w:left w:val="nil"/>
              <w:bottom w:val="nil"/>
              <w:right w:val="nil"/>
            </w:tcBorders>
            <w:shd w:val="clear" w:color="000000" w:fill="DEE9F7"/>
            <w:noWrap/>
            <w:vAlign w:val="center"/>
            <w:hideMark/>
          </w:tcPr>
          <w:p w:rsidR="005F5B63" w:rsidRPr="00531887" w:rsidRDefault="005F5B63" w:rsidP="00142A4B">
            <w:pPr>
              <w:spacing w:after="0" w:line="240" w:lineRule="auto"/>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7,1%</w:t>
            </w:r>
          </w:p>
        </w:tc>
        <w:tc>
          <w:tcPr>
            <w:tcW w:w="1440" w:type="dxa"/>
            <w:tcBorders>
              <w:top w:val="nil"/>
              <w:left w:val="nil"/>
              <w:bottom w:val="nil"/>
              <w:right w:val="nil"/>
            </w:tcBorders>
            <w:shd w:val="clear" w:color="000000" w:fill="DEE9F7"/>
            <w:noWrap/>
            <w:vAlign w:val="center"/>
            <w:hideMark/>
          </w:tcPr>
          <w:p w:rsidR="005F5B63" w:rsidRPr="00531887" w:rsidRDefault="005F5B63" w:rsidP="00142A4B">
            <w:pPr>
              <w:spacing w:after="0" w:line="240" w:lineRule="auto"/>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14</w:t>
            </w:r>
          </w:p>
        </w:tc>
      </w:tr>
      <w:tr w:rsidR="005F5B63" w:rsidRPr="00531887" w:rsidTr="00142A4B">
        <w:trPr>
          <w:trHeight w:val="255"/>
        </w:trPr>
        <w:tc>
          <w:tcPr>
            <w:tcW w:w="4880" w:type="dxa"/>
            <w:tcBorders>
              <w:top w:val="nil"/>
              <w:left w:val="nil"/>
              <w:bottom w:val="nil"/>
              <w:right w:val="nil"/>
            </w:tcBorders>
            <w:shd w:val="clear" w:color="000000" w:fill="EEEEEE"/>
            <w:vAlign w:val="bottom"/>
            <w:hideMark/>
          </w:tcPr>
          <w:p w:rsidR="005F5B63" w:rsidRPr="00531887" w:rsidRDefault="005F5B63" w:rsidP="00142A4B">
            <w:pPr>
              <w:spacing w:after="0" w:line="240" w:lineRule="auto"/>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50%</w:t>
            </w:r>
          </w:p>
        </w:tc>
        <w:tc>
          <w:tcPr>
            <w:tcW w:w="1440" w:type="dxa"/>
            <w:tcBorders>
              <w:top w:val="nil"/>
              <w:left w:val="nil"/>
              <w:bottom w:val="nil"/>
              <w:right w:val="nil"/>
            </w:tcBorders>
            <w:shd w:val="clear" w:color="000000" w:fill="DEE9F7"/>
            <w:noWrap/>
            <w:vAlign w:val="center"/>
            <w:hideMark/>
          </w:tcPr>
          <w:p w:rsidR="005F5B63" w:rsidRPr="00531887" w:rsidRDefault="005F5B63" w:rsidP="00142A4B">
            <w:pPr>
              <w:spacing w:after="0" w:line="240" w:lineRule="auto"/>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4,6%</w:t>
            </w:r>
          </w:p>
        </w:tc>
        <w:tc>
          <w:tcPr>
            <w:tcW w:w="1440" w:type="dxa"/>
            <w:tcBorders>
              <w:top w:val="nil"/>
              <w:left w:val="nil"/>
              <w:bottom w:val="nil"/>
              <w:right w:val="nil"/>
            </w:tcBorders>
            <w:shd w:val="clear" w:color="000000" w:fill="DEE9F7"/>
            <w:noWrap/>
            <w:vAlign w:val="center"/>
            <w:hideMark/>
          </w:tcPr>
          <w:p w:rsidR="005F5B63" w:rsidRPr="00531887" w:rsidRDefault="005F5B63" w:rsidP="00142A4B">
            <w:pPr>
              <w:spacing w:after="0" w:line="240" w:lineRule="auto"/>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9</w:t>
            </w:r>
          </w:p>
        </w:tc>
      </w:tr>
      <w:tr w:rsidR="005F5B63" w:rsidRPr="00531887" w:rsidTr="00142A4B">
        <w:trPr>
          <w:trHeight w:val="255"/>
        </w:trPr>
        <w:tc>
          <w:tcPr>
            <w:tcW w:w="4880" w:type="dxa"/>
            <w:tcBorders>
              <w:top w:val="nil"/>
              <w:left w:val="nil"/>
              <w:bottom w:val="nil"/>
              <w:right w:val="nil"/>
            </w:tcBorders>
            <w:shd w:val="clear" w:color="000000" w:fill="EEEEEE"/>
            <w:vAlign w:val="bottom"/>
            <w:hideMark/>
          </w:tcPr>
          <w:p w:rsidR="005F5B63" w:rsidRPr="00531887" w:rsidRDefault="005F5B63" w:rsidP="00142A4B">
            <w:pPr>
              <w:spacing w:after="0" w:line="240" w:lineRule="auto"/>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60%</w:t>
            </w:r>
          </w:p>
        </w:tc>
        <w:tc>
          <w:tcPr>
            <w:tcW w:w="1440" w:type="dxa"/>
            <w:tcBorders>
              <w:top w:val="nil"/>
              <w:left w:val="nil"/>
              <w:bottom w:val="nil"/>
              <w:right w:val="nil"/>
            </w:tcBorders>
            <w:shd w:val="clear" w:color="000000" w:fill="DEE9F7"/>
            <w:noWrap/>
            <w:vAlign w:val="center"/>
            <w:hideMark/>
          </w:tcPr>
          <w:p w:rsidR="005F5B63" w:rsidRPr="00531887" w:rsidRDefault="005F5B63" w:rsidP="00142A4B">
            <w:pPr>
              <w:spacing w:after="0" w:line="240" w:lineRule="auto"/>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2,0%</w:t>
            </w:r>
          </w:p>
        </w:tc>
        <w:tc>
          <w:tcPr>
            <w:tcW w:w="1440" w:type="dxa"/>
            <w:tcBorders>
              <w:top w:val="nil"/>
              <w:left w:val="nil"/>
              <w:bottom w:val="nil"/>
              <w:right w:val="nil"/>
            </w:tcBorders>
            <w:shd w:val="clear" w:color="000000" w:fill="DEE9F7"/>
            <w:noWrap/>
            <w:vAlign w:val="center"/>
            <w:hideMark/>
          </w:tcPr>
          <w:p w:rsidR="005F5B63" w:rsidRPr="00531887" w:rsidRDefault="005F5B63" w:rsidP="00142A4B">
            <w:pPr>
              <w:spacing w:after="0" w:line="240" w:lineRule="auto"/>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4</w:t>
            </w:r>
          </w:p>
        </w:tc>
      </w:tr>
      <w:tr w:rsidR="005F5B63" w:rsidRPr="00531887" w:rsidTr="00142A4B">
        <w:trPr>
          <w:trHeight w:val="255"/>
        </w:trPr>
        <w:tc>
          <w:tcPr>
            <w:tcW w:w="4880" w:type="dxa"/>
            <w:tcBorders>
              <w:top w:val="nil"/>
              <w:left w:val="nil"/>
              <w:bottom w:val="nil"/>
              <w:right w:val="nil"/>
            </w:tcBorders>
            <w:shd w:val="clear" w:color="000000" w:fill="EEEEEE"/>
            <w:vAlign w:val="bottom"/>
            <w:hideMark/>
          </w:tcPr>
          <w:p w:rsidR="005F5B63" w:rsidRPr="00531887" w:rsidRDefault="005F5B63" w:rsidP="00142A4B">
            <w:pPr>
              <w:spacing w:after="0" w:line="240" w:lineRule="auto"/>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70%</w:t>
            </w:r>
          </w:p>
        </w:tc>
        <w:tc>
          <w:tcPr>
            <w:tcW w:w="1440" w:type="dxa"/>
            <w:tcBorders>
              <w:top w:val="nil"/>
              <w:left w:val="nil"/>
              <w:bottom w:val="nil"/>
              <w:right w:val="nil"/>
            </w:tcBorders>
            <w:shd w:val="clear" w:color="000000" w:fill="DEE9F7"/>
            <w:noWrap/>
            <w:vAlign w:val="center"/>
            <w:hideMark/>
          </w:tcPr>
          <w:p w:rsidR="005F5B63" w:rsidRPr="00531887" w:rsidRDefault="005F5B63" w:rsidP="00142A4B">
            <w:pPr>
              <w:spacing w:after="0" w:line="240" w:lineRule="auto"/>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2,0%</w:t>
            </w:r>
          </w:p>
        </w:tc>
        <w:tc>
          <w:tcPr>
            <w:tcW w:w="1440" w:type="dxa"/>
            <w:tcBorders>
              <w:top w:val="nil"/>
              <w:left w:val="nil"/>
              <w:bottom w:val="nil"/>
              <w:right w:val="nil"/>
            </w:tcBorders>
            <w:shd w:val="clear" w:color="000000" w:fill="DEE9F7"/>
            <w:noWrap/>
            <w:vAlign w:val="center"/>
            <w:hideMark/>
          </w:tcPr>
          <w:p w:rsidR="005F5B63" w:rsidRPr="00531887" w:rsidRDefault="005F5B63" w:rsidP="00142A4B">
            <w:pPr>
              <w:spacing w:after="0" w:line="240" w:lineRule="auto"/>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4</w:t>
            </w:r>
          </w:p>
        </w:tc>
      </w:tr>
      <w:tr w:rsidR="005F5B63" w:rsidRPr="00531887" w:rsidTr="00142A4B">
        <w:trPr>
          <w:trHeight w:val="255"/>
        </w:trPr>
        <w:tc>
          <w:tcPr>
            <w:tcW w:w="4880" w:type="dxa"/>
            <w:tcBorders>
              <w:top w:val="nil"/>
              <w:left w:val="nil"/>
              <w:bottom w:val="nil"/>
              <w:right w:val="nil"/>
            </w:tcBorders>
            <w:shd w:val="clear" w:color="000000" w:fill="EEEEEE"/>
            <w:vAlign w:val="bottom"/>
            <w:hideMark/>
          </w:tcPr>
          <w:p w:rsidR="005F5B63" w:rsidRPr="00531887" w:rsidRDefault="005F5B63" w:rsidP="00142A4B">
            <w:pPr>
              <w:spacing w:after="0" w:line="240" w:lineRule="auto"/>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80%</w:t>
            </w:r>
          </w:p>
        </w:tc>
        <w:tc>
          <w:tcPr>
            <w:tcW w:w="1440" w:type="dxa"/>
            <w:tcBorders>
              <w:top w:val="nil"/>
              <w:left w:val="nil"/>
              <w:bottom w:val="nil"/>
              <w:right w:val="nil"/>
            </w:tcBorders>
            <w:shd w:val="clear" w:color="000000" w:fill="DEE9F7"/>
            <w:noWrap/>
            <w:vAlign w:val="center"/>
            <w:hideMark/>
          </w:tcPr>
          <w:p w:rsidR="005F5B63" w:rsidRPr="00531887" w:rsidRDefault="005F5B63" w:rsidP="00142A4B">
            <w:pPr>
              <w:spacing w:after="0" w:line="240" w:lineRule="auto"/>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0,0%</w:t>
            </w:r>
          </w:p>
        </w:tc>
        <w:tc>
          <w:tcPr>
            <w:tcW w:w="1440" w:type="dxa"/>
            <w:tcBorders>
              <w:top w:val="nil"/>
              <w:left w:val="nil"/>
              <w:bottom w:val="nil"/>
              <w:right w:val="nil"/>
            </w:tcBorders>
            <w:shd w:val="clear" w:color="000000" w:fill="DEE9F7"/>
            <w:noWrap/>
            <w:vAlign w:val="center"/>
            <w:hideMark/>
          </w:tcPr>
          <w:p w:rsidR="005F5B63" w:rsidRPr="00531887" w:rsidRDefault="005F5B63" w:rsidP="00142A4B">
            <w:pPr>
              <w:spacing w:after="0" w:line="240" w:lineRule="auto"/>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0</w:t>
            </w:r>
          </w:p>
        </w:tc>
      </w:tr>
      <w:tr w:rsidR="005F5B63" w:rsidRPr="00531887" w:rsidTr="00142A4B">
        <w:trPr>
          <w:trHeight w:val="255"/>
        </w:trPr>
        <w:tc>
          <w:tcPr>
            <w:tcW w:w="4880" w:type="dxa"/>
            <w:tcBorders>
              <w:top w:val="nil"/>
              <w:left w:val="nil"/>
              <w:bottom w:val="nil"/>
              <w:right w:val="nil"/>
            </w:tcBorders>
            <w:shd w:val="clear" w:color="000000" w:fill="EEEEEE"/>
            <w:vAlign w:val="bottom"/>
            <w:hideMark/>
          </w:tcPr>
          <w:p w:rsidR="005F5B63" w:rsidRPr="00531887" w:rsidRDefault="005F5B63" w:rsidP="00142A4B">
            <w:pPr>
              <w:spacing w:after="0" w:line="240" w:lineRule="auto"/>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90%</w:t>
            </w:r>
          </w:p>
        </w:tc>
        <w:tc>
          <w:tcPr>
            <w:tcW w:w="1440" w:type="dxa"/>
            <w:tcBorders>
              <w:top w:val="nil"/>
              <w:left w:val="nil"/>
              <w:bottom w:val="nil"/>
              <w:right w:val="nil"/>
            </w:tcBorders>
            <w:shd w:val="clear" w:color="000000" w:fill="DEE9F7"/>
            <w:noWrap/>
            <w:vAlign w:val="center"/>
            <w:hideMark/>
          </w:tcPr>
          <w:p w:rsidR="005F5B63" w:rsidRPr="00531887" w:rsidRDefault="005F5B63" w:rsidP="00142A4B">
            <w:pPr>
              <w:spacing w:after="0" w:line="240" w:lineRule="auto"/>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2,0%</w:t>
            </w:r>
          </w:p>
        </w:tc>
        <w:tc>
          <w:tcPr>
            <w:tcW w:w="1440" w:type="dxa"/>
            <w:tcBorders>
              <w:top w:val="nil"/>
              <w:left w:val="nil"/>
              <w:bottom w:val="nil"/>
              <w:right w:val="nil"/>
            </w:tcBorders>
            <w:shd w:val="clear" w:color="000000" w:fill="DEE9F7"/>
            <w:noWrap/>
            <w:vAlign w:val="center"/>
            <w:hideMark/>
          </w:tcPr>
          <w:p w:rsidR="005F5B63" w:rsidRPr="00531887" w:rsidRDefault="005F5B63" w:rsidP="00142A4B">
            <w:pPr>
              <w:spacing w:after="0" w:line="240" w:lineRule="auto"/>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4</w:t>
            </w:r>
          </w:p>
        </w:tc>
      </w:tr>
      <w:tr w:rsidR="005F5B63" w:rsidRPr="00531887" w:rsidTr="00142A4B">
        <w:trPr>
          <w:trHeight w:val="255"/>
        </w:trPr>
        <w:tc>
          <w:tcPr>
            <w:tcW w:w="4880" w:type="dxa"/>
            <w:tcBorders>
              <w:top w:val="nil"/>
              <w:left w:val="nil"/>
              <w:bottom w:val="nil"/>
              <w:right w:val="nil"/>
            </w:tcBorders>
            <w:shd w:val="clear" w:color="000000" w:fill="EEEEEE"/>
            <w:vAlign w:val="bottom"/>
            <w:hideMark/>
          </w:tcPr>
          <w:p w:rsidR="005F5B63" w:rsidRPr="00531887" w:rsidRDefault="005F5B63" w:rsidP="00142A4B">
            <w:pPr>
              <w:spacing w:after="0" w:line="240" w:lineRule="auto"/>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100%</w:t>
            </w:r>
          </w:p>
        </w:tc>
        <w:tc>
          <w:tcPr>
            <w:tcW w:w="1440" w:type="dxa"/>
            <w:tcBorders>
              <w:top w:val="nil"/>
              <w:left w:val="nil"/>
              <w:bottom w:val="nil"/>
              <w:right w:val="nil"/>
            </w:tcBorders>
            <w:shd w:val="clear" w:color="000000" w:fill="DEE9F7"/>
            <w:noWrap/>
            <w:vAlign w:val="center"/>
            <w:hideMark/>
          </w:tcPr>
          <w:p w:rsidR="005F5B63" w:rsidRPr="00531887" w:rsidRDefault="005F5B63" w:rsidP="00142A4B">
            <w:pPr>
              <w:spacing w:after="0" w:line="240" w:lineRule="auto"/>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2,5%</w:t>
            </w:r>
          </w:p>
        </w:tc>
        <w:tc>
          <w:tcPr>
            <w:tcW w:w="1440" w:type="dxa"/>
            <w:tcBorders>
              <w:top w:val="nil"/>
              <w:left w:val="nil"/>
              <w:bottom w:val="nil"/>
              <w:right w:val="nil"/>
            </w:tcBorders>
            <w:shd w:val="clear" w:color="000000" w:fill="DEE9F7"/>
            <w:noWrap/>
            <w:vAlign w:val="center"/>
            <w:hideMark/>
          </w:tcPr>
          <w:p w:rsidR="005F5B63" w:rsidRPr="00531887" w:rsidRDefault="005F5B63" w:rsidP="00142A4B">
            <w:pPr>
              <w:spacing w:after="0" w:line="240" w:lineRule="auto"/>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5</w:t>
            </w:r>
          </w:p>
        </w:tc>
      </w:tr>
      <w:tr w:rsidR="005F5B63" w:rsidRPr="00531887" w:rsidTr="00142A4B">
        <w:trPr>
          <w:trHeight w:val="255"/>
        </w:trPr>
        <w:tc>
          <w:tcPr>
            <w:tcW w:w="4880" w:type="dxa"/>
            <w:tcBorders>
              <w:top w:val="nil"/>
              <w:left w:val="nil"/>
              <w:bottom w:val="nil"/>
              <w:right w:val="nil"/>
            </w:tcBorders>
            <w:shd w:val="clear" w:color="000000" w:fill="EEEEEE"/>
            <w:vAlign w:val="bottom"/>
            <w:hideMark/>
          </w:tcPr>
          <w:p w:rsidR="005F5B63" w:rsidRPr="00531887" w:rsidRDefault="005F5B63" w:rsidP="00142A4B">
            <w:pPr>
              <w:spacing w:after="0" w:line="240" w:lineRule="auto"/>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das ist nicht bekannt</w:t>
            </w:r>
          </w:p>
        </w:tc>
        <w:tc>
          <w:tcPr>
            <w:tcW w:w="1440" w:type="dxa"/>
            <w:tcBorders>
              <w:top w:val="nil"/>
              <w:left w:val="nil"/>
              <w:bottom w:val="nil"/>
              <w:right w:val="nil"/>
            </w:tcBorders>
            <w:shd w:val="clear" w:color="000000" w:fill="DEE9F7"/>
            <w:noWrap/>
            <w:vAlign w:val="center"/>
            <w:hideMark/>
          </w:tcPr>
          <w:p w:rsidR="005F5B63" w:rsidRPr="00531887" w:rsidRDefault="005F5B63" w:rsidP="00142A4B">
            <w:pPr>
              <w:spacing w:after="0" w:line="240" w:lineRule="auto"/>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25,9%</w:t>
            </w:r>
          </w:p>
        </w:tc>
        <w:tc>
          <w:tcPr>
            <w:tcW w:w="1440" w:type="dxa"/>
            <w:tcBorders>
              <w:top w:val="nil"/>
              <w:left w:val="nil"/>
              <w:bottom w:val="nil"/>
              <w:right w:val="nil"/>
            </w:tcBorders>
            <w:shd w:val="clear" w:color="000000" w:fill="DEE9F7"/>
            <w:noWrap/>
            <w:vAlign w:val="center"/>
            <w:hideMark/>
          </w:tcPr>
          <w:p w:rsidR="005F5B63" w:rsidRPr="00531887" w:rsidRDefault="005F5B63" w:rsidP="00142A4B">
            <w:pPr>
              <w:spacing w:after="0" w:line="240" w:lineRule="auto"/>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51</w:t>
            </w:r>
          </w:p>
        </w:tc>
      </w:tr>
      <w:tr w:rsidR="005F5B63" w:rsidRPr="00531887" w:rsidTr="00142A4B">
        <w:trPr>
          <w:trHeight w:val="255"/>
        </w:trPr>
        <w:tc>
          <w:tcPr>
            <w:tcW w:w="6320" w:type="dxa"/>
            <w:gridSpan w:val="2"/>
            <w:tcBorders>
              <w:top w:val="nil"/>
              <w:left w:val="nil"/>
              <w:bottom w:val="nil"/>
              <w:right w:val="nil"/>
            </w:tcBorders>
            <w:shd w:val="clear" w:color="000000" w:fill="CDD8E6"/>
            <w:noWrap/>
            <w:vAlign w:val="bottom"/>
            <w:hideMark/>
          </w:tcPr>
          <w:p w:rsidR="005F5B63" w:rsidRPr="00531887" w:rsidRDefault="005F5B63" w:rsidP="00142A4B">
            <w:pPr>
              <w:spacing w:after="0" w:line="240" w:lineRule="auto"/>
              <w:jc w:val="right"/>
              <w:rPr>
                <w:rFonts w:ascii="Microsoft Sans Serif" w:hAnsi="Microsoft Sans Serif" w:cs="Microsoft Sans Serif"/>
                <w:b/>
                <w:bCs/>
                <w:i/>
                <w:iCs/>
                <w:color w:val="000000"/>
                <w:sz w:val="20"/>
                <w:szCs w:val="20"/>
                <w:lang w:val="de-AT" w:eastAsia="de-AT"/>
              </w:rPr>
            </w:pPr>
            <w:r w:rsidRPr="00531887">
              <w:rPr>
                <w:rFonts w:ascii="Microsoft Sans Serif" w:hAnsi="Microsoft Sans Serif" w:cs="Microsoft Sans Serif"/>
                <w:b/>
                <w:bCs/>
                <w:i/>
                <w:iCs/>
                <w:color w:val="000000"/>
                <w:sz w:val="20"/>
                <w:szCs w:val="20"/>
                <w:lang w:val="de-AT" w:eastAsia="de-AT"/>
              </w:rPr>
              <w:t>answered question</w:t>
            </w:r>
          </w:p>
        </w:tc>
        <w:tc>
          <w:tcPr>
            <w:tcW w:w="1440" w:type="dxa"/>
            <w:tcBorders>
              <w:top w:val="nil"/>
              <w:left w:val="nil"/>
              <w:bottom w:val="nil"/>
              <w:right w:val="nil"/>
            </w:tcBorders>
            <w:shd w:val="clear" w:color="000000" w:fill="CDD8E6"/>
            <w:noWrap/>
            <w:vAlign w:val="bottom"/>
            <w:hideMark/>
          </w:tcPr>
          <w:p w:rsidR="005F5B63" w:rsidRPr="00531887" w:rsidRDefault="005F5B63" w:rsidP="00142A4B">
            <w:pPr>
              <w:spacing w:after="0" w:line="240" w:lineRule="auto"/>
              <w:jc w:val="right"/>
              <w:rPr>
                <w:rFonts w:ascii="Microsoft Sans Serif" w:hAnsi="Microsoft Sans Serif" w:cs="Microsoft Sans Serif"/>
                <w:b/>
                <w:bCs/>
                <w:color w:val="000000"/>
                <w:sz w:val="20"/>
                <w:szCs w:val="20"/>
                <w:lang w:val="de-AT" w:eastAsia="de-AT"/>
              </w:rPr>
            </w:pPr>
            <w:r w:rsidRPr="00531887">
              <w:rPr>
                <w:rFonts w:ascii="Microsoft Sans Serif" w:hAnsi="Microsoft Sans Serif" w:cs="Microsoft Sans Serif"/>
                <w:b/>
                <w:bCs/>
                <w:color w:val="000000"/>
                <w:sz w:val="20"/>
                <w:szCs w:val="20"/>
                <w:lang w:val="de-AT" w:eastAsia="de-AT"/>
              </w:rPr>
              <w:t>197</w:t>
            </w:r>
          </w:p>
        </w:tc>
      </w:tr>
    </w:tbl>
    <w:p w:rsidR="005F5B63" w:rsidRDefault="005F5B63" w:rsidP="005F5B63"/>
    <w:tbl>
      <w:tblPr>
        <w:tblW w:w="7760" w:type="dxa"/>
        <w:tblInd w:w="70" w:type="dxa"/>
        <w:tblCellMar>
          <w:left w:w="70" w:type="dxa"/>
          <w:right w:w="70" w:type="dxa"/>
        </w:tblCellMar>
        <w:tblLook w:val="04A0"/>
      </w:tblPr>
      <w:tblGrid>
        <w:gridCol w:w="4880"/>
        <w:gridCol w:w="1440"/>
        <w:gridCol w:w="1440"/>
      </w:tblGrid>
      <w:tr w:rsidR="005F5B63" w:rsidRPr="00531887" w:rsidTr="00142A4B">
        <w:trPr>
          <w:trHeight w:val="499"/>
        </w:trPr>
        <w:tc>
          <w:tcPr>
            <w:tcW w:w="7760" w:type="dxa"/>
            <w:gridSpan w:val="3"/>
            <w:tcBorders>
              <w:top w:val="nil"/>
              <w:left w:val="nil"/>
              <w:bottom w:val="nil"/>
              <w:right w:val="nil"/>
            </w:tcBorders>
            <w:shd w:val="clear" w:color="000000" w:fill="DDDDDD"/>
            <w:vAlign w:val="center"/>
            <w:hideMark/>
          </w:tcPr>
          <w:p w:rsidR="005F5B63" w:rsidRPr="00531887" w:rsidRDefault="005F5B63" w:rsidP="00FF2B86">
            <w:pPr>
              <w:pStyle w:val="Untertitel"/>
              <w:rPr>
                <w:lang w:val="de-AT"/>
              </w:rPr>
            </w:pPr>
            <w:r>
              <w:rPr>
                <w:lang w:val="de-AT"/>
              </w:rPr>
              <w:t xml:space="preserve">Tab. 9: </w:t>
            </w:r>
            <w:r w:rsidRPr="00531887">
              <w:rPr>
                <w:lang w:val="de-AT"/>
              </w:rPr>
              <w:t>Vergabevolumen im Jahr 2010</w:t>
            </w:r>
          </w:p>
        </w:tc>
      </w:tr>
      <w:tr w:rsidR="005F5B63" w:rsidRPr="00531887" w:rsidTr="00142A4B">
        <w:trPr>
          <w:trHeight w:val="600"/>
        </w:trPr>
        <w:tc>
          <w:tcPr>
            <w:tcW w:w="4880" w:type="dxa"/>
            <w:tcBorders>
              <w:top w:val="nil"/>
              <w:left w:val="nil"/>
              <w:bottom w:val="nil"/>
              <w:right w:val="nil"/>
            </w:tcBorders>
            <w:shd w:val="clear" w:color="000000" w:fill="DEE9F7"/>
            <w:vAlign w:val="center"/>
            <w:hideMark/>
          </w:tcPr>
          <w:p w:rsidR="005F5B63" w:rsidRPr="00531887" w:rsidRDefault="005F5B63" w:rsidP="00142A4B">
            <w:pPr>
              <w:spacing w:after="0" w:line="240" w:lineRule="auto"/>
              <w:rPr>
                <w:rFonts w:ascii="Microsoft Sans Serif" w:hAnsi="Microsoft Sans Serif" w:cs="Microsoft Sans Serif"/>
                <w:b/>
                <w:bCs/>
                <w:color w:val="000000"/>
                <w:sz w:val="20"/>
                <w:szCs w:val="20"/>
                <w:lang w:val="de-AT" w:eastAsia="de-AT"/>
              </w:rPr>
            </w:pPr>
          </w:p>
        </w:tc>
        <w:tc>
          <w:tcPr>
            <w:tcW w:w="1440" w:type="dxa"/>
            <w:tcBorders>
              <w:top w:val="nil"/>
              <w:left w:val="nil"/>
              <w:bottom w:val="nil"/>
              <w:right w:val="nil"/>
            </w:tcBorders>
            <w:shd w:val="clear" w:color="000000" w:fill="CDD8E6"/>
            <w:vAlign w:val="center"/>
            <w:hideMark/>
          </w:tcPr>
          <w:p w:rsidR="005F5B63" w:rsidRPr="00531887" w:rsidRDefault="005F5B63" w:rsidP="00142A4B">
            <w:pPr>
              <w:spacing w:after="0" w:line="240" w:lineRule="auto"/>
              <w:rPr>
                <w:rFonts w:ascii="Microsoft Sans Serif" w:hAnsi="Microsoft Sans Serif" w:cs="Microsoft Sans Serif"/>
                <w:b/>
                <w:bCs/>
                <w:color w:val="000000"/>
                <w:sz w:val="20"/>
                <w:szCs w:val="20"/>
                <w:lang w:val="de-AT" w:eastAsia="de-AT"/>
              </w:rPr>
            </w:pPr>
            <w:r>
              <w:rPr>
                <w:rFonts w:ascii="Microsoft Sans Serif" w:hAnsi="Microsoft Sans Serif" w:cs="Microsoft Sans Serif"/>
                <w:b/>
                <w:bCs/>
                <w:color w:val="000000"/>
                <w:sz w:val="20"/>
                <w:szCs w:val="20"/>
                <w:lang w:val="de-AT" w:eastAsia="de-AT"/>
              </w:rPr>
              <w:t>in %</w:t>
            </w:r>
          </w:p>
        </w:tc>
        <w:tc>
          <w:tcPr>
            <w:tcW w:w="1440" w:type="dxa"/>
            <w:tcBorders>
              <w:top w:val="nil"/>
              <w:left w:val="nil"/>
              <w:bottom w:val="nil"/>
              <w:right w:val="nil"/>
            </w:tcBorders>
            <w:shd w:val="clear" w:color="000000" w:fill="CDD8E6"/>
            <w:vAlign w:val="center"/>
            <w:hideMark/>
          </w:tcPr>
          <w:p w:rsidR="005F5B63" w:rsidRPr="00531887" w:rsidRDefault="005F5B63" w:rsidP="00142A4B">
            <w:pPr>
              <w:spacing w:after="0" w:line="240" w:lineRule="auto"/>
              <w:rPr>
                <w:rFonts w:ascii="Microsoft Sans Serif" w:hAnsi="Microsoft Sans Serif" w:cs="Microsoft Sans Serif"/>
                <w:b/>
                <w:bCs/>
                <w:color w:val="000000"/>
                <w:sz w:val="20"/>
                <w:szCs w:val="20"/>
                <w:lang w:val="de-AT" w:eastAsia="de-AT"/>
              </w:rPr>
            </w:pPr>
            <w:r>
              <w:rPr>
                <w:rFonts w:ascii="Microsoft Sans Serif" w:hAnsi="Microsoft Sans Serif" w:cs="Microsoft Sans Serif"/>
                <w:b/>
                <w:bCs/>
                <w:color w:val="000000"/>
                <w:sz w:val="20"/>
                <w:szCs w:val="20"/>
                <w:lang w:val="de-AT" w:eastAsia="de-AT"/>
              </w:rPr>
              <w:t>absolut</w:t>
            </w:r>
          </w:p>
        </w:tc>
      </w:tr>
      <w:tr w:rsidR="005F5B63" w:rsidRPr="00531887" w:rsidTr="00142A4B">
        <w:trPr>
          <w:trHeight w:val="255"/>
        </w:trPr>
        <w:tc>
          <w:tcPr>
            <w:tcW w:w="4880" w:type="dxa"/>
            <w:tcBorders>
              <w:top w:val="nil"/>
              <w:left w:val="nil"/>
              <w:bottom w:val="nil"/>
              <w:right w:val="nil"/>
            </w:tcBorders>
            <w:shd w:val="clear" w:color="000000" w:fill="EEEEEE"/>
            <w:vAlign w:val="bottom"/>
            <w:hideMark/>
          </w:tcPr>
          <w:p w:rsidR="005F5B63" w:rsidRPr="00531887" w:rsidRDefault="005F5B63" w:rsidP="00142A4B">
            <w:pPr>
              <w:spacing w:after="0" w:line="240" w:lineRule="auto"/>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keine</w:t>
            </w:r>
          </w:p>
        </w:tc>
        <w:tc>
          <w:tcPr>
            <w:tcW w:w="1440" w:type="dxa"/>
            <w:tcBorders>
              <w:top w:val="nil"/>
              <w:left w:val="nil"/>
              <w:bottom w:val="nil"/>
              <w:right w:val="nil"/>
            </w:tcBorders>
            <w:shd w:val="clear" w:color="000000" w:fill="DEE9F7"/>
            <w:noWrap/>
            <w:vAlign w:val="center"/>
            <w:hideMark/>
          </w:tcPr>
          <w:p w:rsidR="005F5B63" w:rsidRPr="00531887" w:rsidRDefault="005F5B63" w:rsidP="00142A4B">
            <w:pPr>
              <w:spacing w:after="0" w:line="240" w:lineRule="auto"/>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42,6%</w:t>
            </w:r>
          </w:p>
        </w:tc>
        <w:tc>
          <w:tcPr>
            <w:tcW w:w="1440" w:type="dxa"/>
            <w:tcBorders>
              <w:top w:val="nil"/>
              <w:left w:val="nil"/>
              <w:bottom w:val="nil"/>
              <w:right w:val="nil"/>
            </w:tcBorders>
            <w:shd w:val="clear" w:color="000000" w:fill="DEE9F7"/>
            <w:noWrap/>
            <w:vAlign w:val="center"/>
            <w:hideMark/>
          </w:tcPr>
          <w:p w:rsidR="005F5B63" w:rsidRPr="00531887" w:rsidRDefault="005F5B63" w:rsidP="00142A4B">
            <w:pPr>
              <w:spacing w:after="0" w:line="240" w:lineRule="auto"/>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84</w:t>
            </w:r>
          </w:p>
        </w:tc>
      </w:tr>
      <w:tr w:rsidR="005F5B63" w:rsidRPr="00531887" w:rsidTr="00142A4B">
        <w:trPr>
          <w:trHeight w:val="255"/>
        </w:trPr>
        <w:tc>
          <w:tcPr>
            <w:tcW w:w="4880" w:type="dxa"/>
            <w:tcBorders>
              <w:top w:val="nil"/>
              <w:left w:val="nil"/>
              <w:bottom w:val="nil"/>
              <w:right w:val="nil"/>
            </w:tcBorders>
            <w:shd w:val="clear" w:color="000000" w:fill="EEEEEE"/>
            <w:vAlign w:val="bottom"/>
            <w:hideMark/>
          </w:tcPr>
          <w:p w:rsidR="005F5B63" w:rsidRPr="00531887" w:rsidRDefault="005F5B63" w:rsidP="00142A4B">
            <w:pPr>
              <w:spacing w:after="0" w:line="240" w:lineRule="auto"/>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weniger als 50</w:t>
            </w:r>
          </w:p>
        </w:tc>
        <w:tc>
          <w:tcPr>
            <w:tcW w:w="1440" w:type="dxa"/>
            <w:tcBorders>
              <w:top w:val="nil"/>
              <w:left w:val="nil"/>
              <w:bottom w:val="nil"/>
              <w:right w:val="nil"/>
            </w:tcBorders>
            <w:shd w:val="clear" w:color="000000" w:fill="DEE9F7"/>
            <w:noWrap/>
            <w:vAlign w:val="center"/>
            <w:hideMark/>
          </w:tcPr>
          <w:p w:rsidR="005F5B63" w:rsidRPr="00531887" w:rsidRDefault="005F5B63" w:rsidP="00142A4B">
            <w:pPr>
              <w:spacing w:after="0" w:line="240" w:lineRule="auto"/>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23,9%</w:t>
            </w:r>
          </w:p>
        </w:tc>
        <w:tc>
          <w:tcPr>
            <w:tcW w:w="1440" w:type="dxa"/>
            <w:tcBorders>
              <w:top w:val="nil"/>
              <w:left w:val="nil"/>
              <w:bottom w:val="nil"/>
              <w:right w:val="nil"/>
            </w:tcBorders>
            <w:shd w:val="clear" w:color="000000" w:fill="DEE9F7"/>
            <w:noWrap/>
            <w:vAlign w:val="center"/>
            <w:hideMark/>
          </w:tcPr>
          <w:p w:rsidR="005F5B63" w:rsidRPr="00531887" w:rsidRDefault="005F5B63" w:rsidP="00142A4B">
            <w:pPr>
              <w:spacing w:after="0" w:line="240" w:lineRule="auto"/>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47</w:t>
            </w:r>
          </w:p>
        </w:tc>
      </w:tr>
      <w:tr w:rsidR="005F5B63" w:rsidRPr="00531887" w:rsidTr="00142A4B">
        <w:trPr>
          <w:trHeight w:val="255"/>
        </w:trPr>
        <w:tc>
          <w:tcPr>
            <w:tcW w:w="4880" w:type="dxa"/>
            <w:tcBorders>
              <w:top w:val="nil"/>
              <w:left w:val="nil"/>
              <w:bottom w:val="nil"/>
              <w:right w:val="nil"/>
            </w:tcBorders>
            <w:shd w:val="clear" w:color="000000" w:fill="EEEEEE"/>
            <w:vAlign w:val="bottom"/>
            <w:hideMark/>
          </w:tcPr>
          <w:p w:rsidR="005F5B63" w:rsidRPr="00531887" w:rsidRDefault="005F5B63" w:rsidP="00142A4B">
            <w:pPr>
              <w:spacing w:after="0" w:line="240" w:lineRule="auto"/>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zwischen 50 und 100</w:t>
            </w:r>
          </w:p>
        </w:tc>
        <w:tc>
          <w:tcPr>
            <w:tcW w:w="1440" w:type="dxa"/>
            <w:tcBorders>
              <w:top w:val="nil"/>
              <w:left w:val="nil"/>
              <w:bottom w:val="nil"/>
              <w:right w:val="nil"/>
            </w:tcBorders>
            <w:shd w:val="clear" w:color="000000" w:fill="DEE9F7"/>
            <w:noWrap/>
            <w:vAlign w:val="center"/>
            <w:hideMark/>
          </w:tcPr>
          <w:p w:rsidR="005F5B63" w:rsidRPr="00531887" w:rsidRDefault="005F5B63" w:rsidP="00142A4B">
            <w:pPr>
              <w:spacing w:after="0" w:line="240" w:lineRule="auto"/>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13,2%</w:t>
            </w:r>
          </w:p>
        </w:tc>
        <w:tc>
          <w:tcPr>
            <w:tcW w:w="1440" w:type="dxa"/>
            <w:tcBorders>
              <w:top w:val="nil"/>
              <w:left w:val="nil"/>
              <w:bottom w:val="nil"/>
              <w:right w:val="nil"/>
            </w:tcBorders>
            <w:shd w:val="clear" w:color="000000" w:fill="DEE9F7"/>
            <w:noWrap/>
            <w:vAlign w:val="center"/>
            <w:hideMark/>
          </w:tcPr>
          <w:p w:rsidR="005F5B63" w:rsidRPr="00531887" w:rsidRDefault="005F5B63" w:rsidP="00142A4B">
            <w:pPr>
              <w:spacing w:after="0" w:line="240" w:lineRule="auto"/>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26</w:t>
            </w:r>
          </w:p>
        </w:tc>
      </w:tr>
      <w:tr w:rsidR="005F5B63" w:rsidRPr="00531887" w:rsidTr="00142A4B">
        <w:trPr>
          <w:trHeight w:val="255"/>
        </w:trPr>
        <w:tc>
          <w:tcPr>
            <w:tcW w:w="4880" w:type="dxa"/>
            <w:tcBorders>
              <w:top w:val="nil"/>
              <w:left w:val="nil"/>
              <w:bottom w:val="nil"/>
              <w:right w:val="nil"/>
            </w:tcBorders>
            <w:shd w:val="clear" w:color="000000" w:fill="EEEEEE"/>
            <w:vAlign w:val="bottom"/>
            <w:hideMark/>
          </w:tcPr>
          <w:p w:rsidR="005F5B63" w:rsidRPr="00531887" w:rsidRDefault="005F5B63" w:rsidP="00142A4B">
            <w:pPr>
              <w:spacing w:after="0" w:line="240" w:lineRule="auto"/>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mehr als 100</w:t>
            </w:r>
          </w:p>
        </w:tc>
        <w:tc>
          <w:tcPr>
            <w:tcW w:w="1440" w:type="dxa"/>
            <w:tcBorders>
              <w:top w:val="nil"/>
              <w:left w:val="nil"/>
              <w:bottom w:val="nil"/>
              <w:right w:val="nil"/>
            </w:tcBorders>
            <w:shd w:val="clear" w:color="000000" w:fill="DEE9F7"/>
            <w:noWrap/>
            <w:vAlign w:val="center"/>
            <w:hideMark/>
          </w:tcPr>
          <w:p w:rsidR="005F5B63" w:rsidRPr="00531887" w:rsidRDefault="005F5B63" w:rsidP="00142A4B">
            <w:pPr>
              <w:spacing w:after="0" w:line="240" w:lineRule="auto"/>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20,3%</w:t>
            </w:r>
          </w:p>
        </w:tc>
        <w:tc>
          <w:tcPr>
            <w:tcW w:w="1440" w:type="dxa"/>
            <w:tcBorders>
              <w:top w:val="nil"/>
              <w:left w:val="nil"/>
              <w:bottom w:val="nil"/>
              <w:right w:val="nil"/>
            </w:tcBorders>
            <w:shd w:val="clear" w:color="000000" w:fill="DEE9F7"/>
            <w:noWrap/>
            <w:vAlign w:val="center"/>
            <w:hideMark/>
          </w:tcPr>
          <w:p w:rsidR="005F5B63" w:rsidRPr="00531887" w:rsidRDefault="005F5B63" w:rsidP="00142A4B">
            <w:pPr>
              <w:spacing w:after="0" w:line="240" w:lineRule="auto"/>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40</w:t>
            </w:r>
          </w:p>
        </w:tc>
      </w:tr>
      <w:tr w:rsidR="005F5B63" w:rsidRPr="00531887" w:rsidTr="00142A4B">
        <w:trPr>
          <w:trHeight w:val="255"/>
        </w:trPr>
        <w:tc>
          <w:tcPr>
            <w:tcW w:w="6320" w:type="dxa"/>
            <w:gridSpan w:val="2"/>
            <w:tcBorders>
              <w:top w:val="nil"/>
              <w:left w:val="nil"/>
              <w:bottom w:val="nil"/>
              <w:right w:val="nil"/>
            </w:tcBorders>
            <w:shd w:val="clear" w:color="000000" w:fill="CDD8E6"/>
            <w:noWrap/>
            <w:vAlign w:val="bottom"/>
            <w:hideMark/>
          </w:tcPr>
          <w:p w:rsidR="005F5B63" w:rsidRPr="00531887" w:rsidRDefault="005F5B63" w:rsidP="00142A4B">
            <w:pPr>
              <w:spacing w:after="0" w:line="240" w:lineRule="auto"/>
              <w:rPr>
                <w:rFonts w:ascii="Microsoft Sans Serif" w:hAnsi="Microsoft Sans Serif" w:cs="Microsoft Sans Serif"/>
                <w:b/>
                <w:bCs/>
                <w:i/>
                <w:iCs/>
                <w:color w:val="000000"/>
                <w:sz w:val="20"/>
                <w:szCs w:val="20"/>
                <w:lang w:val="de-AT" w:eastAsia="de-AT"/>
              </w:rPr>
            </w:pPr>
            <w:r>
              <w:rPr>
                <w:rFonts w:ascii="Microsoft Sans Serif" w:hAnsi="Microsoft Sans Serif" w:cs="Microsoft Sans Serif"/>
                <w:b/>
                <w:bCs/>
                <w:i/>
                <w:iCs/>
                <w:color w:val="000000"/>
                <w:sz w:val="20"/>
                <w:szCs w:val="20"/>
                <w:lang w:val="de-AT" w:eastAsia="de-AT"/>
              </w:rPr>
              <w:t>gesamt</w:t>
            </w:r>
          </w:p>
        </w:tc>
        <w:tc>
          <w:tcPr>
            <w:tcW w:w="1440" w:type="dxa"/>
            <w:tcBorders>
              <w:top w:val="nil"/>
              <w:left w:val="nil"/>
              <w:bottom w:val="nil"/>
              <w:right w:val="nil"/>
            </w:tcBorders>
            <w:shd w:val="clear" w:color="000000" w:fill="CDD8E6"/>
            <w:noWrap/>
            <w:vAlign w:val="bottom"/>
            <w:hideMark/>
          </w:tcPr>
          <w:p w:rsidR="005F5B63" w:rsidRPr="00531887" w:rsidRDefault="005F5B63" w:rsidP="00142A4B">
            <w:pPr>
              <w:spacing w:after="0" w:line="240" w:lineRule="auto"/>
              <w:rPr>
                <w:rFonts w:ascii="Microsoft Sans Serif" w:hAnsi="Microsoft Sans Serif" w:cs="Microsoft Sans Serif"/>
                <w:b/>
                <w:bCs/>
                <w:color w:val="000000"/>
                <w:sz w:val="20"/>
                <w:szCs w:val="20"/>
                <w:lang w:val="de-AT" w:eastAsia="de-AT"/>
              </w:rPr>
            </w:pPr>
            <w:r w:rsidRPr="00531887">
              <w:rPr>
                <w:rFonts w:ascii="Microsoft Sans Serif" w:hAnsi="Microsoft Sans Serif" w:cs="Microsoft Sans Serif"/>
                <w:b/>
                <w:bCs/>
                <w:color w:val="000000"/>
                <w:sz w:val="20"/>
                <w:szCs w:val="20"/>
                <w:lang w:val="de-AT" w:eastAsia="de-AT"/>
              </w:rPr>
              <w:t>197</w:t>
            </w:r>
          </w:p>
        </w:tc>
      </w:tr>
    </w:tbl>
    <w:p w:rsidR="005F5B63" w:rsidRDefault="005F5B63" w:rsidP="00FF2B86">
      <w:pPr>
        <w:pStyle w:val="Untertitel"/>
      </w:pPr>
      <w:r>
        <w:lastRenderedPageBreak/>
        <w:t>Tab. 10: Volumen der Wohnungsvergabe im Jahr 2010</w:t>
      </w:r>
      <w:r w:rsidR="00142A4B">
        <w:t>, nach Art der Einrichtung</w:t>
      </w:r>
      <w:r>
        <w:t>, n = 197</w:t>
      </w:r>
    </w:p>
    <w:tbl>
      <w:tblPr>
        <w:tblStyle w:val="Tabellengitternetz"/>
        <w:tblW w:w="0" w:type="auto"/>
        <w:tblLook w:val="04A0"/>
      </w:tblPr>
      <w:tblGrid>
        <w:gridCol w:w="2892"/>
        <w:gridCol w:w="760"/>
        <w:gridCol w:w="713"/>
        <w:gridCol w:w="705"/>
        <w:gridCol w:w="992"/>
        <w:gridCol w:w="709"/>
        <w:gridCol w:w="850"/>
        <w:gridCol w:w="865"/>
        <w:gridCol w:w="802"/>
      </w:tblGrid>
      <w:tr w:rsidR="005F5B63" w:rsidRPr="000044D9" w:rsidTr="00142A4B">
        <w:tc>
          <w:tcPr>
            <w:tcW w:w="2892" w:type="dxa"/>
            <w:vMerge w:val="restart"/>
            <w:tcBorders>
              <w:top w:val="nil"/>
              <w:left w:val="nil"/>
            </w:tcBorders>
          </w:tcPr>
          <w:p w:rsidR="005F5B63" w:rsidRPr="000044D9" w:rsidRDefault="005F5B63" w:rsidP="00142A4B">
            <w:pPr>
              <w:spacing w:before="60" w:after="60" w:line="240" w:lineRule="auto"/>
              <w:rPr>
                <w:sz w:val="20"/>
              </w:rPr>
            </w:pPr>
          </w:p>
        </w:tc>
        <w:tc>
          <w:tcPr>
            <w:tcW w:w="1473" w:type="dxa"/>
            <w:gridSpan w:val="2"/>
            <w:shd w:val="clear" w:color="auto" w:fill="D6E3BC" w:themeFill="accent3" w:themeFillTint="66"/>
          </w:tcPr>
          <w:p w:rsidR="005F5B63" w:rsidRPr="000044D9" w:rsidRDefault="005F5B63" w:rsidP="00142A4B">
            <w:pPr>
              <w:spacing w:before="60" w:after="60" w:line="240" w:lineRule="auto"/>
              <w:rPr>
                <w:sz w:val="20"/>
              </w:rPr>
            </w:pPr>
            <w:r w:rsidRPr="000044D9">
              <w:rPr>
                <w:sz w:val="20"/>
              </w:rPr>
              <w:t>keine</w:t>
            </w:r>
          </w:p>
        </w:tc>
        <w:tc>
          <w:tcPr>
            <w:tcW w:w="1697" w:type="dxa"/>
            <w:gridSpan w:val="2"/>
            <w:shd w:val="clear" w:color="auto" w:fill="D6E3BC" w:themeFill="accent3" w:themeFillTint="66"/>
          </w:tcPr>
          <w:p w:rsidR="005F5B63" w:rsidRPr="000044D9" w:rsidRDefault="005F5B63" w:rsidP="00142A4B">
            <w:pPr>
              <w:spacing w:before="60" w:after="60" w:line="240" w:lineRule="auto"/>
              <w:rPr>
                <w:sz w:val="20"/>
              </w:rPr>
            </w:pPr>
            <w:r w:rsidRPr="000044D9">
              <w:rPr>
                <w:sz w:val="20"/>
              </w:rPr>
              <w:t>weniger als 50</w:t>
            </w:r>
          </w:p>
        </w:tc>
        <w:tc>
          <w:tcPr>
            <w:tcW w:w="1559" w:type="dxa"/>
            <w:gridSpan w:val="2"/>
            <w:shd w:val="clear" w:color="auto" w:fill="D6E3BC" w:themeFill="accent3" w:themeFillTint="66"/>
          </w:tcPr>
          <w:p w:rsidR="005F5B63" w:rsidRPr="000044D9" w:rsidRDefault="005F5B63" w:rsidP="00142A4B">
            <w:pPr>
              <w:spacing w:before="60" w:after="60" w:line="240" w:lineRule="auto"/>
              <w:rPr>
                <w:sz w:val="20"/>
              </w:rPr>
            </w:pPr>
            <w:r w:rsidRPr="000044D9">
              <w:rPr>
                <w:sz w:val="20"/>
              </w:rPr>
              <w:t>51 – 100</w:t>
            </w:r>
          </w:p>
        </w:tc>
        <w:tc>
          <w:tcPr>
            <w:tcW w:w="1667" w:type="dxa"/>
            <w:gridSpan w:val="2"/>
            <w:shd w:val="clear" w:color="auto" w:fill="D6E3BC" w:themeFill="accent3" w:themeFillTint="66"/>
          </w:tcPr>
          <w:p w:rsidR="005F5B63" w:rsidRPr="000044D9" w:rsidRDefault="005F5B63" w:rsidP="00142A4B">
            <w:pPr>
              <w:spacing w:before="60" w:after="60" w:line="240" w:lineRule="auto"/>
              <w:rPr>
                <w:sz w:val="20"/>
              </w:rPr>
            </w:pPr>
            <w:r w:rsidRPr="000044D9">
              <w:rPr>
                <w:sz w:val="20"/>
              </w:rPr>
              <w:t>mehr als 100</w:t>
            </w:r>
          </w:p>
        </w:tc>
      </w:tr>
      <w:tr w:rsidR="005F5B63" w:rsidRPr="000044D9" w:rsidTr="00142A4B">
        <w:tc>
          <w:tcPr>
            <w:tcW w:w="2892" w:type="dxa"/>
            <w:vMerge/>
            <w:tcBorders>
              <w:left w:val="nil"/>
            </w:tcBorders>
          </w:tcPr>
          <w:p w:rsidR="005F5B63" w:rsidRPr="000044D9" w:rsidRDefault="005F5B63" w:rsidP="00142A4B">
            <w:pPr>
              <w:spacing w:before="60" w:after="60" w:line="240" w:lineRule="auto"/>
              <w:rPr>
                <w:sz w:val="20"/>
              </w:rPr>
            </w:pPr>
          </w:p>
        </w:tc>
        <w:tc>
          <w:tcPr>
            <w:tcW w:w="760" w:type="dxa"/>
            <w:shd w:val="clear" w:color="auto" w:fill="D6E3BC" w:themeFill="accent3" w:themeFillTint="66"/>
          </w:tcPr>
          <w:p w:rsidR="005F5B63" w:rsidRPr="000044D9" w:rsidRDefault="005F5B63" w:rsidP="00142A4B">
            <w:pPr>
              <w:spacing w:before="60" w:after="60" w:line="240" w:lineRule="auto"/>
              <w:rPr>
                <w:sz w:val="20"/>
              </w:rPr>
            </w:pPr>
            <w:r>
              <w:rPr>
                <w:sz w:val="20"/>
              </w:rPr>
              <w:t>abs.</w:t>
            </w:r>
          </w:p>
        </w:tc>
        <w:tc>
          <w:tcPr>
            <w:tcW w:w="713" w:type="dxa"/>
            <w:shd w:val="clear" w:color="auto" w:fill="D6E3BC" w:themeFill="accent3" w:themeFillTint="66"/>
          </w:tcPr>
          <w:p w:rsidR="005F5B63" w:rsidRPr="000044D9" w:rsidRDefault="005F5B63" w:rsidP="00142A4B">
            <w:pPr>
              <w:spacing w:before="60" w:after="60" w:line="240" w:lineRule="auto"/>
              <w:rPr>
                <w:sz w:val="20"/>
              </w:rPr>
            </w:pPr>
            <w:r>
              <w:rPr>
                <w:sz w:val="20"/>
              </w:rPr>
              <w:t>in %</w:t>
            </w:r>
          </w:p>
        </w:tc>
        <w:tc>
          <w:tcPr>
            <w:tcW w:w="705" w:type="dxa"/>
            <w:shd w:val="clear" w:color="auto" w:fill="D6E3BC" w:themeFill="accent3" w:themeFillTint="66"/>
          </w:tcPr>
          <w:p w:rsidR="005F5B63" w:rsidRPr="000044D9" w:rsidRDefault="005F5B63" w:rsidP="00142A4B">
            <w:pPr>
              <w:spacing w:before="60" w:after="60" w:line="240" w:lineRule="auto"/>
              <w:rPr>
                <w:sz w:val="20"/>
              </w:rPr>
            </w:pPr>
            <w:r>
              <w:rPr>
                <w:sz w:val="20"/>
              </w:rPr>
              <w:t>abs.</w:t>
            </w:r>
          </w:p>
        </w:tc>
        <w:tc>
          <w:tcPr>
            <w:tcW w:w="992" w:type="dxa"/>
            <w:shd w:val="clear" w:color="auto" w:fill="D6E3BC" w:themeFill="accent3" w:themeFillTint="66"/>
          </w:tcPr>
          <w:p w:rsidR="005F5B63" w:rsidRPr="000044D9" w:rsidRDefault="005F5B63" w:rsidP="00142A4B">
            <w:pPr>
              <w:spacing w:before="60" w:after="60" w:line="240" w:lineRule="auto"/>
              <w:rPr>
                <w:sz w:val="20"/>
              </w:rPr>
            </w:pPr>
            <w:r>
              <w:rPr>
                <w:sz w:val="20"/>
              </w:rPr>
              <w:t>in %</w:t>
            </w:r>
          </w:p>
        </w:tc>
        <w:tc>
          <w:tcPr>
            <w:tcW w:w="709" w:type="dxa"/>
            <w:shd w:val="clear" w:color="auto" w:fill="D6E3BC" w:themeFill="accent3" w:themeFillTint="66"/>
          </w:tcPr>
          <w:p w:rsidR="005F5B63" w:rsidRPr="000044D9" w:rsidRDefault="005F5B63" w:rsidP="00142A4B">
            <w:pPr>
              <w:spacing w:before="60" w:after="60" w:line="240" w:lineRule="auto"/>
              <w:rPr>
                <w:sz w:val="20"/>
              </w:rPr>
            </w:pPr>
            <w:r>
              <w:rPr>
                <w:sz w:val="20"/>
              </w:rPr>
              <w:t>abs.</w:t>
            </w:r>
          </w:p>
        </w:tc>
        <w:tc>
          <w:tcPr>
            <w:tcW w:w="850" w:type="dxa"/>
            <w:shd w:val="clear" w:color="auto" w:fill="D6E3BC" w:themeFill="accent3" w:themeFillTint="66"/>
          </w:tcPr>
          <w:p w:rsidR="005F5B63" w:rsidRPr="000044D9" w:rsidRDefault="005F5B63" w:rsidP="00142A4B">
            <w:pPr>
              <w:spacing w:before="60" w:after="60" w:line="240" w:lineRule="auto"/>
              <w:rPr>
                <w:sz w:val="20"/>
              </w:rPr>
            </w:pPr>
            <w:r>
              <w:rPr>
                <w:sz w:val="20"/>
              </w:rPr>
              <w:t>in %</w:t>
            </w:r>
          </w:p>
        </w:tc>
        <w:tc>
          <w:tcPr>
            <w:tcW w:w="865" w:type="dxa"/>
            <w:shd w:val="clear" w:color="auto" w:fill="D6E3BC" w:themeFill="accent3" w:themeFillTint="66"/>
          </w:tcPr>
          <w:p w:rsidR="005F5B63" w:rsidRPr="000044D9" w:rsidRDefault="005F5B63" w:rsidP="00142A4B">
            <w:pPr>
              <w:spacing w:before="60" w:after="60" w:line="240" w:lineRule="auto"/>
              <w:rPr>
                <w:sz w:val="20"/>
              </w:rPr>
            </w:pPr>
            <w:r>
              <w:rPr>
                <w:sz w:val="20"/>
              </w:rPr>
              <w:t>abs.</w:t>
            </w:r>
          </w:p>
        </w:tc>
        <w:tc>
          <w:tcPr>
            <w:tcW w:w="802" w:type="dxa"/>
            <w:shd w:val="clear" w:color="auto" w:fill="D6E3BC" w:themeFill="accent3" w:themeFillTint="66"/>
          </w:tcPr>
          <w:p w:rsidR="005F5B63" w:rsidRPr="000044D9" w:rsidRDefault="005F5B63" w:rsidP="00142A4B">
            <w:pPr>
              <w:spacing w:before="60" w:after="60" w:line="240" w:lineRule="auto"/>
              <w:rPr>
                <w:sz w:val="20"/>
              </w:rPr>
            </w:pPr>
            <w:r>
              <w:rPr>
                <w:sz w:val="20"/>
              </w:rPr>
              <w:t>in %</w:t>
            </w:r>
          </w:p>
        </w:tc>
      </w:tr>
      <w:tr w:rsidR="005F5B63" w:rsidRPr="000044D9" w:rsidTr="00142A4B">
        <w:tc>
          <w:tcPr>
            <w:tcW w:w="2892" w:type="dxa"/>
          </w:tcPr>
          <w:p w:rsidR="005F5B63" w:rsidRPr="000044D9" w:rsidRDefault="005F5B63" w:rsidP="00142A4B">
            <w:pPr>
              <w:spacing w:before="60" w:after="60" w:line="240" w:lineRule="auto"/>
              <w:rPr>
                <w:sz w:val="20"/>
              </w:rPr>
            </w:pPr>
            <w:r w:rsidRPr="000044D9">
              <w:rPr>
                <w:sz w:val="20"/>
              </w:rPr>
              <w:t>Beratungseinrichtung</w:t>
            </w:r>
          </w:p>
        </w:tc>
        <w:tc>
          <w:tcPr>
            <w:tcW w:w="760" w:type="dxa"/>
          </w:tcPr>
          <w:p w:rsidR="005F5B63" w:rsidRPr="000044D9" w:rsidRDefault="005F5B63" w:rsidP="00142A4B">
            <w:pPr>
              <w:spacing w:before="60" w:after="60" w:line="240" w:lineRule="auto"/>
              <w:jc w:val="right"/>
              <w:rPr>
                <w:sz w:val="20"/>
              </w:rPr>
            </w:pPr>
            <w:r>
              <w:rPr>
                <w:sz w:val="20"/>
              </w:rPr>
              <w:t>62</w:t>
            </w:r>
          </w:p>
        </w:tc>
        <w:tc>
          <w:tcPr>
            <w:tcW w:w="713" w:type="dxa"/>
          </w:tcPr>
          <w:p w:rsidR="005F5B63" w:rsidRPr="000044D9" w:rsidRDefault="005F5B63" w:rsidP="00142A4B">
            <w:pPr>
              <w:spacing w:before="60" w:after="60" w:line="240" w:lineRule="auto"/>
              <w:jc w:val="right"/>
              <w:rPr>
                <w:sz w:val="20"/>
              </w:rPr>
            </w:pPr>
            <w:r>
              <w:rPr>
                <w:sz w:val="20"/>
              </w:rPr>
              <w:t>61%</w:t>
            </w:r>
          </w:p>
        </w:tc>
        <w:tc>
          <w:tcPr>
            <w:tcW w:w="705" w:type="dxa"/>
          </w:tcPr>
          <w:p w:rsidR="005F5B63" w:rsidRPr="000044D9" w:rsidRDefault="005F5B63" w:rsidP="00142A4B">
            <w:pPr>
              <w:spacing w:before="60" w:after="60" w:line="240" w:lineRule="auto"/>
              <w:jc w:val="right"/>
              <w:rPr>
                <w:sz w:val="20"/>
              </w:rPr>
            </w:pPr>
            <w:r>
              <w:rPr>
                <w:sz w:val="20"/>
              </w:rPr>
              <w:t>24</w:t>
            </w:r>
          </w:p>
        </w:tc>
        <w:tc>
          <w:tcPr>
            <w:tcW w:w="992" w:type="dxa"/>
          </w:tcPr>
          <w:p w:rsidR="005F5B63" w:rsidRPr="000044D9" w:rsidRDefault="005F5B63" w:rsidP="00142A4B">
            <w:pPr>
              <w:spacing w:before="60" w:after="60" w:line="240" w:lineRule="auto"/>
              <w:jc w:val="right"/>
              <w:rPr>
                <w:sz w:val="20"/>
              </w:rPr>
            </w:pPr>
            <w:r>
              <w:rPr>
                <w:sz w:val="20"/>
              </w:rPr>
              <w:t>24%</w:t>
            </w:r>
          </w:p>
        </w:tc>
        <w:tc>
          <w:tcPr>
            <w:tcW w:w="709" w:type="dxa"/>
          </w:tcPr>
          <w:p w:rsidR="005F5B63" w:rsidRPr="000044D9" w:rsidRDefault="005F5B63" w:rsidP="00142A4B">
            <w:pPr>
              <w:spacing w:before="60" w:after="60" w:line="240" w:lineRule="auto"/>
              <w:jc w:val="right"/>
              <w:rPr>
                <w:sz w:val="20"/>
              </w:rPr>
            </w:pPr>
            <w:r>
              <w:rPr>
                <w:sz w:val="20"/>
              </w:rPr>
              <w:t>7</w:t>
            </w:r>
          </w:p>
        </w:tc>
        <w:tc>
          <w:tcPr>
            <w:tcW w:w="850" w:type="dxa"/>
          </w:tcPr>
          <w:p w:rsidR="005F5B63" w:rsidRPr="000044D9" w:rsidRDefault="005F5B63" w:rsidP="00142A4B">
            <w:pPr>
              <w:spacing w:before="60" w:after="60" w:line="240" w:lineRule="auto"/>
              <w:jc w:val="right"/>
              <w:rPr>
                <w:sz w:val="20"/>
              </w:rPr>
            </w:pPr>
            <w:r>
              <w:rPr>
                <w:sz w:val="20"/>
              </w:rPr>
              <w:t>7%</w:t>
            </w:r>
          </w:p>
        </w:tc>
        <w:tc>
          <w:tcPr>
            <w:tcW w:w="865" w:type="dxa"/>
          </w:tcPr>
          <w:p w:rsidR="005F5B63" w:rsidRPr="000044D9" w:rsidRDefault="005F5B63" w:rsidP="00142A4B">
            <w:pPr>
              <w:spacing w:before="60" w:after="60" w:line="240" w:lineRule="auto"/>
              <w:jc w:val="right"/>
              <w:rPr>
                <w:sz w:val="20"/>
              </w:rPr>
            </w:pPr>
            <w:r>
              <w:rPr>
                <w:sz w:val="20"/>
              </w:rPr>
              <w:t>9</w:t>
            </w:r>
          </w:p>
        </w:tc>
        <w:tc>
          <w:tcPr>
            <w:tcW w:w="802" w:type="dxa"/>
          </w:tcPr>
          <w:p w:rsidR="005F5B63" w:rsidRPr="000044D9" w:rsidRDefault="005F5B63" w:rsidP="00142A4B">
            <w:pPr>
              <w:spacing w:before="60" w:after="60" w:line="240" w:lineRule="auto"/>
              <w:jc w:val="right"/>
              <w:rPr>
                <w:sz w:val="20"/>
              </w:rPr>
            </w:pPr>
            <w:r>
              <w:rPr>
                <w:sz w:val="20"/>
              </w:rPr>
              <w:t>9%</w:t>
            </w:r>
          </w:p>
        </w:tc>
      </w:tr>
      <w:tr w:rsidR="005F5B63" w:rsidRPr="000044D9" w:rsidTr="00142A4B">
        <w:tc>
          <w:tcPr>
            <w:tcW w:w="2892" w:type="dxa"/>
          </w:tcPr>
          <w:p w:rsidR="005F5B63" w:rsidRPr="000044D9" w:rsidRDefault="005F5B63" w:rsidP="00142A4B">
            <w:pPr>
              <w:spacing w:before="60" w:after="60" w:line="240" w:lineRule="auto"/>
              <w:rPr>
                <w:sz w:val="20"/>
              </w:rPr>
            </w:pPr>
            <w:r w:rsidRPr="000044D9">
              <w:rPr>
                <w:sz w:val="20"/>
              </w:rPr>
              <w:t>kommunales Wohnungsamt</w:t>
            </w:r>
          </w:p>
        </w:tc>
        <w:tc>
          <w:tcPr>
            <w:tcW w:w="760" w:type="dxa"/>
          </w:tcPr>
          <w:p w:rsidR="005F5B63" w:rsidRPr="000044D9" w:rsidRDefault="005F5B63" w:rsidP="00142A4B">
            <w:pPr>
              <w:spacing w:before="60" w:after="60" w:line="240" w:lineRule="auto"/>
              <w:jc w:val="right"/>
              <w:rPr>
                <w:sz w:val="20"/>
              </w:rPr>
            </w:pPr>
            <w:r>
              <w:rPr>
                <w:sz w:val="20"/>
              </w:rPr>
              <w:t>4</w:t>
            </w:r>
          </w:p>
        </w:tc>
        <w:tc>
          <w:tcPr>
            <w:tcW w:w="713" w:type="dxa"/>
          </w:tcPr>
          <w:p w:rsidR="005F5B63" w:rsidRPr="000044D9" w:rsidRDefault="005F5B63" w:rsidP="00142A4B">
            <w:pPr>
              <w:spacing w:before="60" w:after="60" w:line="240" w:lineRule="auto"/>
              <w:jc w:val="right"/>
              <w:rPr>
                <w:sz w:val="20"/>
              </w:rPr>
            </w:pPr>
            <w:r>
              <w:rPr>
                <w:sz w:val="20"/>
              </w:rPr>
              <w:t>8%</w:t>
            </w:r>
          </w:p>
        </w:tc>
        <w:tc>
          <w:tcPr>
            <w:tcW w:w="705" w:type="dxa"/>
          </w:tcPr>
          <w:p w:rsidR="005F5B63" w:rsidRPr="000044D9" w:rsidRDefault="005F5B63" w:rsidP="00142A4B">
            <w:pPr>
              <w:spacing w:before="60" w:after="60" w:line="240" w:lineRule="auto"/>
              <w:jc w:val="right"/>
              <w:rPr>
                <w:sz w:val="20"/>
              </w:rPr>
            </w:pPr>
            <w:r>
              <w:rPr>
                <w:sz w:val="20"/>
              </w:rPr>
              <w:t>13</w:t>
            </w:r>
          </w:p>
        </w:tc>
        <w:tc>
          <w:tcPr>
            <w:tcW w:w="992" w:type="dxa"/>
          </w:tcPr>
          <w:p w:rsidR="005F5B63" w:rsidRPr="000044D9" w:rsidRDefault="005F5B63" w:rsidP="00142A4B">
            <w:pPr>
              <w:spacing w:before="60" w:after="60" w:line="240" w:lineRule="auto"/>
              <w:jc w:val="right"/>
              <w:rPr>
                <w:sz w:val="20"/>
              </w:rPr>
            </w:pPr>
            <w:r>
              <w:rPr>
                <w:sz w:val="20"/>
              </w:rPr>
              <w:t>27%</w:t>
            </w:r>
          </w:p>
        </w:tc>
        <w:tc>
          <w:tcPr>
            <w:tcW w:w="709" w:type="dxa"/>
          </w:tcPr>
          <w:p w:rsidR="005F5B63" w:rsidRPr="000044D9" w:rsidRDefault="005F5B63" w:rsidP="00142A4B">
            <w:pPr>
              <w:spacing w:before="60" w:after="60" w:line="240" w:lineRule="auto"/>
              <w:jc w:val="right"/>
              <w:rPr>
                <w:sz w:val="20"/>
              </w:rPr>
            </w:pPr>
            <w:r>
              <w:rPr>
                <w:sz w:val="20"/>
              </w:rPr>
              <w:t>14</w:t>
            </w:r>
          </w:p>
        </w:tc>
        <w:tc>
          <w:tcPr>
            <w:tcW w:w="850" w:type="dxa"/>
          </w:tcPr>
          <w:p w:rsidR="005F5B63" w:rsidRPr="000044D9" w:rsidRDefault="005F5B63" w:rsidP="00142A4B">
            <w:pPr>
              <w:spacing w:before="60" w:after="60" w:line="240" w:lineRule="auto"/>
              <w:jc w:val="right"/>
              <w:rPr>
                <w:sz w:val="20"/>
              </w:rPr>
            </w:pPr>
            <w:r>
              <w:rPr>
                <w:sz w:val="20"/>
              </w:rPr>
              <w:t>29%</w:t>
            </w:r>
          </w:p>
        </w:tc>
        <w:tc>
          <w:tcPr>
            <w:tcW w:w="865" w:type="dxa"/>
          </w:tcPr>
          <w:p w:rsidR="005F5B63" w:rsidRPr="000044D9" w:rsidRDefault="005F5B63" w:rsidP="00142A4B">
            <w:pPr>
              <w:spacing w:before="60" w:after="60" w:line="240" w:lineRule="auto"/>
              <w:jc w:val="right"/>
              <w:rPr>
                <w:sz w:val="20"/>
              </w:rPr>
            </w:pPr>
            <w:r>
              <w:rPr>
                <w:sz w:val="20"/>
              </w:rPr>
              <w:t>18</w:t>
            </w:r>
          </w:p>
        </w:tc>
        <w:tc>
          <w:tcPr>
            <w:tcW w:w="802" w:type="dxa"/>
          </w:tcPr>
          <w:p w:rsidR="005F5B63" w:rsidRPr="000044D9" w:rsidRDefault="005F5B63" w:rsidP="00142A4B">
            <w:pPr>
              <w:spacing w:before="60" w:after="60" w:line="240" w:lineRule="auto"/>
              <w:jc w:val="right"/>
              <w:rPr>
                <w:sz w:val="20"/>
              </w:rPr>
            </w:pPr>
            <w:r>
              <w:rPr>
                <w:sz w:val="20"/>
              </w:rPr>
              <w:t>37%</w:t>
            </w:r>
          </w:p>
        </w:tc>
      </w:tr>
      <w:tr w:rsidR="005F5B63" w:rsidRPr="000044D9" w:rsidTr="00142A4B">
        <w:tc>
          <w:tcPr>
            <w:tcW w:w="2892" w:type="dxa"/>
          </w:tcPr>
          <w:p w:rsidR="005F5B63" w:rsidRPr="000044D9" w:rsidRDefault="005F5B63" w:rsidP="00142A4B">
            <w:pPr>
              <w:spacing w:before="60" w:after="60" w:line="240" w:lineRule="auto"/>
              <w:rPr>
                <w:sz w:val="20"/>
              </w:rPr>
            </w:pPr>
            <w:r w:rsidRPr="000044D9">
              <w:rPr>
                <w:sz w:val="20"/>
              </w:rPr>
              <w:t>privater Wohnbauträger</w:t>
            </w:r>
          </w:p>
        </w:tc>
        <w:tc>
          <w:tcPr>
            <w:tcW w:w="760" w:type="dxa"/>
          </w:tcPr>
          <w:p w:rsidR="005F5B63" w:rsidRPr="000044D9" w:rsidRDefault="005F5B63" w:rsidP="00142A4B">
            <w:pPr>
              <w:spacing w:before="60" w:after="60" w:line="240" w:lineRule="auto"/>
              <w:jc w:val="right"/>
              <w:rPr>
                <w:sz w:val="20"/>
              </w:rPr>
            </w:pPr>
            <w:r>
              <w:rPr>
                <w:sz w:val="20"/>
              </w:rPr>
              <w:t>4</w:t>
            </w:r>
          </w:p>
        </w:tc>
        <w:tc>
          <w:tcPr>
            <w:tcW w:w="713" w:type="dxa"/>
          </w:tcPr>
          <w:p w:rsidR="005F5B63" w:rsidRPr="000044D9" w:rsidRDefault="005F5B63" w:rsidP="00142A4B">
            <w:pPr>
              <w:spacing w:before="60" w:after="60" w:line="240" w:lineRule="auto"/>
              <w:jc w:val="right"/>
              <w:rPr>
                <w:sz w:val="20"/>
              </w:rPr>
            </w:pPr>
            <w:r>
              <w:rPr>
                <w:sz w:val="20"/>
              </w:rPr>
              <w:t>21%</w:t>
            </w:r>
          </w:p>
        </w:tc>
        <w:tc>
          <w:tcPr>
            <w:tcW w:w="705" w:type="dxa"/>
          </w:tcPr>
          <w:p w:rsidR="005F5B63" w:rsidRPr="000044D9" w:rsidRDefault="005F5B63" w:rsidP="00142A4B">
            <w:pPr>
              <w:spacing w:before="60" w:after="60" w:line="240" w:lineRule="auto"/>
              <w:jc w:val="right"/>
              <w:rPr>
                <w:sz w:val="20"/>
              </w:rPr>
            </w:pPr>
            <w:r>
              <w:rPr>
                <w:sz w:val="20"/>
              </w:rPr>
              <w:t>10</w:t>
            </w:r>
          </w:p>
        </w:tc>
        <w:tc>
          <w:tcPr>
            <w:tcW w:w="992" w:type="dxa"/>
          </w:tcPr>
          <w:p w:rsidR="005F5B63" w:rsidRPr="000044D9" w:rsidRDefault="005F5B63" w:rsidP="00142A4B">
            <w:pPr>
              <w:spacing w:before="60" w:after="60" w:line="240" w:lineRule="auto"/>
              <w:jc w:val="right"/>
              <w:rPr>
                <w:sz w:val="20"/>
              </w:rPr>
            </w:pPr>
            <w:r>
              <w:rPr>
                <w:sz w:val="20"/>
              </w:rPr>
              <w:t>53%</w:t>
            </w:r>
          </w:p>
        </w:tc>
        <w:tc>
          <w:tcPr>
            <w:tcW w:w="709" w:type="dxa"/>
          </w:tcPr>
          <w:p w:rsidR="005F5B63" w:rsidRPr="000044D9" w:rsidRDefault="005F5B63" w:rsidP="00142A4B">
            <w:pPr>
              <w:spacing w:before="60" w:after="60" w:line="240" w:lineRule="auto"/>
              <w:jc w:val="right"/>
              <w:rPr>
                <w:sz w:val="20"/>
              </w:rPr>
            </w:pPr>
            <w:r>
              <w:rPr>
                <w:sz w:val="20"/>
              </w:rPr>
              <w:t>4</w:t>
            </w:r>
          </w:p>
        </w:tc>
        <w:tc>
          <w:tcPr>
            <w:tcW w:w="850" w:type="dxa"/>
          </w:tcPr>
          <w:p w:rsidR="005F5B63" w:rsidRPr="000044D9" w:rsidRDefault="005F5B63" w:rsidP="00142A4B">
            <w:pPr>
              <w:spacing w:before="60" w:after="60" w:line="240" w:lineRule="auto"/>
              <w:jc w:val="right"/>
              <w:rPr>
                <w:sz w:val="20"/>
              </w:rPr>
            </w:pPr>
            <w:r>
              <w:rPr>
                <w:sz w:val="20"/>
              </w:rPr>
              <w:t>21%</w:t>
            </w:r>
          </w:p>
        </w:tc>
        <w:tc>
          <w:tcPr>
            <w:tcW w:w="865" w:type="dxa"/>
          </w:tcPr>
          <w:p w:rsidR="005F5B63" w:rsidRPr="000044D9" w:rsidRDefault="005F5B63" w:rsidP="00142A4B">
            <w:pPr>
              <w:spacing w:before="60" w:after="60" w:line="240" w:lineRule="auto"/>
              <w:jc w:val="right"/>
              <w:rPr>
                <w:sz w:val="20"/>
              </w:rPr>
            </w:pPr>
            <w:r>
              <w:rPr>
                <w:sz w:val="20"/>
              </w:rPr>
              <w:t>1</w:t>
            </w:r>
          </w:p>
        </w:tc>
        <w:tc>
          <w:tcPr>
            <w:tcW w:w="802" w:type="dxa"/>
          </w:tcPr>
          <w:p w:rsidR="005F5B63" w:rsidRPr="000044D9" w:rsidRDefault="005F5B63" w:rsidP="00142A4B">
            <w:pPr>
              <w:spacing w:before="60" w:after="60" w:line="240" w:lineRule="auto"/>
              <w:jc w:val="right"/>
              <w:rPr>
                <w:sz w:val="20"/>
              </w:rPr>
            </w:pPr>
            <w:r>
              <w:rPr>
                <w:sz w:val="20"/>
              </w:rPr>
              <w:t>5%</w:t>
            </w:r>
          </w:p>
        </w:tc>
      </w:tr>
      <w:tr w:rsidR="005F5B63" w:rsidRPr="000044D9" w:rsidTr="00142A4B">
        <w:tc>
          <w:tcPr>
            <w:tcW w:w="2892" w:type="dxa"/>
          </w:tcPr>
          <w:p w:rsidR="005F5B63" w:rsidRPr="000044D9" w:rsidRDefault="005F5B63" w:rsidP="00142A4B">
            <w:pPr>
              <w:spacing w:before="60" w:after="60" w:line="240" w:lineRule="auto"/>
              <w:rPr>
                <w:sz w:val="20"/>
              </w:rPr>
            </w:pPr>
            <w:r w:rsidRPr="000044D9">
              <w:rPr>
                <w:sz w:val="20"/>
              </w:rPr>
              <w:t>gemeinnütziger Wohnbautr</w:t>
            </w:r>
            <w:r w:rsidRPr="000044D9">
              <w:rPr>
                <w:sz w:val="20"/>
              </w:rPr>
              <w:t>ä</w:t>
            </w:r>
            <w:r w:rsidRPr="000044D9">
              <w:rPr>
                <w:sz w:val="20"/>
              </w:rPr>
              <w:t>ger</w:t>
            </w:r>
          </w:p>
        </w:tc>
        <w:tc>
          <w:tcPr>
            <w:tcW w:w="760" w:type="dxa"/>
            <w:vAlign w:val="center"/>
          </w:tcPr>
          <w:p w:rsidR="005F5B63" w:rsidRPr="000044D9" w:rsidRDefault="005F5B63" w:rsidP="00142A4B">
            <w:pPr>
              <w:spacing w:before="60" w:after="60" w:line="240" w:lineRule="auto"/>
              <w:jc w:val="right"/>
              <w:rPr>
                <w:sz w:val="20"/>
              </w:rPr>
            </w:pPr>
            <w:r>
              <w:rPr>
                <w:sz w:val="20"/>
              </w:rPr>
              <w:t>3</w:t>
            </w:r>
          </w:p>
        </w:tc>
        <w:tc>
          <w:tcPr>
            <w:tcW w:w="713" w:type="dxa"/>
            <w:vAlign w:val="center"/>
          </w:tcPr>
          <w:p w:rsidR="005F5B63" w:rsidRPr="000044D9" w:rsidRDefault="005F5B63" w:rsidP="00142A4B">
            <w:pPr>
              <w:spacing w:before="60" w:after="60" w:line="240" w:lineRule="auto"/>
              <w:jc w:val="right"/>
              <w:rPr>
                <w:sz w:val="20"/>
              </w:rPr>
            </w:pPr>
            <w:r>
              <w:rPr>
                <w:sz w:val="20"/>
              </w:rPr>
              <w:t>8%</w:t>
            </w:r>
          </w:p>
        </w:tc>
        <w:tc>
          <w:tcPr>
            <w:tcW w:w="705" w:type="dxa"/>
            <w:vAlign w:val="center"/>
          </w:tcPr>
          <w:p w:rsidR="005F5B63" w:rsidRPr="000044D9" w:rsidRDefault="005F5B63" w:rsidP="00142A4B">
            <w:pPr>
              <w:spacing w:before="60" w:after="60" w:line="240" w:lineRule="auto"/>
              <w:jc w:val="right"/>
              <w:rPr>
                <w:sz w:val="20"/>
              </w:rPr>
            </w:pPr>
            <w:r>
              <w:rPr>
                <w:sz w:val="20"/>
              </w:rPr>
              <w:t>9</w:t>
            </w:r>
          </w:p>
        </w:tc>
        <w:tc>
          <w:tcPr>
            <w:tcW w:w="992" w:type="dxa"/>
            <w:vAlign w:val="center"/>
          </w:tcPr>
          <w:p w:rsidR="005F5B63" w:rsidRPr="000044D9" w:rsidRDefault="005F5B63" w:rsidP="00142A4B">
            <w:pPr>
              <w:spacing w:before="60" w:after="60" w:line="240" w:lineRule="auto"/>
              <w:jc w:val="right"/>
              <w:rPr>
                <w:sz w:val="20"/>
              </w:rPr>
            </w:pPr>
            <w:r>
              <w:rPr>
                <w:sz w:val="20"/>
              </w:rPr>
              <w:t>24%</w:t>
            </w:r>
          </w:p>
        </w:tc>
        <w:tc>
          <w:tcPr>
            <w:tcW w:w="709" w:type="dxa"/>
            <w:vAlign w:val="center"/>
          </w:tcPr>
          <w:p w:rsidR="005F5B63" w:rsidRPr="000044D9" w:rsidRDefault="005F5B63" w:rsidP="00142A4B">
            <w:pPr>
              <w:spacing w:before="60" w:after="60" w:line="240" w:lineRule="auto"/>
              <w:jc w:val="right"/>
              <w:rPr>
                <w:sz w:val="20"/>
              </w:rPr>
            </w:pPr>
            <w:r>
              <w:rPr>
                <w:sz w:val="20"/>
              </w:rPr>
              <w:t>7</w:t>
            </w:r>
          </w:p>
        </w:tc>
        <w:tc>
          <w:tcPr>
            <w:tcW w:w="850" w:type="dxa"/>
            <w:vAlign w:val="center"/>
          </w:tcPr>
          <w:p w:rsidR="005F5B63" w:rsidRPr="000044D9" w:rsidRDefault="005F5B63" w:rsidP="00142A4B">
            <w:pPr>
              <w:spacing w:before="60" w:after="60" w:line="240" w:lineRule="auto"/>
              <w:jc w:val="right"/>
              <w:rPr>
                <w:sz w:val="20"/>
              </w:rPr>
            </w:pPr>
            <w:r>
              <w:rPr>
                <w:sz w:val="20"/>
              </w:rPr>
              <w:t>19%</w:t>
            </w:r>
          </w:p>
        </w:tc>
        <w:tc>
          <w:tcPr>
            <w:tcW w:w="865" w:type="dxa"/>
            <w:vAlign w:val="center"/>
          </w:tcPr>
          <w:p w:rsidR="005F5B63" w:rsidRPr="000044D9" w:rsidRDefault="005F5B63" w:rsidP="00142A4B">
            <w:pPr>
              <w:spacing w:before="60" w:after="60" w:line="240" w:lineRule="auto"/>
              <w:jc w:val="right"/>
              <w:rPr>
                <w:sz w:val="20"/>
              </w:rPr>
            </w:pPr>
            <w:r>
              <w:rPr>
                <w:sz w:val="20"/>
              </w:rPr>
              <w:t>18</w:t>
            </w:r>
          </w:p>
        </w:tc>
        <w:tc>
          <w:tcPr>
            <w:tcW w:w="802" w:type="dxa"/>
            <w:vAlign w:val="center"/>
          </w:tcPr>
          <w:p w:rsidR="005F5B63" w:rsidRPr="000044D9" w:rsidRDefault="005F5B63" w:rsidP="00142A4B">
            <w:pPr>
              <w:spacing w:before="60" w:after="60" w:line="240" w:lineRule="auto"/>
              <w:jc w:val="right"/>
              <w:rPr>
                <w:sz w:val="20"/>
              </w:rPr>
            </w:pPr>
            <w:r>
              <w:rPr>
                <w:sz w:val="20"/>
              </w:rPr>
              <w:t>49%</w:t>
            </w:r>
          </w:p>
        </w:tc>
      </w:tr>
    </w:tbl>
    <w:p w:rsidR="005F5B63" w:rsidRDefault="005F5B63" w:rsidP="005F5B63"/>
    <w:p w:rsidR="005F5B63" w:rsidRDefault="005F5B63" w:rsidP="00FF2B86">
      <w:pPr>
        <w:pStyle w:val="Untertitel"/>
      </w:pPr>
      <w:r>
        <w:t>Tab. 11: Benachteiligung von Nicht-ÖsterreicherInnen am Wohnungsmarkt</w:t>
      </w:r>
    </w:p>
    <w:tbl>
      <w:tblPr>
        <w:tblW w:w="8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552"/>
        <w:gridCol w:w="608"/>
        <w:gridCol w:w="609"/>
        <w:gridCol w:w="609"/>
        <w:gridCol w:w="609"/>
        <w:gridCol w:w="608"/>
        <w:gridCol w:w="609"/>
        <w:gridCol w:w="609"/>
        <w:gridCol w:w="609"/>
        <w:gridCol w:w="609"/>
        <w:gridCol w:w="609"/>
      </w:tblGrid>
      <w:tr w:rsidR="005F5B63" w:rsidRPr="00531887" w:rsidTr="00142A4B">
        <w:trPr>
          <w:trHeight w:val="600"/>
        </w:trPr>
        <w:tc>
          <w:tcPr>
            <w:tcW w:w="2552" w:type="dxa"/>
            <w:shd w:val="clear" w:color="auto" w:fill="D6E3BC" w:themeFill="accent3" w:themeFillTint="66"/>
            <w:vAlign w:val="center"/>
          </w:tcPr>
          <w:p w:rsidR="005F5B63" w:rsidRPr="00531887" w:rsidRDefault="005F5B63" w:rsidP="00142A4B">
            <w:pPr>
              <w:spacing w:after="0" w:line="240" w:lineRule="auto"/>
              <w:rPr>
                <w:rFonts w:ascii="Microsoft Sans Serif" w:hAnsi="Microsoft Sans Serif" w:cs="Microsoft Sans Serif"/>
                <w:bCs/>
                <w:color w:val="000000"/>
                <w:sz w:val="20"/>
                <w:szCs w:val="20"/>
                <w:lang w:val="de-AT" w:eastAsia="de-AT"/>
              </w:rPr>
            </w:pPr>
            <w:r>
              <w:rPr>
                <w:rFonts w:ascii="Microsoft Sans Serif" w:hAnsi="Microsoft Sans Serif" w:cs="Microsoft Sans Serif"/>
                <w:bCs/>
                <w:color w:val="000000"/>
                <w:sz w:val="20"/>
                <w:szCs w:val="20"/>
                <w:lang w:val="de-AT" w:eastAsia="de-AT"/>
              </w:rPr>
              <w:t>ursächlich für Benachteil</w:t>
            </w:r>
            <w:r>
              <w:rPr>
                <w:rFonts w:ascii="Microsoft Sans Serif" w:hAnsi="Microsoft Sans Serif" w:cs="Microsoft Sans Serif"/>
                <w:bCs/>
                <w:color w:val="000000"/>
                <w:sz w:val="20"/>
                <w:szCs w:val="20"/>
                <w:lang w:val="de-AT" w:eastAsia="de-AT"/>
              </w:rPr>
              <w:t>i</w:t>
            </w:r>
            <w:r>
              <w:rPr>
                <w:rFonts w:ascii="Microsoft Sans Serif" w:hAnsi="Microsoft Sans Serif" w:cs="Microsoft Sans Serif"/>
                <w:bCs/>
                <w:color w:val="000000"/>
                <w:sz w:val="20"/>
                <w:szCs w:val="20"/>
                <w:lang w:val="de-AT" w:eastAsia="de-AT"/>
              </w:rPr>
              <w:t>gung</w:t>
            </w:r>
          </w:p>
        </w:tc>
        <w:tc>
          <w:tcPr>
            <w:tcW w:w="1217" w:type="dxa"/>
            <w:gridSpan w:val="2"/>
            <w:shd w:val="clear" w:color="auto" w:fill="D6E3BC" w:themeFill="accent3" w:themeFillTint="66"/>
            <w:vAlign w:val="center"/>
            <w:hideMark/>
          </w:tcPr>
          <w:p w:rsidR="005F5B63" w:rsidRPr="00531887" w:rsidRDefault="005F5B63" w:rsidP="00142A4B">
            <w:pPr>
              <w:spacing w:after="0" w:line="240" w:lineRule="auto"/>
              <w:rPr>
                <w:rFonts w:ascii="Microsoft Sans Serif" w:hAnsi="Microsoft Sans Serif" w:cs="Microsoft Sans Serif"/>
                <w:bCs/>
                <w:color w:val="000000"/>
                <w:sz w:val="20"/>
                <w:szCs w:val="20"/>
                <w:lang w:val="de-AT" w:eastAsia="de-AT"/>
              </w:rPr>
            </w:pPr>
            <w:r w:rsidRPr="00531887">
              <w:rPr>
                <w:rFonts w:ascii="Microsoft Sans Serif" w:hAnsi="Microsoft Sans Serif" w:cs="Microsoft Sans Serif"/>
                <w:bCs/>
                <w:color w:val="000000"/>
                <w:sz w:val="20"/>
                <w:szCs w:val="20"/>
                <w:lang w:val="de-AT" w:eastAsia="de-AT"/>
              </w:rPr>
              <w:t>trifft zu</w:t>
            </w:r>
          </w:p>
        </w:tc>
        <w:tc>
          <w:tcPr>
            <w:tcW w:w="1218" w:type="dxa"/>
            <w:gridSpan w:val="2"/>
            <w:shd w:val="clear" w:color="auto" w:fill="D6E3BC" w:themeFill="accent3" w:themeFillTint="66"/>
            <w:vAlign w:val="center"/>
            <w:hideMark/>
          </w:tcPr>
          <w:p w:rsidR="005F5B63" w:rsidRPr="00531887" w:rsidRDefault="005F5B63" w:rsidP="00142A4B">
            <w:pPr>
              <w:spacing w:after="0" w:line="240" w:lineRule="auto"/>
              <w:rPr>
                <w:rFonts w:ascii="Microsoft Sans Serif" w:hAnsi="Microsoft Sans Serif" w:cs="Microsoft Sans Serif"/>
                <w:bCs/>
                <w:color w:val="000000"/>
                <w:sz w:val="20"/>
                <w:szCs w:val="20"/>
                <w:lang w:val="de-AT" w:eastAsia="de-AT"/>
              </w:rPr>
            </w:pPr>
            <w:r w:rsidRPr="00531887">
              <w:rPr>
                <w:rFonts w:ascii="Microsoft Sans Serif" w:hAnsi="Microsoft Sans Serif" w:cs="Microsoft Sans Serif"/>
                <w:bCs/>
                <w:color w:val="000000"/>
                <w:sz w:val="20"/>
                <w:szCs w:val="20"/>
                <w:lang w:val="de-AT" w:eastAsia="de-AT"/>
              </w:rPr>
              <w:t>trifft eher zu</w:t>
            </w:r>
          </w:p>
        </w:tc>
        <w:tc>
          <w:tcPr>
            <w:tcW w:w="1217" w:type="dxa"/>
            <w:gridSpan w:val="2"/>
            <w:shd w:val="clear" w:color="auto" w:fill="D6E3BC" w:themeFill="accent3" w:themeFillTint="66"/>
            <w:vAlign w:val="center"/>
            <w:hideMark/>
          </w:tcPr>
          <w:p w:rsidR="005F5B63" w:rsidRPr="00531887" w:rsidRDefault="005F5B63" w:rsidP="00142A4B">
            <w:pPr>
              <w:spacing w:after="0" w:line="240" w:lineRule="auto"/>
              <w:rPr>
                <w:rFonts w:ascii="Microsoft Sans Serif" w:hAnsi="Microsoft Sans Serif" w:cs="Microsoft Sans Serif"/>
                <w:bCs/>
                <w:color w:val="000000"/>
                <w:sz w:val="20"/>
                <w:szCs w:val="20"/>
                <w:lang w:val="de-AT" w:eastAsia="de-AT"/>
              </w:rPr>
            </w:pPr>
            <w:r w:rsidRPr="00531887">
              <w:rPr>
                <w:rFonts w:ascii="Microsoft Sans Serif" w:hAnsi="Microsoft Sans Serif" w:cs="Microsoft Sans Serif"/>
                <w:bCs/>
                <w:color w:val="000000"/>
                <w:sz w:val="20"/>
                <w:szCs w:val="20"/>
                <w:lang w:val="de-AT" w:eastAsia="de-AT"/>
              </w:rPr>
              <w:t>trifft eher nicht zu</w:t>
            </w:r>
          </w:p>
        </w:tc>
        <w:tc>
          <w:tcPr>
            <w:tcW w:w="1218" w:type="dxa"/>
            <w:gridSpan w:val="2"/>
            <w:shd w:val="clear" w:color="auto" w:fill="D6E3BC" w:themeFill="accent3" w:themeFillTint="66"/>
            <w:vAlign w:val="center"/>
            <w:hideMark/>
          </w:tcPr>
          <w:p w:rsidR="005F5B63" w:rsidRPr="00531887" w:rsidRDefault="005F5B63" w:rsidP="00142A4B">
            <w:pPr>
              <w:spacing w:after="0" w:line="240" w:lineRule="auto"/>
              <w:rPr>
                <w:rFonts w:ascii="Microsoft Sans Serif" w:hAnsi="Microsoft Sans Serif" w:cs="Microsoft Sans Serif"/>
                <w:bCs/>
                <w:color w:val="000000"/>
                <w:sz w:val="20"/>
                <w:szCs w:val="20"/>
                <w:lang w:val="de-AT" w:eastAsia="de-AT"/>
              </w:rPr>
            </w:pPr>
            <w:r w:rsidRPr="00531887">
              <w:rPr>
                <w:rFonts w:ascii="Microsoft Sans Serif" w:hAnsi="Microsoft Sans Serif" w:cs="Microsoft Sans Serif"/>
                <w:bCs/>
                <w:color w:val="000000"/>
                <w:sz w:val="20"/>
                <w:szCs w:val="20"/>
                <w:lang w:val="de-AT" w:eastAsia="de-AT"/>
              </w:rPr>
              <w:t>trifft gar nicht zu</w:t>
            </w:r>
          </w:p>
        </w:tc>
        <w:tc>
          <w:tcPr>
            <w:tcW w:w="1218" w:type="dxa"/>
            <w:gridSpan w:val="2"/>
            <w:shd w:val="clear" w:color="auto" w:fill="D6E3BC" w:themeFill="accent3" w:themeFillTint="66"/>
            <w:vAlign w:val="center"/>
            <w:hideMark/>
          </w:tcPr>
          <w:p w:rsidR="005F5B63" w:rsidRPr="00531887" w:rsidRDefault="005F5B63" w:rsidP="00142A4B">
            <w:pPr>
              <w:spacing w:after="0" w:line="240" w:lineRule="auto"/>
              <w:rPr>
                <w:rFonts w:ascii="Microsoft Sans Serif" w:hAnsi="Microsoft Sans Serif" w:cs="Microsoft Sans Serif"/>
                <w:bCs/>
                <w:color w:val="000000"/>
                <w:sz w:val="20"/>
                <w:szCs w:val="20"/>
                <w:lang w:val="de-AT" w:eastAsia="de-AT"/>
              </w:rPr>
            </w:pPr>
            <w:r w:rsidRPr="00531887">
              <w:rPr>
                <w:rFonts w:ascii="Microsoft Sans Serif" w:hAnsi="Microsoft Sans Serif" w:cs="Microsoft Sans Serif"/>
                <w:bCs/>
                <w:color w:val="000000"/>
                <w:sz w:val="20"/>
                <w:szCs w:val="20"/>
                <w:lang w:val="de-AT" w:eastAsia="de-AT"/>
              </w:rPr>
              <w:t>weiß nicht</w:t>
            </w:r>
          </w:p>
        </w:tc>
      </w:tr>
      <w:tr w:rsidR="005F5B63" w:rsidRPr="00531887" w:rsidTr="00142A4B">
        <w:trPr>
          <w:trHeight w:val="255"/>
        </w:trPr>
        <w:tc>
          <w:tcPr>
            <w:tcW w:w="2552" w:type="dxa"/>
            <w:shd w:val="clear" w:color="auto" w:fill="FFFFFF" w:themeFill="background1"/>
            <w:vAlign w:val="bottom"/>
          </w:tcPr>
          <w:p w:rsidR="005F5B63" w:rsidRPr="00531887" w:rsidRDefault="005F5B63" w:rsidP="00142A4B">
            <w:pPr>
              <w:spacing w:after="0" w:line="240" w:lineRule="auto"/>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gesetzliche Bestimmung</w:t>
            </w:r>
          </w:p>
        </w:tc>
        <w:tc>
          <w:tcPr>
            <w:tcW w:w="608" w:type="dxa"/>
            <w:shd w:val="clear" w:color="auto" w:fill="FFFFFF" w:themeFill="background1"/>
            <w:noWrap/>
            <w:vAlign w:val="center"/>
            <w:hideMark/>
          </w:tcPr>
          <w:p w:rsidR="005F5B63" w:rsidRPr="00531887" w:rsidRDefault="005F5B63" w:rsidP="00142A4B">
            <w:pPr>
              <w:spacing w:after="0" w:line="240" w:lineRule="auto"/>
              <w:jc w:val="right"/>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28</w:t>
            </w:r>
          </w:p>
        </w:tc>
        <w:tc>
          <w:tcPr>
            <w:tcW w:w="609" w:type="dxa"/>
            <w:shd w:val="clear" w:color="auto" w:fill="FFFFFF" w:themeFill="background1"/>
            <w:vAlign w:val="center"/>
          </w:tcPr>
          <w:p w:rsidR="005F5B63" w:rsidRPr="00531887" w:rsidRDefault="005F5B63" w:rsidP="00142A4B">
            <w:pPr>
              <w:spacing w:after="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15%</w:t>
            </w:r>
          </w:p>
        </w:tc>
        <w:tc>
          <w:tcPr>
            <w:tcW w:w="609" w:type="dxa"/>
            <w:shd w:val="clear" w:color="auto" w:fill="FFFFFF" w:themeFill="background1"/>
            <w:noWrap/>
            <w:vAlign w:val="center"/>
            <w:hideMark/>
          </w:tcPr>
          <w:p w:rsidR="005F5B63" w:rsidRPr="00531887" w:rsidRDefault="005F5B63" w:rsidP="00142A4B">
            <w:pPr>
              <w:spacing w:after="0" w:line="240" w:lineRule="auto"/>
              <w:jc w:val="right"/>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28</w:t>
            </w:r>
          </w:p>
        </w:tc>
        <w:tc>
          <w:tcPr>
            <w:tcW w:w="609" w:type="dxa"/>
            <w:shd w:val="clear" w:color="auto" w:fill="FFFFFF" w:themeFill="background1"/>
            <w:vAlign w:val="center"/>
          </w:tcPr>
          <w:p w:rsidR="005F5B63" w:rsidRPr="00531887" w:rsidRDefault="005F5B63" w:rsidP="00142A4B">
            <w:pPr>
              <w:spacing w:after="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15%</w:t>
            </w:r>
          </w:p>
        </w:tc>
        <w:tc>
          <w:tcPr>
            <w:tcW w:w="608" w:type="dxa"/>
            <w:shd w:val="clear" w:color="auto" w:fill="FFFFFF" w:themeFill="background1"/>
            <w:noWrap/>
            <w:vAlign w:val="center"/>
            <w:hideMark/>
          </w:tcPr>
          <w:p w:rsidR="005F5B63" w:rsidRPr="00531887" w:rsidRDefault="005F5B63" w:rsidP="00142A4B">
            <w:pPr>
              <w:spacing w:after="0" w:line="240" w:lineRule="auto"/>
              <w:jc w:val="right"/>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31</w:t>
            </w:r>
          </w:p>
        </w:tc>
        <w:tc>
          <w:tcPr>
            <w:tcW w:w="609" w:type="dxa"/>
            <w:shd w:val="clear" w:color="auto" w:fill="FFFFFF" w:themeFill="background1"/>
            <w:vAlign w:val="center"/>
          </w:tcPr>
          <w:p w:rsidR="005F5B63" w:rsidRPr="00531887" w:rsidRDefault="005F5B63" w:rsidP="00142A4B">
            <w:pPr>
              <w:spacing w:after="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16%</w:t>
            </w:r>
          </w:p>
        </w:tc>
        <w:tc>
          <w:tcPr>
            <w:tcW w:w="609" w:type="dxa"/>
            <w:shd w:val="clear" w:color="auto" w:fill="FFFFFF" w:themeFill="background1"/>
            <w:noWrap/>
            <w:vAlign w:val="center"/>
            <w:hideMark/>
          </w:tcPr>
          <w:p w:rsidR="005F5B63" w:rsidRPr="00531887" w:rsidRDefault="005F5B63" w:rsidP="00142A4B">
            <w:pPr>
              <w:spacing w:after="0" w:line="240" w:lineRule="auto"/>
              <w:jc w:val="right"/>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68</w:t>
            </w:r>
          </w:p>
        </w:tc>
        <w:tc>
          <w:tcPr>
            <w:tcW w:w="609" w:type="dxa"/>
            <w:shd w:val="clear" w:color="auto" w:fill="FFFFFF" w:themeFill="background1"/>
            <w:vAlign w:val="center"/>
          </w:tcPr>
          <w:p w:rsidR="005F5B63" w:rsidRPr="00531887" w:rsidRDefault="005F5B63" w:rsidP="00142A4B">
            <w:pPr>
              <w:spacing w:after="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35%</w:t>
            </w:r>
          </w:p>
        </w:tc>
        <w:tc>
          <w:tcPr>
            <w:tcW w:w="609" w:type="dxa"/>
            <w:shd w:val="clear" w:color="auto" w:fill="FFFFFF" w:themeFill="background1"/>
            <w:noWrap/>
            <w:vAlign w:val="center"/>
            <w:hideMark/>
          </w:tcPr>
          <w:p w:rsidR="005F5B63" w:rsidRPr="00531887" w:rsidRDefault="005F5B63" w:rsidP="00142A4B">
            <w:pPr>
              <w:spacing w:after="0" w:line="240" w:lineRule="auto"/>
              <w:jc w:val="right"/>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38</w:t>
            </w:r>
          </w:p>
        </w:tc>
        <w:tc>
          <w:tcPr>
            <w:tcW w:w="609" w:type="dxa"/>
            <w:shd w:val="clear" w:color="auto" w:fill="FFFFFF" w:themeFill="background1"/>
            <w:vAlign w:val="center"/>
          </w:tcPr>
          <w:p w:rsidR="005F5B63" w:rsidRPr="00531887" w:rsidRDefault="005F5B63" w:rsidP="00142A4B">
            <w:pPr>
              <w:spacing w:after="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20%</w:t>
            </w:r>
          </w:p>
        </w:tc>
      </w:tr>
      <w:tr w:rsidR="005F5B63" w:rsidRPr="00531887" w:rsidTr="00142A4B">
        <w:trPr>
          <w:trHeight w:val="255"/>
        </w:trPr>
        <w:tc>
          <w:tcPr>
            <w:tcW w:w="2552" w:type="dxa"/>
            <w:shd w:val="clear" w:color="auto" w:fill="FFFFFF" w:themeFill="background1"/>
            <w:vAlign w:val="bottom"/>
          </w:tcPr>
          <w:p w:rsidR="005F5B63" w:rsidRPr="00531887" w:rsidRDefault="005F5B63" w:rsidP="00142A4B">
            <w:pPr>
              <w:spacing w:after="0" w:line="240" w:lineRule="auto"/>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administrative Vorgaben / Kriterien für die Vergabe</w:t>
            </w:r>
          </w:p>
        </w:tc>
        <w:tc>
          <w:tcPr>
            <w:tcW w:w="608" w:type="dxa"/>
            <w:shd w:val="clear" w:color="auto" w:fill="FFFFFF" w:themeFill="background1"/>
            <w:noWrap/>
            <w:vAlign w:val="center"/>
            <w:hideMark/>
          </w:tcPr>
          <w:p w:rsidR="005F5B63" w:rsidRPr="00531887" w:rsidRDefault="005F5B63" w:rsidP="00142A4B">
            <w:pPr>
              <w:spacing w:after="0" w:line="240" w:lineRule="auto"/>
              <w:jc w:val="right"/>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42</w:t>
            </w:r>
          </w:p>
        </w:tc>
        <w:tc>
          <w:tcPr>
            <w:tcW w:w="609" w:type="dxa"/>
            <w:shd w:val="clear" w:color="auto" w:fill="FFFFFF" w:themeFill="background1"/>
            <w:vAlign w:val="center"/>
          </w:tcPr>
          <w:p w:rsidR="005F5B63" w:rsidRPr="00531887" w:rsidRDefault="005F5B63" w:rsidP="00142A4B">
            <w:pPr>
              <w:spacing w:after="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22%</w:t>
            </w:r>
          </w:p>
        </w:tc>
        <w:tc>
          <w:tcPr>
            <w:tcW w:w="609" w:type="dxa"/>
            <w:shd w:val="clear" w:color="auto" w:fill="FFFFFF" w:themeFill="background1"/>
            <w:noWrap/>
            <w:vAlign w:val="center"/>
            <w:hideMark/>
          </w:tcPr>
          <w:p w:rsidR="005F5B63" w:rsidRPr="00531887" w:rsidRDefault="005F5B63" w:rsidP="00142A4B">
            <w:pPr>
              <w:spacing w:after="0" w:line="240" w:lineRule="auto"/>
              <w:jc w:val="right"/>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27</w:t>
            </w:r>
          </w:p>
        </w:tc>
        <w:tc>
          <w:tcPr>
            <w:tcW w:w="609" w:type="dxa"/>
            <w:shd w:val="clear" w:color="auto" w:fill="FFFFFF" w:themeFill="background1"/>
            <w:vAlign w:val="center"/>
          </w:tcPr>
          <w:p w:rsidR="005F5B63" w:rsidRPr="00531887" w:rsidRDefault="005F5B63" w:rsidP="00142A4B">
            <w:pPr>
              <w:spacing w:after="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14%</w:t>
            </w:r>
          </w:p>
        </w:tc>
        <w:tc>
          <w:tcPr>
            <w:tcW w:w="608" w:type="dxa"/>
            <w:shd w:val="clear" w:color="auto" w:fill="FFFFFF" w:themeFill="background1"/>
            <w:noWrap/>
            <w:vAlign w:val="center"/>
            <w:hideMark/>
          </w:tcPr>
          <w:p w:rsidR="005F5B63" w:rsidRPr="00531887" w:rsidRDefault="005F5B63" w:rsidP="00142A4B">
            <w:pPr>
              <w:spacing w:after="0" w:line="240" w:lineRule="auto"/>
              <w:jc w:val="right"/>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25</w:t>
            </w:r>
          </w:p>
        </w:tc>
        <w:tc>
          <w:tcPr>
            <w:tcW w:w="609" w:type="dxa"/>
            <w:shd w:val="clear" w:color="auto" w:fill="FFFFFF" w:themeFill="background1"/>
            <w:vAlign w:val="center"/>
          </w:tcPr>
          <w:p w:rsidR="005F5B63" w:rsidRPr="00531887" w:rsidRDefault="005F5B63" w:rsidP="00142A4B">
            <w:pPr>
              <w:spacing w:after="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13%</w:t>
            </w:r>
          </w:p>
        </w:tc>
        <w:tc>
          <w:tcPr>
            <w:tcW w:w="609" w:type="dxa"/>
            <w:shd w:val="clear" w:color="auto" w:fill="FFFFFF" w:themeFill="background1"/>
            <w:noWrap/>
            <w:vAlign w:val="center"/>
            <w:hideMark/>
          </w:tcPr>
          <w:p w:rsidR="005F5B63" w:rsidRPr="00531887" w:rsidRDefault="005F5B63" w:rsidP="00142A4B">
            <w:pPr>
              <w:spacing w:after="0" w:line="240" w:lineRule="auto"/>
              <w:jc w:val="right"/>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57</w:t>
            </w:r>
          </w:p>
        </w:tc>
        <w:tc>
          <w:tcPr>
            <w:tcW w:w="609" w:type="dxa"/>
            <w:shd w:val="clear" w:color="auto" w:fill="FFFFFF" w:themeFill="background1"/>
            <w:vAlign w:val="center"/>
          </w:tcPr>
          <w:p w:rsidR="005F5B63" w:rsidRPr="00531887" w:rsidRDefault="005F5B63" w:rsidP="00142A4B">
            <w:pPr>
              <w:spacing w:after="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30%</w:t>
            </w:r>
          </w:p>
        </w:tc>
        <w:tc>
          <w:tcPr>
            <w:tcW w:w="609" w:type="dxa"/>
            <w:shd w:val="clear" w:color="auto" w:fill="FFFFFF" w:themeFill="background1"/>
            <w:noWrap/>
            <w:vAlign w:val="center"/>
            <w:hideMark/>
          </w:tcPr>
          <w:p w:rsidR="005F5B63" w:rsidRPr="00531887" w:rsidRDefault="005F5B63" w:rsidP="00142A4B">
            <w:pPr>
              <w:spacing w:after="0" w:line="240" w:lineRule="auto"/>
              <w:jc w:val="right"/>
              <w:rPr>
                <w:rFonts w:ascii="Microsoft Sans Serif" w:hAnsi="Microsoft Sans Serif" w:cs="Microsoft Sans Serif"/>
                <w:sz w:val="20"/>
                <w:szCs w:val="20"/>
                <w:lang w:val="de-AT" w:eastAsia="de-AT"/>
              </w:rPr>
            </w:pPr>
            <w:r w:rsidRPr="00531887">
              <w:rPr>
                <w:rFonts w:ascii="Microsoft Sans Serif" w:hAnsi="Microsoft Sans Serif" w:cs="Microsoft Sans Serif"/>
                <w:sz w:val="20"/>
                <w:szCs w:val="20"/>
                <w:lang w:val="de-AT" w:eastAsia="de-AT"/>
              </w:rPr>
              <w:t>42</w:t>
            </w:r>
          </w:p>
        </w:tc>
        <w:tc>
          <w:tcPr>
            <w:tcW w:w="609" w:type="dxa"/>
            <w:shd w:val="clear" w:color="auto" w:fill="FFFFFF" w:themeFill="background1"/>
            <w:vAlign w:val="center"/>
          </w:tcPr>
          <w:p w:rsidR="005F5B63" w:rsidRPr="00531887" w:rsidRDefault="005F5B63" w:rsidP="00142A4B">
            <w:pPr>
              <w:spacing w:after="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22%</w:t>
            </w:r>
          </w:p>
        </w:tc>
      </w:tr>
    </w:tbl>
    <w:p w:rsidR="005F5B63" w:rsidRDefault="005F5B63" w:rsidP="005F5B63"/>
    <w:p w:rsidR="005F5B63" w:rsidRDefault="005F5B63" w:rsidP="00FF2B86">
      <w:pPr>
        <w:pStyle w:val="Untertitel"/>
      </w:pPr>
      <w:r>
        <w:t xml:space="preserve">Tab. 12: </w:t>
      </w:r>
      <w:r>
        <w:tab/>
        <w:t>Benachteiligung von Nicht-ÖsterreicherInnen, nach Einrichtungsart</w:t>
      </w:r>
    </w:p>
    <w:tbl>
      <w:tblPr>
        <w:tblStyle w:val="Tabellengitternetz"/>
        <w:tblW w:w="0" w:type="auto"/>
        <w:tblLook w:val="04A0"/>
      </w:tblPr>
      <w:tblGrid>
        <w:gridCol w:w="1526"/>
        <w:gridCol w:w="768"/>
        <w:gridCol w:w="769"/>
        <w:gridCol w:w="768"/>
        <w:gridCol w:w="769"/>
        <w:gridCol w:w="769"/>
        <w:gridCol w:w="768"/>
        <w:gridCol w:w="769"/>
        <w:gridCol w:w="768"/>
        <w:gridCol w:w="769"/>
        <w:gridCol w:w="769"/>
      </w:tblGrid>
      <w:tr w:rsidR="005F5B63" w:rsidRPr="00B36D98" w:rsidTr="00142A4B">
        <w:tc>
          <w:tcPr>
            <w:tcW w:w="1526" w:type="dxa"/>
            <w:vMerge w:val="restart"/>
            <w:tcBorders>
              <w:top w:val="nil"/>
              <w:left w:val="nil"/>
            </w:tcBorders>
            <w:vAlign w:val="center"/>
          </w:tcPr>
          <w:p w:rsidR="005F5B63" w:rsidRPr="00B36D98" w:rsidRDefault="005F5B63" w:rsidP="00142A4B">
            <w:pPr>
              <w:spacing w:before="60" w:after="60" w:line="240" w:lineRule="auto"/>
              <w:rPr>
                <w:sz w:val="18"/>
              </w:rPr>
            </w:pPr>
          </w:p>
        </w:tc>
        <w:tc>
          <w:tcPr>
            <w:tcW w:w="3843" w:type="dxa"/>
            <w:gridSpan w:val="5"/>
            <w:shd w:val="clear" w:color="auto" w:fill="D6E3BC" w:themeFill="accent3" w:themeFillTint="66"/>
            <w:vAlign w:val="center"/>
          </w:tcPr>
          <w:p w:rsidR="005F5B63" w:rsidRPr="00B36D98" w:rsidRDefault="005F5B63" w:rsidP="00142A4B">
            <w:pPr>
              <w:spacing w:before="60" w:after="60" w:line="240" w:lineRule="auto"/>
              <w:rPr>
                <w:sz w:val="18"/>
              </w:rPr>
            </w:pPr>
            <w:r w:rsidRPr="00B36D98">
              <w:rPr>
                <w:sz w:val="18"/>
              </w:rPr>
              <w:t>aufgrund gesetzlicher Bestimmungen</w:t>
            </w:r>
          </w:p>
        </w:tc>
        <w:tc>
          <w:tcPr>
            <w:tcW w:w="3843" w:type="dxa"/>
            <w:gridSpan w:val="5"/>
            <w:shd w:val="clear" w:color="auto" w:fill="D6E3BC" w:themeFill="accent3" w:themeFillTint="66"/>
            <w:vAlign w:val="center"/>
          </w:tcPr>
          <w:p w:rsidR="005F5B63" w:rsidRPr="00B36D98" w:rsidRDefault="005F5B63" w:rsidP="00142A4B">
            <w:pPr>
              <w:spacing w:before="60" w:after="60" w:line="240" w:lineRule="auto"/>
              <w:rPr>
                <w:sz w:val="18"/>
              </w:rPr>
            </w:pPr>
            <w:r w:rsidRPr="00B36D98">
              <w:rPr>
                <w:sz w:val="18"/>
              </w:rPr>
              <w:t>aufgrund administrativer Vorgaben / Kriterien</w:t>
            </w:r>
          </w:p>
        </w:tc>
      </w:tr>
      <w:tr w:rsidR="005F5B63" w:rsidRPr="00B36D98" w:rsidTr="00142A4B">
        <w:tc>
          <w:tcPr>
            <w:tcW w:w="1526" w:type="dxa"/>
            <w:vMerge/>
            <w:tcBorders>
              <w:left w:val="nil"/>
            </w:tcBorders>
            <w:vAlign w:val="center"/>
          </w:tcPr>
          <w:p w:rsidR="005F5B63" w:rsidRPr="00B36D98" w:rsidRDefault="005F5B63" w:rsidP="00142A4B">
            <w:pPr>
              <w:spacing w:before="60" w:after="60" w:line="240" w:lineRule="auto"/>
              <w:rPr>
                <w:sz w:val="18"/>
              </w:rPr>
            </w:pPr>
          </w:p>
        </w:tc>
        <w:tc>
          <w:tcPr>
            <w:tcW w:w="768" w:type="dxa"/>
            <w:shd w:val="clear" w:color="auto" w:fill="D6E3BC" w:themeFill="accent3" w:themeFillTint="66"/>
            <w:vAlign w:val="center"/>
          </w:tcPr>
          <w:p w:rsidR="005F5B63" w:rsidRPr="00B36D98" w:rsidRDefault="005F5B63" w:rsidP="00142A4B">
            <w:pPr>
              <w:spacing w:before="60" w:after="60" w:line="240" w:lineRule="auto"/>
              <w:rPr>
                <w:sz w:val="18"/>
              </w:rPr>
            </w:pPr>
            <w:r>
              <w:rPr>
                <w:sz w:val="18"/>
              </w:rPr>
              <w:t>ja</w:t>
            </w:r>
          </w:p>
        </w:tc>
        <w:tc>
          <w:tcPr>
            <w:tcW w:w="769" w:type="dxa"/>
            <w:shd w:val="clear" w:color="auto" w:fill="D6E3BC" w:themeFill="accent3" w:themeFillTint="66"/>
            <w:vAlign w:val="center"/>
          </w:tcPr>
          <w:p w:rsidR="005F5B63" w:rsidRPr="00B36D98" w:rsidRDefault="005F5B63" w:rsidP="00142A4B">
            <w:pPr>
              <w:spacing w:before="60" w:after="60" w:line="240" w:lineRule="auto"/>
              <w:rPr>
                <w:sz w:val="18"/>
              </w:rPr>
            </w:pPr>
            <w:r>
              <w:rPr>
                <w:sz w:val="18"/>
              </w:rPr>
              <w:t>eher ja</w:t>
            </w:r>
          </w:p>
        </w:tc>
        <w:tc>
          <w:tcPr>
            <w:tcW w:w="768" w:type="dxa"/>
            <w:shd w:val="clear" w:color="auto" w:fill="D6E3BC" w:themeFill="accent3" w:themeFillTint="66"/>
            <w:vAlign w:val="center"/>
          </w:tcPr>
          <w:p w:rsidR="005F5B63" w:rsidRPr="00B36D98" w:rsidRDefault="005F5B63" w:rsidP="00142A4B">
            <w:pPr>
              <w:spacing w:before="60" w:after="60" w:line="240" w:lineRule="auto"/>
              <w:rPr>
                <w:sz w:val="18"/>
              </w:rPr>
            </w:pPr>
            <w:r>
              <w:rPr>
                <w:sz w:val="18"/>
              </w:rPr>
              <w:t>eher nein</w:t>
            </w:r>
          </w:p>
        </w:tc>
        <w:tc>
          <w:tcPr>
            <w:tcW w:w="769" w:type="dxa"/>
            <w:shd w:val="clear" w:color="auto" w:fill="D6E3BC" w:themeFill="accent3" w:themeFillTint="66"/>
            <w:vAlign w:val="center"/>
          </w:tcPr>
          <w:p w:rsidR="005F5B63" w:rsidRPr="00B36D98" w:rsidRDefault="005F5B63" w:rsidP="00142A4B">
            <w:pPr>
              <w:spacing w:before="60" w:after="60" w:line="240" w:lineRule="auto"/>
              <w:rPr>
                <w:sz w:val="18"/>
              </w:rPr>
            </w:pPr>
            <w:r>
              <w:rPr>
                <w:sz w:val="18"/>
              </w:rPr>
              <w:t>nein</w:t>
            </w:r>
          </w:p>
        </w:tc>
        <w:tc>
          <w:tcPr>
            <w:tcW w:w="769" w:type="dxa"/>
            <w:shd w:val="clear" w:color="auto" w:fill="D6E3BC" w:themeFill="accent3" w:themeFillTint="66"/>
            <w:vAlign w:val="center"/>
          </w:tcPr>
          <w:p w:rsidR="005F5B63" w:rsidRPr="00B36D98" w:rsidRDefault="005F5B63" w:rsidP="00142A4B">
            <w:pPr>
              <w:spacing w:before="60" w:after="60" w:line="240" w:lineRule="auto"/>
              <w:rPr>
                <w:sz w:val="18"/>
              </w:rPr>
            </w:pPr>
            <w:r>
              <w:rPr>
                <w:sz w:val="18"/>
              </w:rPr>
              <w:t>k.A.</w:t>
            </w:r>
          </w:p>
        </w:tc>
        <w:tc>
          <w:tcPr>
            <w:tcW w:w="768" w:type="dxa"/>
            <w:shd w:val="clear" w:color="auto" w:fill="D6E3BC" w:themeFill="accent3" w:themeFillTint="66"/>
            <w:vAlign w:val="center"/>
          </w:tcPr>
          <w:p w:rsidR="005F5B63" w:rsidRPr="00B36D98" w:rsidRDefault="005F5B63" w:rsidP="00142A4B">
            <w:pPr>
              <w:spacing w:before="60" w:after="60" w:line="240" w:lineRule="auto"/>
              <w:rPr>
                <w:sz w:val="18"/>
              </w:rPr>
            </w:pPr>
            <w:r>
              <w:rPr>
                <w:sz w:val="18"/>
              </w:rPr>
              <w:t>ja</w:t>
            </w:r>
          </w:p>
        </w:tc>
        <w:tc>
          <w:tcPr>
            <w:tcW w:w="769" w:type="dxa"/>
            <w:shd w:val="clear" w:color="auto" w:fill="D6E3BC" w:themeFill="accent3" w:themeFillTint="66"/>
            <w:vAlign w:val="center"/>
          </w:tcPr>
          <w:p w:rsidR="005F5B63" w:rsidRPr="00B36D98" w:rsidRDefault="005F5B63" w:rsidP="00142A4B">
            <w:pPr>
              <w:spacing w:before="60" w:after="60" w:line="240" w:lineRule="auto"/>
              <w:rPr>
                <w:sz w:val="18"/>
              </w:rPr>
            </w:pPr>
            <w:r>
              <w:rPr>
                <w:sz w:val="18"/>
              </w:rPr>
              <w:t>eher ja</w:t>
            </w:r>
          </w:p>
        </w:tc>
        <w:tc>
          <w:tcPr>
            <w:tcW w:w="768" w:type="dxa"/>
            <w:shd w:val="clear" w:color="auto" w:fill="D6E3BC" w:themeFill="accent3" w:themeFillTint="66"/>
            <w:vAlign w:val="center"/>
          </w:tcPr>
          <w:p w:rsidR="005F5B63" w:rsidRPr="00B36D98" w:rsidRDefault="005F5B63" w:rsidP="00142A4B">
            <w:pPr>
              <w:spacing w:before="60" w:after="60" w:line="240" w:lineRule="auto"/>
              <w:rPr>
                <w:sz w:val="18"/>
              </w:rPr>
            </w:pPr>
            <w:r>
              <w:rPr>
                <w:sz w:val="18"/>
              </w:rPr>
              <w:t>eher nein</w:t>
            </w:r>
          </w:p>
        </w:tc>
        <w:tc>
          <w:tcPr>
            <w:tcW w:w="769" w:type="dxa"/>
            <w:shd w:val="clear" w:color="auto" w:fill="D6E3BC" w:themeFill="accent3" w:themeFillTint="66"/>
            <w:vAlign w:val="center"/>
          </w:tcPr>
          <w:p w:rsidR="005F5B63" w:rsidRPr="00B36D98" w:rsidRDefault="005F5B63" w:rsidP="00142A4B">
            <w:pPr>
              <w:spacing w:before="60" w:after="60" w:line="240" w:lineRule="auto"/>
              <w:rPr>
                <w:sz w:val="18"/>
              </w:rPr>
            </w:pPr>
            <w:r>
              <w:rPr>
                <w:sz w:val="18"/>
              </w:rPr>
              <w:t>nein</w:t>
            </w:r>
          </w:p>
        </w:tc>
        <w:tc>
          <w:tcPr>
            <w:tcW w:w="769" w:type="dxa"/>
            <w:shd w:val="clear" w:color="auto" w:fill="D6E3BC" w:themeFill="accent3" w:themeFillTint="66"/>
            <w:vAlign w:val="center"/>
          </w:tcPr>
          <w:p w:rsidR="005F5B63" w:rsidRPr="00B36D98" w:rsidRDefault="005F5B63" w:rsidP="00142A4B">
            <w:pPr>
              <w:spacing w:before="60" w:after="60" w:line="240" w:lineRule="auto"/>
              <w:rPr>
                <w:sz w:val="18"/>
              </w:rPr>
            </w:pPr>
            <w:r>
              <w:rPr>
                <w:sz w:val="18"/>
              </w:rPr>
              <w:t>k.A.</w:t>
            </w:r>
          </w:p>
        </w:tc>
      </w:tr>
      <w:tr w:rsidR="005F5B63" w:rsidRPr="00B36D98" w:rsidTr="00142A4B">
        <w:tc>
          <w:tcPr>
            <w:tcW w:w="1526" w:type="dxa"/>
          </w:tcPr>
          <w:p w:rsidR="005F5B63" w:rsidRPr="00B36D98" w:rsidRDefault="005F5B63" w:rsidP="00142A4B">
            <w:pPr>
              <w:spacing w:before="60" w:after="60" w:line="240" w:lineRule="auto"/>
              <w:rPr>
                <w:sz w:val="18"/>
              </w:rPr>
            </w:pPr>
            <w:r w:rsidRPr="00B36D98">
              <w:rPr>
                <w:sz w:val="18"/>
              </w:rPr>
              <w:t>Beratungs</w:t>
            </w:r>
            <w:r>
              <w:rPr>
                <w:sz w:val="18"/>
              </w:rPr>
              <w:t>-</w:t>
            </w:r>
            <w:r w:rsidRPr="00B36D98">
              <w:rPr>
                <w:sz w:val="18"/>
              </w:rPr>
              <w:t>einrichtung</w:t>
            </w:r>
          </w:p>
        </w:tc>
        <w:tc>
          <w:tcPr>
            <w:tcW w:w="768" w:type="dxa"/>
            <w:vAlign w:val="center"/>
          </w:tcPr>
          <w:p w:rsidR="005F5B63" w:rsidRPr="00B36D98" w:rsidRDefault="005F5B63" w:rsidP="00142A4B">
            <w:pPr>
              <w:spacing w:before="60" w:after="60" w:line="240" w:lineRule="auto"/>
              <w:jc w:val="right"/>
              <w:rPr>
                <w:sz w:val="18"/>
              </w:rPr>
            </w:pPr>
            <w:r>
              <w:rPr>
                <w:sz w:val="18"/>
              </w:rPr>
              <w:t>16%</w:t>
            </w:r>
          </w:p>
        </w:tc>
        <w:tc>
          <w:tcPr>
            <w:tcW w:w="769" w:type="dxa"/>
            <w:vAlign w:val="center"/>
          </w:tcPr>
          <w:p w:rsidR="005F5B63" w:rsidRPr="00B36D98" w:rsidRDefault="005F5B63" w:rsidP="00142A4B">
            <w:pPr>
              <w:spacing w:before="60" w:after="60" w:line="240" w:lineRule="auto"/>
              <w:jc w:val="right"/>
              <w:rPr>
                <w:sz w:val="18"/>
              </w:rPr>
            </w:pPr>
            <w:r>
              <w:rPr>
                <w:sz w:val="18"/>
              </w:rPr>
              <w:t>19%</w:t>
            </w:r>
          </w:p>
        </w:tc>
        <w:tc>
          <w:tcPr>
            <w:tcW w:w="768" w:type="dxa"/>
            <w:vAlign w:val="center"/>
          </w:tcPr>
          <w:p w:rsidR="005F5B63" w:rsidRPr="00B36D98" w:rsidRDefault="005F5B63" w:rsidP="00142A4B">
            <w:pPr>
              <w:spacing w:before="60" w:after="60" w:line="240" w:lineRule="auto"/>
              <w:jc w:val="right"/>
              <w:rPr>
                <w:sz w:val="18"/>
              </w:rPr>
            </w:pPr>
            <w:r>
              <w:rPr>
                <w:sz w:val="18"/>
              </w:rPr>
              <w:t>16%</w:t>
            </w:r>
          </w:p>
        </w:tc>
        <w:tc>
          <w:tcPr>
            <w:tcW w:w="769" w:type="dxa"/>
            <w:vAlign w:val="center"/>
          </w:tcPr>
          <w:p w:rsidR="005F5B63" w:rsidRPr="00B36D98" w:rsidRDefault="005F5B63" w:rsidP="00142A4B">
            <w:pPr>
              <w:spacing w:before="60" w:after="60" w:line="240" w:lineRule="auto"/>
              <w:jc w:val="right"/>
              <w:rPr>
                <w:sz w:val="18"/>
              </w:rPr>
            </w:pPr>
            <w:r>
              <w:rPr>
                <w:sz w:val="18"/>
              </w:rPr>
              <w:t>25%</w:t>
            </w:r>
          </w:p>
        </w:tc>
        <w:tc>
          <w:tcPr>
            <w:tcW w:w="769" w:type="dxa"/>
            <w:vAlign w:val="center"/>
          </w:tcPr>
          <w:p w:rsidR="005F5B63" w:rsidRPr="00B36D98" w:rsidRDefault="005F5B63" w:rsidP="00142A4B">
            <w:pPr>
              <w:spacing w:before="60" w:after="60" w:line="240" w:lineRule="auto"/>
              <w:jc w:val="right"/>
              <w:rPr>
                <w:sz w:val="18"/>
              </w:rPr>
            </w:pPr>
            <w:r>
              <w:rPr>
                <w:sz w:val="18"/>
              </w:rPr>
              <w:t>25%</w:t>
            </w:r>
          </w:p>
        </w:tc>
        <w:tc>
          <w:tcPr>
            <w:tcW w:w="768" w:type="dxa"/>
            <w:vAlign w:val="center"/>
          </w:tcPr>
          <w:p w:rsidR="005F5B63" w:rsidRPr="00B36D98" w:rsidRDefault="005F5B63" w:rsidP="00142A4B">
            <w:pPr>
              <w:spacing w:before="60" w:after="60" w:line="240" w:lineRule="auto"/>
              <w:jc w:val="right"/>
              <w:rPr>
                <w:sz w:val="18"/>
              </w:rPr>
            </w:pPr>
            <w:r>
              <w:rPr>
                <w:sz w:val="18"/>
              </w:rPr>
              <w:t>25%</w:t>
            </w:r>
          </w:p>
        </w:tc>
        <w:tc>
          <w:tcPr>
            <w:tcW w:w="769" w:type="dxa"/>
            <w:vAlign w:val="center"/>
          </w:tcPr>
          <w:p w:rsidR="005F5B63" w:rsidRPr="00B36D98" w:rsidRDefault="005F5B63" w:rsidP="00142A4B">
            <w:pPr>
              <w:spacing w:before="60" w:after="60" w:line="240" w:lineRule="auto"/>
              <w:jc w:val="right"/>
              <w:rPr>
                <w:sz w:val="18"/>
              </w:rPr>
            </w:pPr>
            <w:r>
              <w:rPr>
                <w:sz w:val="18"/>
              </w:rPr>
              <w:t>18%</w:t>
            </w:r>
          </w:p>
        </w:tc>
        <w:tc>
          <w:tcPr>
            <w:tcW w:w="768" w:type="dxa"/>
            <w:vAlign w:val="center"/>
          </w:tcPr>
          <w:p w:rsidR="005F5B63" w:rsidRPr="00B36D98" w:rsidRDefault="005F5B63" w:rsidP="00142A4B">
            <w:pPr>
              <w:spacing w:before="60" w:after="60" w:line="240" w:lineRule="auto"/>
              <w:jc w:val="right"/>
              <w:rPr>
                <w:sz w:val="18"/>
              </w:rPr>
            </w:pPr>
            <w:r>
              <w:rPr>
                <w:sz w:val="18"/>
              </w:rPr>
              <w:t>13%</w:t>
            </w:r>
          </w:p>
        </w:tc>
        <w:tc>
          <w:tcPr>
            <w:tcW w:w="769" w:type="dxa"/>
            <w:vAlign w:val="center"/>
          </w:tcPr>
          <w:p w:rsidR="005F5B63" w:rsidRPr="00B36D98" w:rsidRDefault="005F5B63" w:rsidP="00142A4B">
            <w:pPr>
              <w:spacing w:before="60" w:after="60" w:line="240" w:lineRule="auto"/>
              <w:jc w:val="right"/>
              <w:rPr>
                <w:sz w:val="18"/>
              </w:rPr>
            </w:pPr>
            <w:r>
              <w:rPr>
                <w:sz w:val="18"/>
              </w:rPr>
              <w:t>21%</w:t>
            </w:r>
          </w:p>
        </w:tc>
        <w:tc>
          <w:tcPr>
            <w:tcW w:w="769" w:type="dxa"/>
            <w:vAlign w:val="center"/>
          </w:tcPr>
          <w:p w:rsidR="005F5B63" w:rsidRPr="00B36D98" w:rsidRDefault="005F5B63" w:rsidP="00142A4B">
            <w:pPr>
              <w:spacing w:before="60" w:after="60" w:line="240" w:lineRule="auto"/>
              <w:jc w:val="right"/>
              <w:rPr>
                <w:sz w:val="18"/>
              </w:rPr>
            </w:pPr>
            <w:r>
              <w:rPr>
                <w:sz w:val="18"/>
              </w:rPr>
              <w:t>24%</w:t>
            </w:r>
          </w:p>
        </w:tc>
      </w:tr>
      <w:tr w:rsidR="005F5B63" w:rsidRPr="00B36D98" w:rsidTr="00142A4B">
        <w:tc>
          <w:tcPr>
            <w:tcW w:w="1526" w:type="dxa"/>
          </w:tcPr>
          <w:p w:rsidR="005F5B63" w:rsidRPr="00B36D98" w:rsidRDefault="005F5B63" w:rsidP="00142A4B">
            <w:pPr>
              <w:spacing w:before="60" w:after="60" w:line="240" w:lineRule="auto"/>
              <w:rPr>
                <w:sz w:val="18"/>
              </w:rPr>
            </w:pPr>
            <w:r w:rsidRPr="00B36D98">
              <w:rPr>
                <w:sz w:val="18"/>
              </w:rPr>
              <w:t>kommunales Wohnungsamt</w:t>
            </w:r>
          </w:p>
        </w:tc>
        <w:tc>
          <w:tcPr>
            <w:tcW w:w="768" w:type="dxa"/>
            <w:vAlign w:val="center"/>
          </w:tcPr>
          <w:p w:rsidR="005F5B63" w:rsidRPr="00B36D98" w:rsidRDefault="005F5B63" w:rsidP="00142A4B">
            <w:pPr>
              <w:spacing w:before="60" w:after="60" w:line="240" w:lineRule="auto"/>
              <w:jc w:val="right"/>
              <w:rPr>
                <w:sz w:val="18"/>
              </w:rPr>
            </w:pPr>
            <w:r>
              <w:rPr>
                <w:sz w:val="18"/>
              </w:rPr>
              <w:t>11%</w:t>
            </w:r>
          </w:p>
        </w:tc>
        <w:tc>
          <w:tcPr>
            <w:tcW w:w="769" w:type="dxa"/>
            <w:vAlign w:val="center"/>
          </w:tcPr>
          <w:p w:rsidR="005F5B63" w:rsidRPr="00B36D98" w:rsidRDefault="005F5B63" w:rsidP="00142A4B">
            <w:pPr>
              <w:spacing w:before="60" w:after="60" w:line="240" w:lineRule="auto"/>
              <w:jc w:val="right"/>
              <w:rPr>
                <w:sz w:val="18"/>
              </w:rPr>
            </w:pPr>
            <w:r>
              <w:rPr>
                <w:sz w:val="18"/>
              </w:rPr>
              <w:t>4%</w:t>
            </w:r>
          </w:p>
        </w:tc>
        <w:tc>
          <w:tcPr>
            <w:tcW w:w="768" w:type="dxa"/>
            <w:vAlign w:val="center"/>
          </w:tcPr>
          <w:p w:rsidR="005F5B63" w:rsidRPr="00B36D98" w:rsidRDefault="005F5B63" w:rsidP="00142A4B">
            <w:pPr>
              <w:spacing w:before="60" w:after="60" w:line="240" w:lineRule="auto"/>
              <w:jc w:val="right"/>
              <w:rPr>
                <w:sz w:val="18"/>
              </w:rPr>
            </w:pPr>
            <w:r>
              <w:rPr>
                <w:sz w:val="18"/>
              </w:rPr>
              <w:t>15%</w:t>
            </w:r>
          </w:p>
        </w:tc>
        <w:tc>
          <w:tcPr>
            <w:tcW w:w="769" w:type="dxa"/>
            <w:vAlign w:val="center"/>
          </w:tcPr>
          <w:p w:rsidR="005F5B63" w:rsidRPr="00B36D98" w:rsidRDefault="005F5B63" w:rsidP="00142A4B">
            <w:pPr>
              <w:spacing w:before="60" w:after="60" w:line="240" w:lineRule="auto"/>
              <w:jc w:val="right"/>
              <w:rPr>
                <w:sz w:val="18"/>
              </w:rPr>
            </w:pPr>
            <w:r>
              <w:rPr>
                <w:sz w:val="18"/>
              </w:rPr>
              <w:t>64%</w:t>
            </w:r>
          </w:p>
        </w:tc>
        <w:tc>
          <w:tcPr>
            <w:tcW w:w="769" w:type="dxa"/>
            <w:vAlign w:val="center"/>
          </w:tcPr>
          <w:p w:rsidR="005F5B63" w:rsidRPr="00B36D98" w:rsidRDefault="005F5B63" w:rsidP="00142A4B">
            <w:pPr>
              <w:spacing w:before="60" w:after="60" w:line="240" w:lineRule="auto"/>
              <w:jc w:val="right"/>
              <w:rPr>
                <w:sz w:val="18"/>
              </w:rPr>
            </w:pPr>
            <w:r>
              <w:rPr>
                <w:sz w:val="18"/>
              </w:rPr>
              <w:t>6%</w:t>
            </w:r>
          </w:p>
        </w:tc>
        <w:tc>
          <w:tcPr>
            <w:tcW w:w="768" w:type="dxa"/>
            <w:vAlign w:val="center"/>
          </w:tcPr>
          <w:p w:rsidR="005F5B63" w:rsidRPr="00B36D98" w:rsidRDefault="005F5B63" w:rsidP="00142A4B">
            <w:pPr>
              <w:spacing w:before="60" w:after="60" w:line="240" w:lineRule="auto"/>
              <w:jc w:val="right"/>
              <w:rPr>
                <w:sz w:val="18"/>
              </w:rPr>
            </w:pPr>
            <w:r>
              <w:rPr>
                <w:sz w:val="18"/>
              </w:rPr>
              <w:t>15%</w:t>
            </w:r>
          </w:p>
        </w:tc>
        <w:tc>
          <w:tcPr>
            <w:tcW w:w="769" w:type="dxa"/>
            <w:vAlign w:val="center"/>
          </w:tcPr>
          <w:p w:rsidR="005F5B63" w:rsidRPr="00B36D98" w:rsidRDefault="005F5B63" w:rsidP="00142A4B">
            <w:pPr>
              <w:spacing w:before="60" w:after="60" w:line="240" w:lineRule="auto"/>
              <w:jc w:val="right"/>
              <w:rPr>
                <w:sz w:val="18"/>
              </w:rPr>
            </w:pPr>
            <w:r>
              <w:rPr>
                <w:sz w:val="18"/>
              </w:rPr>
              <w:t>11%</w:t>
            </w:r>
          </w:p>
        </w:tc>
        <w:tc>
          <w:tcPr>
            <w:tcW w:w="768" w:type="dxa"/>
            <w:vAlign w:val="center"/>
          </w:tcPr>
          <w:p w:rsidR="005F5B63" w:rsidRPr="00B36D98" w:rsidRDefault="005F5B63" w:rsidP="00142A4B">
            <w:pPr>
              <w:spacing w:before="60" w:after="60" w:line="240" w:lineRule="auto"/>
              <w:jc w:val="right"/>
              <w:rPr>
                <w:sz w:val="18"/>
              </w:rPr>
            </w:pPr>
            <w:r>
              <w:rPr>
                <w:sz w:val="18"/>
              </w:rPr>
              <w:t>19%</w:t>
            </w:r>
          </w:p>
        </w:tc>
        <w:tc>
          <w:tcPr>
            <w:tcW w:w="769" w:type="dxa"/>
            <w:vAlign w:val="center"/>
          </w:tcPr>
          <w:p w:rsidR="005F5B63" w:rsidRPr="00B36D98" w:rsidRDefault="005F5B63" w:rsidP="00142A4B">
            <w:pPr>
              <w:spacing w:before="60" w:after="60" w:line="240" w:lineRule="auto"/>
              <w:jc w:val="right"/>
              <w:rPr>
                <w:sz w:val="18"/>
              </w:rPr>
            </w:pPr>
            <w:r>
              <w:rPr>
                <w:sz w:val="18"/>
              </w:rPr>
              <w:t>53%</w:t>
            </w:r>
          </w:p>
        </w:tc>
        <w:tc>
          <w:tcPr>
            <w:tcW w:w="769" w:type="dxa"/>
            <w:vAlign w:val="center"/>
          </w:tcPr>
          <w:p w:rsidR="005F5B63" w:rsidRPr="00B36D98" w:rsidRDefault="005F5B63" w:rsidP="00142A4B">
            <w:pPr>
              <w:spacing w:before="60" w:after="60" w:line="240" w:lineRule="auto"/>
              <w:jc w:val="right"/>
              <w:rPr>
                <w:sz w:val="18"/>
              </w:rPr>
            </w:pPr>
            <w:r>
              <w:rPr>
                <w:sz w:val="18"/>
              </w:rPr>
              <w:t>2%</w:t>
            </w:r>
          </w:p>
        </w:tc>
      </w:tr>
      <w:tr w:rsidR="005F5B63" w:rsidRPr="00B36D98" w:rsidTr="00142A4B">
        <w:tc>
          <w:tcPr>
            <w:tcW w:w="1526" w:type="dxa"/>
          </w:tcPr>
          <w:p w:rsidR="005F5B63" w:rsidRPr="00B36D98" w:rsidRDefault="005F5B63" w:rsidP="00142A4B">
            <w:pPr>
              <w:spacing w:before="60" w:after="60" w:line="240" w:lineRule="auto"/>
              <w:rPr>
                <w:sz w:val="18"/>
              </w:rPr>
            </w:pPr>
            <w:r w:rsidRPr="00B36D98">
              <w:rPr>
                <w:sz w:val="18"/>
              </w:rPr>
              <w:t>privater Woh</w:t>
            </w:r>
            <w:r w:rsidRPr="00B36D98">
              <w:rPr>
                <w:sz w:val="18"/>
              </w:rPr>
              <w:t>n</w:t>
            </w:r>
            <w:r w:rsidRPr="00B36D98">
              <w:rPr>
                <w:sz w:val="18"/>
              </w:rPr>
              <w:t>bauträger</w:t>
            </w:r>
          </w:p>
        </w:tc>
        <w:tc>
          <w:tcPr>
            <w:tcW w:w="768" w:type="dxa"/>
            <w:vAlign w:val="center"/>
          </w:tcPr>
          <w:p w:rsidR="005F5B63" w:rsidRPr="00B36D98" w:rsidRDefault="005F5B63" w:rsidP="00142A4B">
            <w:pPr>
              <w:spacing w:before="60" w:after="60" w:line="240" w:lineRule="auto"/>
              <w:jc w:val="right"/>
              <w:rPr>
                <w:sz w:val="18"/>
              </w:rPr>
            </w:pPr>
            <w:r>
              <w:rPr>
                <w:sz w:val="18"/>
              </w:rPr>
              <w:t>26%</w:t>
            </w:r>
          </w:p>
        </w:tc>
        <w:tc>
          <w:tcPr>
            <w:tcW w:w="769" w:type="dxa"/>
            <w:vAlign w:val="center"/>
          </w:tcPr>
          <w:p w:rsidR="005F5B63" w:rsidRPr="00B36D98" w:rsidRDefault="005F5B63" w:rsidP="00142A4B">
            <w:pPr>
              <w:spacing w:before="60" w:after="60" w:line="240" w:lineRule="auto"/>
              <w:jc w:val="right"/>
              <w:rPr>
                <w:sz w:val="18"/>
              </w:rPr>
            </w:pPr>
            <w:r>
              <w:rPr>
                <w:sz w:val="18"/>
              </w:rPr>
              <w:t>16%</w:t>
            </w:r>
          </w:p>
        </w:tc>
        <w:tc>
          <w:tcPr>
            <w:tcW w:w="768" w:type="dxa"/>
            <w:vAlign w:val="center"/>
          </w:tcPr>
          <w:p w:rsidR="005F5B63" w:rsidRPr="00B36D98" w:rsidRDefault="005F5B63" w:rsidP="00142A4B">
            <w:pPr>
              <w:spacing w:before="60" w:after="60" w:line="240" w:lineRule="auto"/>
              <w:jc w:val="right"/>
              <w:rPr>
                <w:sz w:val="18"/>
              </w:rPr>
            </w:pPr>
            <w:r>
              <w:rPr>
                <w:sz w:val="18"/>
              </w:rPr>
              <w:t>16%</w:t>
            </w:r>
          </w:p>
        </w:tc>
        <w:tc>
          <w:tcPr>
            <w:tcW w:w="769" w:type="dxa"/>
            <w:vAlign w:val="center"/>
          </w:tcPr>
          <w:p w:rsidR="005F5B63" w:rsidRPr="00B36D98" w:rsidRDefault="005F5B63" w:rsidP="00142A4B">
            <w:pPr>
              <w:spacing w:before="60" w:after="60" w:line="240" w:lineRule="auto"/>
              <w:jc w:val="right"/>
              <w:rPr>
                <w:sz w:val="18"/>
              </w:rPr>
            </w:pPr>
            <w:r>
              <w:rPr>
                <w:sz w:val="18"/>
              </w:rPr>
              <w:t>37%</w:t>
            </w:r>
          </w:p>
        </w:tc>
        <w:tc>
          <w:tcPr>
            <w:tcW w:w="769" w:type="dxa"/>
            <w:vAlign w:val="center"/>
          </w:tcPr>
          <w:p w:rsidR="005F5B63" w:rsidRPr="00B36D98" w:rsidRDefault="005F5B63" w:rsidP="00142A4B">
            <w:pPr>
              <w:spacing w:before="60" w:after="60" w:line="240" w:lineRule="auto"/>
              <w:jc w:val="right"/>
              <w:rPr>
                <w:sz w:val="18"/>
              </w:rPr>
            </w:pPr>
            <w:r>
              <w:rPr>
                <w:sz w:val="18"/>
              </w:rPr>
              <w:t>5%</w:t>
            </w:r>
          </w:p>
        </w:tc>
        <w:tc>
          <w:tcPr>
            <w:tcW w:w="768" w:type="dxa"/>
            <w:vAlign w:val="center"/>
          </w:tcPr>
          <w:p w:rsidR="005F5B63" w:rsidRPr="00B36D98" w:rsidRDefault="005F5B63" w:rsidP="00142A4B">
            <w:pPr>
              <w:spacing w:before="60" w:after="60" w:line="240" w:lineRule="auto"/>
              <w:jc w:val="right"/>
              <w:rPr>
                <w:sz w:val="18"/>
              </w:rPr>
            </w:pPr>
            <w:r>
              <w:rPr>
                <w:sz w:val="18"/>
              </w:rPr>
              <w:t>26%</w:t>
            </w:r>
          </w:p>
        </w:tc>
        <w:tc>
          <w:tcPr>
            <w:tcW w:w="769" w:type="dxa"/>
            <w:vAlign w:val="center"/>
          </w:tcPr>
          <w:p w:rsidR="005F5B63" w:rsidRPr="00B36D98" w:rsidRDefault="005F5B63" w:rsidP="00142A4B">
            <w:pPr>
              <w:spacing w:before="60" w:after="60" w:line="240" w:lineRule="auto"/>
              <w:jc w:val="right"/>
              <w:rPr>
                <w:sz w:val="18"/>
              </w:rPr>
            </w:pPr>
            <w:r>
              <w:rPr>
                <w:sz w:val="18"/>
              </w:rPr>
              <w:t>0%</w:t>
            </w:r>
          </w:p>
        </w:tc>
        <w:tc>
          <w:tcPr>
            <w:tcW w:w="768" w:type="dxa"/>
            <w:vAlign w:val="center"/>
          </w:tcPr>
          <w:p w:rsidR="005F5B63" w:rsidRPr="00B36D98" w:rsidRDefault="005F5B63" w:rsidP="00142A4B">
            <w:pPr>
              <w:spacing w:before="60" w:after="60" w:line="240" w:lineRule="auto"/>
              <w:jc w:val="right"/>
              <w:rPr>
                <w:sz w:val="18"/>
              </w:rPr>
            </w:pPr>
            <w:r>
              <w:rPr>
                <w:sz w:val="18"/>
              </w:rPr>
              <w:t>21%</w:t>
            </w:r>
          </w:p>
        </w:tc>
        <w:tc>
          <w:tcPr>
            <w:tcW w:w="769" w:type="dxa"/>
            <w:vAlign w:val="center"/>
          </w:tcPr>
          <w:p w:rsidR="005F5B63" w:rsidRPr="00B36D98" w:rsidRDefault="005F5B63" w:rsidP="00142A4B">
            <w:pPr>
              <w:spacing w:before="60" w:after="60" w:line="240" w:lineRule="auto"/>
              <w:jc w:val="right"/>
              <w:rPr>
                <w:sz w:val="18"/>
              </w:rPr>
            </w:pPr>
            <w:r>
              <w:rPr>
                <w:sz w:val="18"/>
              </w:rPr>
              <w:t>42%</w:t>
            </w:r>
          </w:p>
        </w:tc>
        <w:tc>
          <w:tcPr>
            <w:tcW w:w="769" w:type="dxa"/>
            <w:vAlign w:val="center"/>
          </w:tcPr>
          <w:p w:rsidR="005F5B63" w:rsidRPr="00B36D98" w:rsidRDefault="005F5B63" w:rsidP="00142A4B">
            <w:pPr>
              <w:spacing w:before="60" w:after="60" w:line="240" w:lineRule="auto"/>
              <w:jc w:val="right"/>
              <w:rPr>
                <w:sz w:val="18"/>
              </w:rPr>
            </w:pPr>
            <w:r>
              <w:rPr>
                <w:sz w:val="18"/>
              </w:rPr>
              <w:t>11%</w:t>
            </w:r>
          </w:p>
        </w:tc>
      </w:tr>
      <w:tr w:rsidR="005F5B63" w:rsidRPr="00B36D98" w:rsidTr="00142A4B">
        <w:tc>
          <w:tcPr>
            <w:tcW w:w="1526" w:type="dxa"/>
          </w:tcPr>
          <w:p w:rsidR="005F5B63" w:rsidRPr="00B36D98" w:rsidRDefault="005F5B63" w:rsidP="00142A4B">
            <w:pPr>
              <w:spacing w:before="60" w:after="60" w:line="240" w:lineRule="auto"/>
              <w:rPr>
                <w:sz w:val="18"/>
              </w:rPr>
            </w:pPr>
            <w:r w:rsidRPr="00B36D98">
              <w:rPr>
                <w:sz w:val="18"/>
              </w:rPr>
              <w:t>gemeinnütziger Wohnbauträger</w:t>
            </w:r>
          </w:p>
        </w:tc>
        <w:tc>
          <w:tcPr>
            <w:tcW w:w="768" w:type="dxa"/>
            <w:vAlign w:val="center"/>
          </w:tcPr>
          <w:p w:rsidR="005F5B63" w:rsidRPr="00B36D98" w:rsidRDefault="005F5B63" w:rsidP="00142A4B">
            <w:pPr>
              <w:spacing w:before="60" w:after="60" w:line="240" w:lineRule="auto"/>
              <w:jc w:val="right"/>
              <w:rPr>
                <w:sz w:val="18"/>
              </w:rPr>
            </w:pPr>
            <w:r>
              <w:rPr>
                <w:sz w:val="18"/>
              </w:rPr>
              <w:t>17%</w:t>
            </w:r>
          </w:p>
        </w:tc>
        <w:tc>
          <w:tcPr>
            <w:tcW w:w="769" w:type="dxa"/>
            <w:vAlign w:val="center"/>
          </w:tcPr>
          <w:p w:rsidR="005F5B63" w:rsidRPr="00B36D98" w:rsidRDefault="005F5B63" w:rsidP="00142A4B">
            <w:pPr>
              <w:spacing w:before="60" w:after="60" w:line="240" w:lineRule="auto"/>
              <w:jc w:val="right"/>
              <w:rPr>
                <w:sz w:val="18"/>
              </w:rPr>
            </w:pPr>
            <w:r>
              <w:rPr>
                <w:sz w:val="18"/>
              </w:rPr>
              <w:t>8%</w:t>
            </w:r>
          </w:p>
        </w:tc>
        <w:tc>
          <w:tcPr>
            <w:tcW w:w="768" w:type="dxa"/>
            <w:vAlign w:val="center"/>
          </w:tcPr>
          <w:p w:rsidR="005F5B63" w:rsidRPr="00B36D98" w:rsidRDefault="005F5B63" w:rsidP="00142A4B">
            <w:pPr>
              <w:spacing w:before="60" w:after="60" w:line="240" w:lineRule="auto"/>
              <w:jc w:val="right"/>
              <w:rPr>
                <w:sz w:val="18"/>
              </w:rPr>
            </w:pPr>
            <w:r>
              <w:rPr>
                <w:sz w:val="18"/>
              </w:rPr>
              <w:t>29%</w:t>
            </w:r>
          </w:p>
        </w:tc>
        <w:tc>
          <w:tcPr>
            <w:tcW w:w="769" w:type="dxa"/>
            <w:vAlign w:val="center"/>
          </w:tcPr>
          <w:p w:rsidR="005F5B63" w:rsidRPr="00B36D98" w:rsidRDefault="005F5B63" w:rsidP="00142A4B">
            <w:pPr>
              <w:spacing w:before="60" w:after="60" w:line="240" w:lineRule="auto"/>
              <w:jc w:val="right"/>
              <w:rPr>
                <w:sz w:val="18"/>
              </w:rPr>
            </w:pPr>
            <w:r>
              <w:rPr>
                <w:sz w:val="18"/>
              </w:rPr>
              <w:t>40%</w:t>
            </w:r>
          </w:p>
        </w:tc>
        <w:tc>
          <w:tcPr>
            <w:tcW w:w="769" w:type="dxa"/>
            <w:vAlign w:val="center"/>
          </w:tcPr>
          <w:p w:rsidR="005F5B63" w:rsidRPr="00B36D98" w:rsidRDefault="005F5B63" w:rsidP="00142A4B">
            <w:pPr>
              <w:spacing w:before="60" w:after="60" w:line="240" w:lineRule="auto"/>
              <w:jc w:val="right"/>
              <w:rPr>
                <w:sz w:val="18"/>
              </w:rPr>
            </w:pPr>
            <w:r>
              <w:rPr>
                <w:sz w:val="18"/>
              </w:rPr>
              <w:t>6%</w:t>
            </w:r>
          </w:p>
        </w:tc>
        <w:tc>
          <w:tcPr>
            <w:tcW w:w="768" w:type="dxa"/>
            <w:vAlign w:val="center"/>
          </w:tcPr>
          <w:p w:rsidR="005F5B63" w:rsidRPr="00B36D98" w:rsidRDefault="005F5B63" w:rsidP="00142A4B">
            <w:pPr>
              <w:spacing w:before="60" w:after="60" w:line="240" w:lineRule="auto"/>
              <w:jc w:val="right"/>
              <w:rPr>
                <w:sz w:val="18"/>
              </w:rPr>
            </w:pPr>
            <w:r>
              <w:rPr>
                <w:sz w:val="18"/>
              </w:rPr>
              <w:t>17%</w:t>
            </w:r>
          </w:p>
        </w:tc>
        <w:tc>
          <w:tcPr>
            <w:tcW w:w="769" w:type="dxa"/>
            <w:vAlign w:val="center"/>
          </w:tcPr>
          <w:p w:rsidR="005F5B63" w:rsidRPr="00B36D98" w:rsidRDefault="005F5B63" w:rsidP="00142A4B">
            <w:pPr>
              <w:spacing w:before="60" w:after="60" w:line="240" w:lineRule="auto"/>
              <w:jc w:val="right"/>
              <w:rPr>
                <w:sz w:val="18"/>
              </w:rPr>
            </w:pPr>
            <w:r>
              <w:rPr>
                <w:sz w:val="18"/>
              </w:rPr>
              <w:t>9%</w:t>
            </w:r>
          </w:p>
        </w:tc>
        <w:tc>
          <w:tcPr>
            <w:tcW w:w="768" w:type="dxa"/>
            <w:vAlign w:val="center"/>
          </w:tcPr>
          <w:p w:rsidR="005F5B63" w:rsidRPr="00B36D98" w:rsidRDefault="005F5B63" w:rsidP="00142A4B">
            <w:pPr>
              <w:spacing w:before="60" w:after="60" w:line="240" w:lineRule="auto"/>
              <w:jc w:val="right"/>
              <w:rPr>
                <w:sz w:val="18"/>
              </w:rPr>
            </w:pPr>
            <w:r>
              <w:rPr>
                <w:sz w:val="18"/>
              </w:rPr>
              <w:t>26%</w:t>
            </w:r>
          </w:p>
        </w:tc>
        <w:tc>
          <w:tcPr>
            <w:tcW w:w="769" w:type="dxa"/>
            <w:vAlign w:val="center"/>
          </w:tcPr>
          <w:p w:rsidR="005F5B63" w:rsidRPr="00B36D98" w:rsidRDefault="005F5B63" w:rsidP="00142A4B">
            <w:pPr>
              <w:spacing w:before="60" w:after="60" w:line="240" w:lineRule="auto"/>
              <w:jc w:val="right"/>
              <w:rPr>
                <w:sz w:val="18"/>
              </w:rPr>
            </w:pPr>
            <w:r>
              <w:rPr>
                <w:sz w:val="18"/>
              </w:rPr>
              <w:t>31%</w:t>
            </w:r>
          </w:p>
        </w:tc>
        <w:tc>
          <w:tcPr>
            <w:tcW w:w="769" w:type="dxa"/>
            <w:vAlign w:val="center"/>
          </w:tcPr>
          <w:p w:rsidR="005F5B63" w:rsidRPr="00B36D98" w:rsidRDefault="005F5B63" w:rsidP="00142A4B">
            <w:pPr>
              <w:spacing w:before="60" w:after="60" w:line="240" w:lineRule="auto"/>
              <w:jc w:val="right"/>
              <w:rPr>
                <w:sz w:val="18"/>
              </w:rPr>
            </w:pPr>
            <w:r>
              <w:rPr>
                <w:sz w:val="18"/>
              </w:rPr>
              <w:t>17%</w:t>
            </w:r>
          </w:p>
        </w:tc>
      </w:tr>
    </w:tbl>
    <w:p w:rsidR="005F5B63" w:rsidRDefault="005F5B63" w:rsidP="005F5B63"/>
    <w:p w:rsidR="005F5B63" w:rsidRDefault="005F5B63" w:rsidP="00FF2B86">
      <w:pPr>
        <w:pStyle w:val="Untertitel"/>
      </w:pPr>
      <w:r>
        <w:t>Tab. 13:</w:t>
      </w:r>
      <w:r>
        <w:tab/>
        <w:t>Kriterien für die Vergabe von öffentlichem Wohnraum, n = 177</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102"/>
        <w:gridCol w:w="708"/>
        <w:gridCol w:w="710"/>
        <w:gridCol w:w="709"/>
        <w:gridCol w:w="709"/>
        <w:gridCol w:w="567"/>
        <w:gridCol w:w="709"/>
      </w:tblGrid>
      <w:tr w:rsidR="005F5B63" w:rsidRPr="0004149E" w:rsidTr="00142A4B">
        <w:trPr>
          <w:trHeight w:val="255"/>
        </w:trPr>
        <w:tc>
          <w:tcPr>
            <w:tcW w:w="5102" w:type="dxa"/>
            <w:shd w:val="clear" w:color="auto" w:fill="D6E3BC" w:themeFill="accent3" w:themeFillTint="66"/>
            <w:vAlign w:val="bottom"/>
            <w:hideMark/>
          </w:tcPr>
          <w:p w:rsidR="005F5B63" w:rsidRPr="0004149E" w:rsidRDefault="005F5B63" w:rsidP="00142A4B">
            <w:pPr>
              <w:spacing w:before="60" w:after="60" w:line="240" w:lineRule="auto"/>
              <w:rPr>
                <w:rFonts w:ascii="Microsoft Sans Serif" w:hAnsi="Microsoft Sans Serif" w:cs="Microsoft Sans Serif"/>
                <w:sz w:val="18"/>
                <w:szCs w:val="20"/>
                <w:lang w:val="de-AT" w:eastAsia="de-AT"/>
              </w:rPr>
            </w:pPr>
          </w:p>
        </w:tc>
        <w:tc>
          <w:tcPr>
            <w:tcW w:w="1418" w:type="dxa"/>
            <w:gridSpan w:val="2"/>
            <w:shd w:val="clear" w:color="auto" w:fill="D6E3BC" w:themeFill="accent3" w:themeFillTint="66"/>
            <w:noWrap/>
            <w:vAlign w:val="center"/>
            <w:hideMark/>
          </w:tcPr>
          <w:p w:rsidR="005F5B63" w:rsidRPr="0004149E" w:rsidRDefault="005F5B63" w:rsidP="00142A4B">
            <w:pPr>
              <w:spacing w:before="60" w:after="60" w:line="240" w:lineRule="auto"/>
              <w:rPr>
                <w:rFonts w:ascii="Microsoft Sans Serif" w:hAnsi="Microsoft Sans Serif" w:cs="Microsoft Sans Serif"/>
                <w:sz w:val="18"/>
                <w:szCs w:val="20"/>
                <w:lang w:val="de-AT" w:eastAsia="de-AT"/>
              </w:rPr>
            </w:pPr>
            <w:r w:rsidRPr="0004149E">
              <w:rPr>
                <w:rFonts w:ascii="Microsoft Sans Serif" w:hAnsi="Microsoft Sans Serif" w:cs="Microsoft Sans Serif"/>
                <w:sz w:val="18"/>
                <w:szCs w:val="20"/>
                <w:lang w:val="de-AT" w:eastAsia="de-AT"/>
              </w:rPr>
              <w:t>trifft zu</w:t>
            </w:r>
          </w:p>
        </w:tc>
        <w:tc>
          <w:tcPr>
            <w:tcW w:w="1418" w:type="dxa"/>
            <w:gridSpan w:val="2"/>
            <w:shd w:val="clear" w:color="auto" w:fill="D6E3BC" w:themeFill="accent3" w:themeFillTint="66"/>
            <w:noWrap/>
            <w:vAlign w:val="center"/>
            <w:hideMark/>
          </w:tcPr>
          <w:p w:rsidR="005F5B63" w:rsidRPr="0004149E" w:rsidRDefault="005F5B63" w:rsidP="00142A4B">
            <w:pPr>
              <w:spacing w:before="60" w:after="60" w:line="240" w:lineRule="auto"/>
              <w:rPr>
                <w:rFonts w:ascii="Microsoft Sans Serif" w:hAnsi="Microsoft Sans Serif" w:cs="Microsoft Sans Serif"/>
                <w:sz w:val="18"/>
                <w:szCs w:val="20"/>
                <w:lang w:val="de-AT" w:eastAsia="de-AT"/>
              </w:rPr>
            </w:pPr>
            <w:r w:rsidRPr="0004149E">
              <w:rPr>
                <w:rFonts w:ascii="Microsoft Sans Serif" w:hAnsi="Microsoft Sans Serif" w:cs="Microsoft Sans Serif"/>
                <w:sz w:val="18"/>
                <w:szCs w:val="20"/>
                <w:lang w:val="de-AT" w:eastAsia="de-AT"/>
              </w:rPr>
              <w:t>trifft nicht zu</w:t>
            </w:r>
          </w:p>
        </w:tc>
        <w:tc>
          <w:tcPr>
            <w:tcW w:w="1276" w:type="dxa"/>
            <w:gridSpan w:val="2"/>
            <w:shd w:val="clear" w:color="auto" w:fill="D6E3BC" w:themeFill="accent3" w:themeFillTint="66"/>
            <w:vAlign w:val="center"/>
          </w:tcPr>
          <w:p w:rsidR="005F5B63" w:rsidRPr="0004149E" w:rsidRDefault="005F5B63" w:rsidP="00142A4B">
            <w:pPr>
              <w:spacing w:before="60" w:after="60" w:line="240" w:lineRule="auto"/>
              <w:ind w:right="72"/>
              <w:rPr>
                <w:rFonts w:ascii="Microsoft Sans Serif" w:hAnsi="Microsoft Sans Serif" w:cs="Microsoft Sans Serif"/>
                <w:sz w:val="18"/>
                <w:szCs w:val="20"/>
                <w:lang w:val="de-AT" w:eastAsia="de-AT"/>
              </w:rPr>
            </w:pPr>
            <w:r w:rsidRPr="0004149E">
              <w:rPr>
                <w:rFonts w:ascii="Microsoft Sans Serif" w:hAnsi="Microsoft Sans Serif" w:cs="Microsoft Sans Serif"/>
                <w:sz w:val="18"/>
                <w:szCs w:val="20"/>
                <w:lang w:val="de-AT" w:eastAsia="de-AT"/>
              </w:rPr>
              <w:t>k.A.</w:t>
            </w:r>
          </w:p>
        </w:tc>
      </w:tr>
      <w:tr w:rsidR="005F5B63" w:rsidRPr="00AD525C" w:rsidTr="00142A4B">
        <w:trPr>
          <w:trHeight w:val="255"/>
        </w:trPr>
        <w:tc>
          <w:tcPr>
            <w:tcW w:w="5102" w:type="dxa"/>
            <w:shd w:val="clear" w:color="000000" w:fill="EEEEEE"/>
            <w:vAlign w:val="bottom"/>
            <w:hideMark/>
          </w:tcPr>
          <w:p w:rsidR="005F5B63" w:rsidRPr="00AD525C" w:rsidRDefault="005F5B63" w:rsidP="00142A4B">
            <w:pPr>
              <w:spacing w:before="60" w:after="60" w:line="240" w:lineRule="auto"/>
              <w:rPr>
                <w:rFonts w:ascii="Microsoft Sans Serif" w:hAnsi="Microsoft Sans Serif" w:cs="Microsoft Sans Serif"/>
                <w:sz w:val="16"/>
                <w:szCs w:val="20"/>
                <w:lang w:val="de-AT" w:eastAsia="de-AT"/>
              </w:rPr>
            </w:pPr>
            <w:r w:rsidRPr="00AD525C">
              <w:rPr>
                <w:rFonts w:ascii="Microsoft Sans Serif" w:hAnsi="Microsoft Sans Serif" w:cs="Microsoft Sans Serif"/>
                <w:sz w:val="16"/>
                <w:szCs w:val="20"/>
                <w:lang w:val="de-AT" w:eastAsia="de-AT"/>
              </w:rPr>
              <w:t>Dringlichkeit der Wohnversorgung</w:t>
            </w:r>
          </w:p>
        </w:tc>
        <w:tc>
          <w:tcPr>
            <w:tcW w:w="708" w:type="dxa"/>
            <w:shd w:val="clear" w:color="000000" w:fill="EEEEEE"/>
            <w:noWrap/>
            <w:vAlign w:val="center"/>
            <w:hideMark/>
          </w:tcPr>
          <w:p w:rsidR="005F5B63" w:rsidRPr="00AD525C" w:rsidRDefault="005F5B63" w:rsidP="00142A4B">
            <w:pPr>
              <w:spacing w:before="60" w:after="60" w:line="240" w:lineRule="auto"/>
              <w:ind w:right="71"/>
              <w:jc w:val="right"/>
              <w:rPr>
                <w:rFonts w:ascii="Microsoft Sans Serif" w:hAnsi="Microsoft Sans Serif" w:cs="Microsoft Sans Serif"/>
                <w:sz w:val="16"/>
                <w:szCs w:val="20"/>
                <w:lang w:val="de-AT" w:eastAsia="de-AT"/>
              </w:rPr>
            </w:pPr>
            <w:r w:rsidRPr="00AD525C">
              <w:rPr>
                <w:rFonts w:ascii="Microsoft Sans Serif" w:hAnsi="Microsoft Sans Serif" w:cs="Microsoft Sans Serif"/>
                <w:sz w:val="16"/>
                <w:szCs w:val="20"/>
                <w:lang w:val="de-AT" w:eastAsia="de-AT"/>
              </w:rPr>
              <w:t>140</w:t>
            </w:r>
          </w:p>
        </w:tc>
        <w:tc>
          <w:tcPr>
            <w:tcW w:w="710"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sidRPr="00AD525C">
              <w:rPr>
                <w:rFonts w:ascii="Microsoft Sans Serif" w:hAnsi="Microsoft Sans Serif" w:cs="Microsoft Sans Serif"/>
                <w:sz w:val="16"/>
                <w:szCs w:val="20"/>
                <w:lang w:val="de-AT" w:eastAsia="de-AT"/>
              </w:rPr>
              <w:t>80%</w:t>
            </w:r>
          </w:p>
        </w:tc>
        <w:tc>
          <w:tcPr>
            <w:tcW w:w="709"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sidRPr="00AD525C">
              <w:rPr>
                <w:rFonts w:ascii="Microsoft Sans Serif" w:hAnsi="Microsoft Sans Serif" w:cs="Microsoft Sans Serif"/>
                <w:sz w:val="16"/>
                <w:szCs w:val="20"/>
                <w:lang w:val="de-AT" w:eastAsia="de-AT"/>
              </w:rPr>
              <w:t>18</w:t>
            </w:r>
          </w:p>
        </w:tc>
        <w:tc>
          <w:tcPr>
            <w:tcW w:w="709"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sidRPr="00AD525C">
              <w:rPr>
                <w:rFonts w:ascii="Microsoft Sans Serif" w:hAnsi="Microsoft Sans Serif" w:cs="Microsoft Sans Serif"/>
                <w:sz w:val="16"/>
                <w:szCs w:val="20"/>
                <w:lang w:val="de-AT" w:eastAsia="de-AT"/>
              </w:rPr>
              <w:t>10%</w:t>
            </w:r>
          </w:p>
        </w:tc>
        <w:tc>
          <w:tcPr>
            <w:tcW w:w="567"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sidRPr="00AD525C">
              <w:rPr>
                <w:rFonts w:ascii="Microsoft Sans Serif" w:hAnsi="Microsoft Sans Serif" w:cs="Microsoft Sans Serif"/>
                <w:sz w:val="16"/>
                <w:szCs w:val="20"/>
                <w:lang w:val="de-AT" w:eastAsia="de-AT"/>
              </w:rPr>
              <w:t>18</w:t>
            </w:r>
          </w:p>
        </w:tc>
        <w:tc>
          <w:tcPr>
            <w:tcW w:w="709"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sidRPr="00AD525C">
              <w:rPr>
                <w:rFonts w:ascii="Microsoft Sans Serif" w:hAnsi="Microsoft Sans Serif" w:cs="Microsoft Sans Serif"/>
                <w:sz w:val="16"/>
                <w:szCs w:val="20"/>
                <w:lang w:val="de-AT" w:eastAsia="de-AT"/>
              </w:rPr>
              <w:t>10%</w:t>
            </w:r>
          </w:p>
        </w:tc>
      </w:tr>
      <w:tr w:rsidR="005F5B63" w:rsidRPr="00AD525C" w:rsidTr="00142A4B">
        <w:trPr>
          <w:trHeight w:val="255"/>
        </w:trPr>
        <w:tc>
          <w:tcPr>
            <w:tcW w:w="5102" w:type="dxa"/>
            <w:shd w:val="clear" w:color="000000" w:fill="EEEEEE"/>
            <w:vAlign w:val="center"/>
            <w:hideMark/>
          </w:tcPr>
          <w:p w:rsidR="005F5B63" w:rsidRPr="00AD525C" w:rsidRDefault="005F5B63" w:rsidP="00142A4B">
            <w:pPr>
              <w:spacing w:before="60" w:after="60" w:line="240" w:lineRule="auto"/>
              <w:rPr>
                <w:rFonts w:ascii="Microsoft Sans Serif" w:hAnsi="Microsoft Sans Serif" w:cs="Microsoft Sans Serif"/>
                <w:sz w:val="16"/>
                <w:szCs w:val="20"/>
                <w:lang w:val="de-AT" w:eastAsia="de-AT"/>
              </w:rPr>
            </w:pPr>
            <w:r w:rsidRPr="00AD525C">
              <w:rPr>
                <w:rFonts w:ascii="Microsoft Sans Serif" w:hAnsi="Microsoft Sans Serif" w:cs="Microsoft Sans Serif"/>
                <w:sz w:val="16"/>
                <w:szCs w:val="20"/>
                <w:lang w:val="de-AT" w:eastAsia="de-AT"/>
              </w:rPr>
              <w:t>Dauer des regulären Aufenthalts vor Ort / in der Region</w:t>
            </w:r>
          </w:p>
        </w:tc>
        <w:tc>
          <w:tcPr>
            <w:tcW w:w="708" w:type="dxa"/>
            <w:shd w:val="clear" w:color="000000" w:fill="EEEEEE"/>
            <w:noWrap/>
            <w:vAlign w:val="center"/>
            <w:hideMark/>
          </w:tcPr>
          <w:p w:rsidR="005F5B63" w:rsidRPr="00AD525C" w:rsidRDefault="005F5B63" w:rsidP="00142A4B">
            <w:pPr>
              <w:spacing w:before="60" w:after="60" w:line="240" w:lineRule="auto"/>
              <w:ind w:right="71"/>
              <w:jc w:val="right"/>
              <w:rPr>
                <w:rFonts w:ascii="Microsoft Sans Serif" w:hAnsi="Microsoft Sans Serif" w:cs="Microsoft Sans Serif"/>
                <w:sz w:val="16"/>
                <w:szCs w:val="20"/>
                <w:lang w:val="de-AT" w:eastAsia="de-AT"/>
              </w:rPr>
            </w:pPr>
            <w:r w:rsidRPr="00AD525C">
              <w:rPr>
                <w:rFonts w:ascii="Microsoft Sans Serif" w:hAnsi="Microsoft Sans Serif" w:cs="Microsoft Sans Serif"/>
                <w:sz w:val="16"/>
                <w:szCs w:val="20"/>
                <w:lang w:val="de-AT" w:eastAsia="de-AT"/>
              </w:rPr>
              <w:t>112</w:t>
            </w:r>
          </w:p>
        </w:tc>
        <w:tc>
          <w:tcPr>
            <w:tcW w:w="710"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64%</w:t>
            </w:r>
          </w:p>
        </w:tc>
        <w:tc>
          <w:tcPr>
            <w:tcW w:w="709"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45</w:t>
            </w:r>
          </w:p>
        </w:tc>
        <w:tc>
          <w:tcPr>
            <w:tcW w:w="709"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22%</w:t>
            </w:r>
          </w:p>
        </w:tc>
        <w:tc>
          <w:tcPr>
            <w:tcW w:w="567"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25</w:t>
            </w:r>
          </w:p>
        </w:tc>
        <w:tc>
          <w:tcPr>
            <w:tcW w:w="709"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14%</w:t>
            </w:r>
          </w:p>
        </w:tc>
      </w:tr>
      <w:tr w:rsidR="005F5B63" w:rsidRPr="00AD525C" w:rsidTr="00142A4B">
        <w:trPr>
          <w:trHeight w:val="255"/>
        </w:trPr>
        <w:tc>
          <w:tcPr>
            <w:tcW w:w="5102" w:type="dxa"/>
            <w:shd w:val="clear" w:color="000000" w:fill="EEEEEE"/>
            <w:vAlign w:val="bottom"/>
            <w:hideMark/>
          </w:tcPr>
          <w:p w:rsidR="005F5B63" w:rsidRPr="00AD525C" w:rsidRDefault="005F5B63" w:rsidP="00142A4B">
            <w:pPr>
              <w:spacing w:before="60" w:after="60" w:line="240" w:lineRule="auto"/>
              <w:rPr>
                <w:rFonts w:ascii="Microsoft Sans Serif" w:hAnsi="Microsoft Sans Serif" w:cs="Microsoft Sans Serif"/>
                <w:sz w:val="16"/>
                <w:szCs w:val="20"/>
                <w:lang w:val="de-AT" w:eastAsia="de-AT"/>
              </w:rPr>
            </w:pPr>
            <w:r w:rsidRPr="00AD525C">
              <w:rPr>
                <w:rFonts w:ascii="Microsoft Sans Serif" w:hAnsi="Microsoft Sans Serif" w:cs="Microsoft Sans Serif"/>
                <w:sz w:val="16"/>
                <w:szCs w:val="20"/>
                <w:lang w:val="de-AT" w:eastAsia="de-AT"/>
              </w:rPr>
              <w:t>AlleinerzieherInnenhaushalt</w:t>
            </w:r>
          </w:p>
        </w:tc>
        <w:tc>
          <w:tcPr>
            <w:tcW w:w="708" w:type="dxa"/>
            <w:shd w:val="clear" w:color="000000" w:fill="EEEEEE"/>
            <w:noWrap/>
            <w:vAlign w:val="center"/>
            <w:hideMark/>
          </w:tcPr>
          <w:p w:rsidR="005F5B63" w:rsidRPr="00AD525C" w:rsidRDefault="005F5B63" w:rsidP="00142A4B">
            <w:pPr>
              <w:spacing w:before="60" w:after="60" w:line="240" w:lineRule="auto"/>
              <w:ind w:right="71"/>
              <w:jc w:val="right"/>
              <w:rPr>
                <w:rFonts w:ascii="Microsoft Sans Serif" w:hAnsi="Microsoft Sans Serif" w:cs="Microsoft Sans Serif"/>
                <w:sz w:val="16"/>
                <w:szCs w:val="20"/>
                <w:lang w:val="de-AT" w:eastAsia="de-AT"/>
              </w:rPr>
            </w:pPr>
            <w:r w:rsidRPr="00AD525C">
              <w:rPr>
                <w:rFonts w:ascii="Microsoft Sans Serif" w:hAnsi="Microsoft Sans Serif" w:cs="Microsoft Sans Serif"/>
                <w:sz w:val="16"/>
                <w:szCs w:val="20"/>
                <w:lang w:val="de-AT" w:eastAsia="de-AT"/>
              </w:rPr>
              <w:t>110</w:t>
            </w:r>
          </w:p>
        </w:tc>
        <w:tc>
          <w:tcPr>
            <w:tcW w:w="710"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63%</w:t>
            </w:r>
          </w:p>
        </w:tc>
        <w:tc>
          <w:tcPr>
            <w:tcW w:w="709"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41</w:t>
            </w:r>
          </w:p>
        </w:tc>
        <w:tc>
          <w:tcPr>
            <w:tcW w:w="709"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23%</w:t>
            </w:r>
          </w:p>
        </w:tc>
        <w:tc>
          <w:tcPr>
            <w:tcW w:w="567"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25</w:t>
            </w:r>
          </w:p>
        </w:tc>
        <w:tc>
          <w:tcPr>
            <w:tcW w:w="709"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14%</w:t>
            </w:r>
          </w:p>
        </w:tc>
      </w:tr>
      <w:tr w:rsidR="005F5B63" w:rsidRPr="00AD525C" w:rsidTr="00142A4B">
        <w:trPr>
          <w:trHeight w:val="255"/>
        </w:trPr>
        <w:tc>
          <w:tcPr>
            <w:tcW w:w="5102" w:type="dxa"/>
            <w:shd w:val="clear" w:color="000000" w:fill="EEEEEE"/>
            <w:vAlign w:val="bottom"/>
            <w:hideMark/>
          </w:tcPr>
          <w:p w:rsidR="005F5B63" w:rsidRPr="00AD525C" w:rsidRDefault="005F5B63" w:rsidP="00142A4B">
            <w:pPr>
              <w:spacing w:before="60" w:after="60" w:line="240" w:lineRule="auto"/>
              <w:rPr>
                <w:rFonts w:ascii="Microsoft Sans Serif" w:hAnsi="Microsoft Sans Serif" w:cs="Microsoft Sans Serif"/>
                <w:sz w:val="16"/>
                <w:szCs w:val="20"/>
                <w:lang w:val="de-AT" w:eastAsia="de-AT"/>
              </w:rPr>
            </w:pPr>
            <w:r w:rsidRPr="00AD525C">
              <w:rPr>
                <w:rFonts w:ascii="Microsoft Sans Serif" w:hAnsi="Microsoft Sans Serif" w:cs="Microsoft Sans Serif"/>
                <w:sz w:val="16"/>
                <w:szCs w:val="20"/>
                <w:lang w:val="de-AT" w:eastAsia="de-AT"/>
              </w:rPr>
              <w:t>Anzahl von minderjährigen Kindern</w:t>
            </w:r>
          </w:p>
        </w:tc>
        <w:tc>
          <w:tcPr>
            <w:tcW w:w="708" w:type="dxa"/>
            <w:shd w:val="clear" w:color="000000" w:fill="EEEEEE"/>
            <w:noWrap/>
            <w:vAlign w:val="center"/>
            <w:hideMark/>
          </w:tcPr>
          <w:p w:rsidR="005F5B63" w:rsidRPr="00AD525C" w:rsidRDefault="005F5B63" w:rsidP="00142A4B">
            <w:pPr>
              <w:spacing w:before="60" w:after="60" w:line="240" w:lineRule="auto"/>
              <w:ind w:right="71"/>
              <w:jc w:val="right"/>
              <w:rPr>
                <w:rFonts w:ascii="Microsoft Sans Serif" w:hAnsi="Microsoft Sans Serif" w:cs="Microsoft Sans Serif"/>
                <w:sz w:val="16"/>
                <w:szCs w:val="20"/>
                <w:lang w:val="de-AT" w:eastAsia="de-AT"/>
              </w:rPr>
            </w:pPr>
            <w:r w:rsidRPr="00AD525C">
              <w:rPr>
                <w:rFonts w:ascii="Microsoft Sans Serif" w:hAnsi="Microsoft Sans Serif" w:cs="Microsoft Sans Serif"/>
                <w:sz w:val="16"/>
                <w:szCs w:val="20"/>
                <w:lang w:val="de-AT" w:eastAsia="de-AT"/>
              </w:rPr>
              <w:t>108</w:t>
            </w:r>
          </w:p>
        </w:tc>
        <w:tc>
          <w:tcPr>
            <w:tcW w:w="710"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62%</w:t>
            </w:r>
          </w:p>
        </w:tc>
        <w:tc>
          <w:tcPr>
            <w:tcW w:w="709"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47</w:t>
            </w:r>
          </w:p>
        </w:tc>
        <w:tc>
          <w:tcPr>
            <w:tcW w:w="709"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27%</w:t>
            </w:r>
          </w:p>
        </w:tc>
        <w:tc>
          <w:tcPr>
            <w:tcW w:w="567"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21</w:t>
            </w:r>
          </w:p>
        </w:tc>
        <w:tc>
          <w:tcPr>
            <w:tcW w:w="709"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12%</w:t>
            </w:r>
          </w:p>
        </w:tc>
      </w:tr>
      <w:tr w:rsidR="005F5B63" w:rsidRPr="00AD525C" w:rsidTr="00142A4B">
        <w:trPr>
          <w:trHeight w:val="255"/>
        </w:trPr>
        <w:tc>
          <w:tcPr>
            <w:tcW w:w="5102" w:type="dxa"/>
            <w:shd w:val="clear" w:color="000000" w:fill="EEEEEE"/>
            <w:vAlign w:val="bottom"/>
            <w:hideMark/>
          </w:tcPr>
          <w:p w:rsidR="005F5B63" w:rsidRPr="00AD525C" w:rsidRDefault="005F5B63" w:rsidP="00142A4B">
            <w:pPr>
              <w:spacing w:before="60" w:after="60" w:line="240" w:lineRule="auto"/>
              <w:rPr>
                <w:rFonts w:ascii="Microsoft Sans Serif" w:hAnsi="Microsoft Sans Serif" w:cs="Microsoft Sans Serif"/>
                <w:sz w:val="16"/>
                <w:szCs w:val="20"/>
                <w:lang w:val="de-AT" w:eastAsia="de-AT"/>
              </w:rPr>
            </w:pPr>
            <w:r w:rsidRPr="00AD525C">
              <w:rPr>
                <w:rFonts w:ascii="Microsoft Sans Serif" w:hAnsi="Microsoft Sans Serif" w:cs="Microsoft Sans Serif"/>
                <w:sz w:val="16"/>
                <w:szCs w:val="20"/>
                <w:lang w:val="de-AT" w:eastAsia="de-AT"/>
              </w:rPr>
              <w:t>Behinderung von Haushaltsmitgliedern</w:t>
            </w:r>
          </w:p>
        </w:tc>
        <w:tc>
          <w:tcPr>
            <w:tcW w:w="708" w:type="dxa"/>
            <w:shd w:val="clear" w:color="000000" w:fill="EEEEEE"/>
            <w:noWrap/>
            <w:vAlign w:val="center"/>
            <w:hideMark/>
          </w:tcPr>
          <w:p w:rsidR="005F5B63" w:rsidRPr="00AD525C" w:rsidRDefault="005F5B63" w:rsidP="00142A4B">
            <w:pPr>
              <w:spacing w:before="60" w:after="60" w:line="240" w:lineRule="auto"/>
              <w:ind w:right="71"/>
              <w:jc w:val="right"/>
              <w:rPr>
                <w:rFonts w:ascii="Microsoft Sans Serif" w:hAnsi="Microsoft Sans Serif" w:cs="Microsoft Sans Serif"/>
                <w:sz w:val="16"/>
                <w:szCs w:val="20"/>
                <w:lang w:val="de-AT" w:eastAsia="de-AT"/>
              </w:rPr>
            </w:pPr>
            <w:r w:rsidRPr="00AD525C">
              <w:rPr>
                <w:rFonts w:ascii="Microsoft Sans Serif" w:hAnsi="Microsoft Sans Serif" w:cs="Microsoft Sans Serif"/>
                <w:sz w:val="16"/>
                <w:szCs w:val="20"/>
                <w:lang w:val="de-AT" w:eastAsia="de-AT"/>
              </w:rPr>
              <w:t>100</w:t>
            </w:r>
          </w:p>
        </w:tc>
        <w:tc>
          <w:tcPr>
            <w:tcW w:w="710"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57%</w:t>
            </w:r>
          </w:p>
        </w:tc>
        <w:tc>
          <w:tcPr>
            <w:tcW w:w="709"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50</w:t>
            </w:r>
          </w:p>
        </w:tc>
        <w:tc>
          <w:tcPr>
            <w:tcW w:w="709"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28%</w:t>
            </w:r>
          </w:p>
        </w:tc>
        <w:tc>
          <w:tcPr>
            <w:tcW w:w="567"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26</w:t>
            </w:r>
          </w:p>
        </w:tc>
        <w:tc>
          <w:tcPr>
            <w:tcW w:w="709"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15%</w:t>
            </w:r>
          </w:p>
        </w:tc>
      </w:tr>
      <w:tr w:rsidR="005F5B63" w:rsidRPr="00AD525C" w:rsidTr="00142A4B">
        <w:trPr>
          <w:trHeight w:val="255"/>
        </w:trPr>
        <w:tc>
          <w:tcPr>
            <w:tcW w:w="5102" w:type="dxa"/>
            <w:shd w:val="clear" w:color="000000" w:fill="EEEEEE"/>
            <w:vAlign w:val="bottom"/>
            <w:hideMark/>
          </w:tcPr>
          <w:p w:rsidR="005F5B63" w:rsidRPr="00AD525C" w:rsidRDefault="005F5B63" w:rsidP="00142A4B">
            <w:pPr>
              <w:spacing w:before="60" w:after="60" w:line="240" w:lineRule="auto"/>
              <w:rPr>
                <w:rFonts w:ascii="Microsoft Sans Serif" w:hAnsi="Microsoft Sans Serif" w:cs="Microsoft Sans Serif"/>
                <w:sz w:val="16"/>
                <w:szCs w:val="20"/>
                <w:lang w:val="de-AT" w:eastAsia="de-AT"/>
              </w:rPr>
            </w:pPr>
            <w:r w:rsidRPr="00AD525C">
              <w:rPr>
                <w:rFonts w:ascii="Microsoft Sans Serif" w:hAnsi="Microsoft Sans Serif" w:cs="Microsoft Sans Serif"/>
                <w:sz w:val="16"/>
                <w:szCs w:val="20"/>
                <w:lang w:val="de-AT" w:eastAsia="de-AT"/>
              </w:rPr>
              <w:t>Pflegebedürftigkeit von Haushaltsmitgliedern</w:t>
            </w:r>
          </w:p>
        </w:tc>
        <w:tc>
          <w:tcPr>
            <w:tcW w:w="708" w:type="dxa"/>
            <w:shd w:val="clear" w:color="000000" w:fill="EEEEEE"/>
            <w:noWrap/>
            <w:vAlign w:val="center"/>
            <w:hideMark/>
          </w:tcPr>
          <w:p w:rsidR="005F5B63" w:rsidRPr="00AD525C" w:rsidRDefault="005F5B63" w:rsidP="00142A4B">
            <w:pPr>
              <w:spacing w:before="60" w:after="60" w:line="240" w:lineRule="auto"/>
              <w:ind w:right="71"/>
              <w:jc w:val="right"/>
              <w:rPr>
                <w:rFonts w:ascii="Microsoft Sans Serif" w:hAnsi="Microsoft Sans Serif" w:cs="Microsoft Sans Serif"/>
                <w:sz w:val="16"/>
                <w:szCs w:val="20"/>
                <w:lang w:val="de-AT" w:eastAsia="de-AT"/>
              </w:rPr>
            </w:pPr>
            <w:r w:rsidRPr="00AD525C">
              <w:rPr>
                <w:rFonts w:ascii="Microsoft Sans Serif" w:hAnsi="Microsoft Sans Serif" w:cs="Microsoft Sans Serif"/>
                <w:sz w:val="16"/>
                <w:szCs w:val="20"/>
                <w:lang w:val="de-AT" w:eastAsia="de-AT"/>
              </w:rPr>
              <w:t>88</w:t>
            </w:r>
          </w:p>
        </w:tc>
        <w:tc>
          <w:tcPr>
            <w:tcW w:w="710"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52%</w:t>
            </w:r>
          </w:p>
        </w:tc>
        <w:tc>
          <w:tcPr>
            <w:tcW w:w="709"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59</w:t>
            </w:r>
          </w:p>
        </w:tc>
        <w:tc>
          <w:tcPr>
            <w:tcW w:w="709"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33%</w:t>
            </w:r>
          </w:p>
        </w:tc>
        <w:tc>
          <w:tcPr>
            <w:tcW w:w="567"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29</w:t>
            </w:r>
          </w:p>
        </w:tc>
        <w:tc>
          <w:tcPr>
            <w:tcW w:w="709"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16%</w:t>
            </w:r>
          </w:p>
        </w:tc>
      </w:tr>
      <w:tr w:rsidR="005F5B63" w:rsidRPr="00AD525C" w:rsidTr="00142A4B">
        <w:trPr>
          <w:trHeight w:val="255"/>
        </w:trPr>
        <w:tc>
          <w:tcPr>
            <w:tcW w:w="5102" w:type="dxa"/>
            <w:shd w:val="clear" w:color="000000" w:fill="EEEEEE"/>
            <w:vAlign w:val="bottom"/>
            <w:hideMark/>
          </w:tcPr>
          <w:p w:rsidR="005F5B63" w:rsidRPr="00AD525C" w:rsidRDefault="005F5B63" w:rsidP="00142A4B">
            <w:pPr>
              <w:spacing w:before="60" w:after="60" w:line="240" w:lineRule="auto"/>
              <w:rPr>
                <w:rFonts w:ascii="Microsoft Sans Serif" w:hAnsi="Microsoft Sans Serif" w:cs="Microsoft Sans Serif"/>
                <w:sz w:val="16"/>
                <w:szCs w:val="20"/>
                <w:lang w:val="de-AT" w:eastAsia="de-AT"/>
              </w:rPr>
            </w:pPr>
            <w:r w:rsidRPr="00AD525C">
              <w:rPr>
                <w:rFonts w:ascii="Microsoft Sans Serif" w:hAnsi="Microsoft Sans Serif" w:cs="Microsoft Sans Serif"/>
                <w:sz w:val="16"/>
                <w:szCs w:val="20"/>
                <w:lang w:val="de-AT" w:eastAsia="de-AT"/>
              </w:rPr>
              <w:t>Art des Beschäftigungsverhältnisses</w:t>
            </w:r>
          </w:p>
        </w:tc>
        <w:tc>
          <w:tcPr>
            <w:tcW w:w="708" w:type="dxa"/>
            <w:shd w:val="clear" w:color="000000" w:fill="EEEEEE"/>
            <w:noWrap/>
            <w:vAlign w:val="center"/>
            <w:hideMark/>
          </w:tcPr>
          <w:p w:rsidR="005F5B63" w:rsidRPr="00AD525C" w:rsidRDefault="005F5B63" w:rsidP="00142A4B">
            <w:pPr>
              <w:spacing w:before="60" w:after="60" w:line="240" w:lineRule="auto"/>
              <w:ind w:right="71"/>
              <w:jc w:val="right"/>
              <w:rPr>
                <w:rFonts w:ascii="Microsoft Sans Serif" w:hAnsi="Microsoft Sans Serif" w:cs="Microsoft Sans Serif"/>
                <w:sz w:val="16"/>
                <w:szCs w:val="20"/>
                <w:lang w:val="de-AT" w:eastAsia="de-AT"/>
              </w:rPr>
            </w:pPr>
            <w:r w:rsidRPr="00AD525C">
              <w:rPr>
                <w:rFonts w:ascii="Microsoft Sans Serif" w:hAnsi="Microsoft Sans Serif" w:cs="Microsoft Sans Serif"/>
                <w:sz w:val="16"/>
                <w:szCs w:val="20"/>
                <w:lang w:val="de-AT" w:eastAsia="de-AT"/>
              </w:rPr>
              <w:t>65</w:t>
            </w:r>
          </w:p>
        </w:tc>
        <w:tc>
          <w:tcPr>
            <w:tcW w:w="710"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37%</w:t>
            </w:r>
          </w:p>
        </w:tc>
        <w:tc>
          <w:tcPr>
            <w:tcW w:w="709"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85</w:t>
            </w:r>
          </w:p>
        </w:tc>
        <w:tc>
          <w:tcPr>
            <w:tcW w:w="709"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48%</w:t>
            </w:r>
          </w:p>
        </w:tc>
        <w:tc>
          <w:tcPr>
            <w:tcW w:w="567"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26</w:t>
            </w:r>
          </w:p>
        </w:tc>
        <w:tc>
          <w:tcPr>
            <w:tcW w:w="709"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15%</w:t>
            </w:r>
          </w:p>
        </w:tc>
      </w:tr>
    </w:tbl>
    <w:p w:rsidR="005F5B63" w:rsidRPr="00C225AD" w:rsidRDefault="005F5B63" w:rsidP="005F5B63">
      <w:pPr>
        <w:spacing w:after="0" w:line="240" w:lineRule="auto"/>
        <w:jc w:val="center"/>
        <w:rPr>
          <w:rFonts w:ascii="Microsoft Sans Serif" w:hAnsi="Microsoft Sans Serif" w:cs="Microsoft Sans Serif"/>
          <w:sz w:val="20"/>
          <w:szCs w:val="20"/>
          <w:lang w:val="de-AT" w:eastAsia="de-AT"/>
        </w:rPr>
      </w:pPr>
    </w:p>
    <w:p w:rsidR="005F5B63" w:rsidRDefault="005F5B63" w:rsidP="005F5B63"/>
    <w:p w:rsidR="005F5B63" w:rsidRDefault="005F5B63" w:rsidP="005F5B63">
      <w:pPr>
        <w:spacing w:after="200" w:line="276" w:lineRule="auto"/>
        <w:rPr>
          <w:rFonts w:eastAsiaTheme="majorEastAsia" w:cstheme="majorBidi"/>
          <w:i/>
          <w:iCs/>
          <w:color w:val="365F91" w:themeColor="accent1" w:themeShade="BF"/>
          <w:spacing w:val="15"/>
        </w:rPr>
      </w:pPr>
      <w:r>
        <w:br w:type="page"/>
      </w:r>
    </w:p>
    <w:p w:rsidR="005F5B63" w:rsidRDefault="005F5B63" w:rsidP="00FF2B86">
      <w:pPr>
        <w:pStyle w:val="Untertitel"/>
      </w:pPr>
      <w:r>
        <w:lastRenderedPageBreak/>
        <w:t xml:space="preserve">Tab. 14: </w:t>
      </w:r>
      <w:r>
        <w:tab/>
        <w:t>Vergabekriterien nach Art der Einrichtung, n = 177</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544"/>
        <w:gridCol w:w="1559"/>
        <w:gridCol w:w="1417"/>
        <w:gridCol w:w="1277"/>
        <w:gridCol w:w="1417"/>
      </w:tblGrid>
      <w:tr w:rsidR="005F5B63" w:rsidRPr="0004149E" w:rsidTr="00142A4B">
        <w:trPr>
          <w:trHeight w:val="255"/>
        </w:trPr>
        <w:tc>
          <w:tcPr>
            <w:tcW w:w="3544" w:type="dxa"/>
            <w:shd w:val="clear" w:color="auto" w:fill="D6E3BC" w:themeFill="accent3" w:themeFillTint="66"/>
            <w:vAlign w:val="bottom"/>
            <w:hideMark/>
          </w:tcPr>
          <w:p w:rsidR="005F5B63" w:rsidRPr="0004149E" w:rsidRDefault="005F5B63" w:rsidP="00142A4B">
            <w:pPr>
              <w:spacing w:before="60" w:after="60" w:line="240" w:lineRule="auto"/>
              <w:rPr>
                <w:rFonts w:ascii="Microsoft Sans Serif" w:hAnsi="Microsoft Sans Serif" w:cs="Microsoft Sans Serif"/>
                <w:sz w:val="18"/>
                <w:szCs w:val="20"/>
                <w:lang w:val="de-AT" w:eastAsia="de-AT"/>
              </w:rPr>
            </w:pPr>
          </w:p>
        </w:tc>
        <w:tc>
          <w:tcPr>
            <w:tcW w:w="1559" w:type="dxa"/>
            <w:shd w:val="clear" w:color="auto" w:fill="D6E3BC" w:themeFill="accent3" w:themeFillTint="66"/>
            <w:noWrap/>
            <w:vAlign w:val="center"/>
            <w:hideMark/>
          </w:tcPr>
          <w:p w:rsidR="005F5B63" w:rsidRPr="0004149E" w:rsidRDefault="005F5B63" w:rsidP="00142A4B">
            <w:pPr>
              <w:spacing w:before="60" w:after="60" w:line="240" w:lineRule="auto"/>
              <w:rPr>
                <w:rFonts w:ascii="Microsoft Sans Serif" w:hAnsi="Microsoft Sans Serif" w:cs="Microsoft Sans Serif"/>
                <w:sz w:val="18"/>
                <w:szCs w:val="20"/>
                <w:lang w:val="de-AT" w:eastAsia="de-AT"/>
              </w:rPr>
            </w:pPr>
            <w:r>
              <w:rPr>
                <w:rFonts w:ascii="Microsoft Sans Serif" w:hAnsi="Microsoft Sans Serif" w:cs="Microsoft Sans Serif"/>
                <w:sz w:val="18"/>
                <w:szCs w:val="20"/>
                <w:lang w:val="de-AT" w:eastAsia="de-AT"/>
              </w:rPr>
              <w:t>kommunale Wohnungsämter</w:t>
            </w:r>
          </w:p>
        </w:tc>
        <w:tc>
          <w:tcPr>
            <w:tcW w:w="1417" w:type="dxa"/>
            <w:shd w:val="clear" w:color="auto" w:fill="D6E3BC" w:themeFill="accent3" w:themeFillTint="66"/>
            <w:vAlign w:val="center"/>
          </w:tcPr>
          <w:p w:rsidR="005F5B63" w:rsidRPr="0004149E" w:rsidRDefault="005F5B63" w:rsidP="00142A4B">
            <w:pPr>
              <w:spacing w:before="60" w:after="60" w:line="240" w:lineRule="auto"/>
              <w:rPr>
                <w:rFonts w:ascii="Microsoft Sans Serif" w:hAnsi="Microsoft Sans Serif" w:cs="Microsoft Sans Serif"/>
                <w:sz w:val="18"/>
                <w:szCs w:val="20"/>
                <w:lang w:val="de-AT" w:eastAsia="de-AT"/>
              </w:rPr>
            </w:pPr>
            <w:r>
              <w:rPr>
                <w:rFonts w:ascii="Microsoft Sans Serif" w:hAnsi="Microsoft Sans Serif" w:cs="Microsoft Sans Serif"/>
                <w:sz w:val="18"/>
                <w:szCs w:val="20"/>
                <w:lang w:val="de-AT" w:eastAsia="de-AT"/>
              </w:rPr>
              <w:t>gemeinnützige Bauträger</w:t>
            </w:r>
          </w:p>
        </w:tc>
        <w:tc>
          <w:tcPr>
            <w:tcW w:w="1277" w:type="dxa"/>
            <w:shd w:val="clear" w:color="auto" w:fill="D6E3BC" w:themeFill="accent3" w:themeFillTint="66"/>
            <w:noWrap/>
            <w:vAlign w:val="center"/>
            <w:hideMark/>
          </w:tcPr>
          <w:p w:rsidR="005F5B63" w:rsidRPr="0004149E" w:rsidRDefault="005F5B63" w:rsidP="00142A4B">
            <w:pPr>
              <w:spacing w:before="60" w:after="60" w:line="240" w:lineRule="auto"/>
              <w:rPr>
                <w:rFonts w:ascii="Microsoft Sans Serif" w:hAnsi="Microsoft Sans Serif" w:cs="Microsoft Sans Serif"/>
                <w:sz w:val="18"/>
                <w:szCs w:val="20"/>
                <w:lang w:val="de-AT" w:eastAsia="de-AT"/>
              </w:rPr>
            </w:pPr>
            <w:r>
              <w:rPr>
                <w:rFonts w:ascii="Microsoft Sans Serif" w:hAnsi="Microsoft Sans Serif" w:cs="Microsoft Sans Serif"/>
                <w:sz w:val="18"/>
                <w:szCs w:val="20"/>
                <w:lang w:val="de-AT" w:eastAsia="de-AT"/>
              </w:rPr>
              <w:t>private Ba</w:t>
            </w:r>
            <w:r>
              <w:rPr>
                <w:rFonts w:ascii="Microsoft Sans Serif" w:hAnsi="Microsoft Sans Serif" w:cs="Microsoft Sans Serif"/>
                <w:sz w:val="18"/>
                <w:szCs w:val="20"/>
                <w:lang w:val="de-AT" w:eastAsia="de-AT"/>
              </w:rPr>
              <w:t>u</w:t>
            </w:r>
            <w:r>
              <w:rPr>
                <w:rFonts w:ascii="Microsoft Sans Serif" w:hAnsi="Microsoft Sans Serif" w:cs="Microsoft Sans Serif"/>
                <w:sz w:val="18"/>
                <w:szCs w:val="20"/>
                <w:lang w:val="de-AT" w:eastAsia="de-AT"/>
              </w:rPr>
              <w:t>träger</w:t>
            </w:r>
          </w:p>
        </w:tc>
        <w:tc>
          <w:tcPr>
            <w:tcW w:w="1417" w:type="dxa"/>
            <w:shd w:val="clear" w:color="auto" w:fill="D6E3BC" w:themeFill="accent3" w:themeFillTint="66"/>
            <w:vAlign w:val="center"/>
          </w:tcPr>
          <w:p w:rsidR="005F5B63" w:rsidRPr="0004149E" w:rsidRDefault="005F5B63" w:rsidP="00142A4B">
            <w:pPr>
              <w:spacing w:before="60" w:after="60" w:line="240" w:lineRule="auto"/>
              <w:ind w:right="72"/>
              <w:rPr>
                <w:rFonts w:ascii="Microsoft Sans Serif" w:hAnsi="Microsoft Sans Serif" w:cs="Microsoft Sans Serif"/>
                <w:sz w:val="18"/>
                <w:szCs w:val="20"/>
                <w:lang w:val="de-AT" w:eastAsia="de-AT"/>
              </w:rPr>
            </w:pPr>
            <w:r>
              <w:rPr>
                <w:rFonts w:ascii="Microsoft Sans Serif" w:hAnsi="Microsoft Sans Serif" w:cs="Microsoft Sans Serif"/>
                <w:sz w:val="18"/>
                <w:szCs w:val="20"/>
                <w:lang w:val="de-AT" w:eastAsia="de-AT"/>
              </w:rPr>
              <w:t>Beratungs</w:t>
            </w:r>
            <w:r>
              <w:rPr>
                <w:rFonts w:ascii="Microsoft Sans Serif" w:hAnsi="Microsoft Sans Serif" w:cs="Microsoft Sans Serif"/>
                <w:sz w:val="18"/>
                <w:szCs w:val="20"/>
                <w:lang w:val="de-AT" w:eastAsia="de-AT"/>
              </w:rPr>
              <w:softHyphen/>
              <w:t>einrichtungen</w:t>
            </w:r>
          </w:p>
        </w:tc>
      </w:tr>
      <w:tr w:rsidR="005F5B63" w:rsidRPr="00AD525C" w:rsidTr="00142A4B">
        <w:trPr>
          <w:trHeight w:val="255"/>
        </w:trPr>
        <w:tc>
          <w:tcPr>
            <w:tcW w:w="3544" w:type="dxa"/>
            <w:shd w:val="clear" w:color="000000" w:fill="EEEEEE"/>
            <w:vAlign w:val="bottom"/>
            <w:hideMark/>
          </w:tcPr>
          <w:p w:rsidR="005F5B63" w:rsidRPr="00AD525C" w:rsidRDefault="005F5B63" w:rsidP="00142A4B">
            <w:pPr>
              <w:spacing w:before="60" w:after="60" w:line="240" w:lineRule="auto"/>
              <w:rPr>
                <w:rFonts w:ascii="Microsoft Sans Serif" w:hAnsi="Microsoft Sans Serif" w:cs="Microsoft Sans Serif"/>
                <w:sz w:val="16"/>
                <w:szCs w:val="20"/>
                <w:lang w:val="de-AT" w:eastAsia="de-AT"/>
              </w:rPr>
            </w:pPr>
            <w:r w:rsidRPr="00AD525C">
              <w:rPr>
                <w:rFonts w:ascii="Microsoft Sans Serif" w:hAnsi="Microsoft Sans Serif" w:cs="Microsoft Sans Serif"/>
                <w:sz w:val="16"/>
                <w:szCs w:val="20"/>
                <w:lang w:val="de-AT" w:eastAsia="de-AT"/>
              </w:rPr>
              <w:t>Dringlichkeit der Wohnversorgung</w:t>
            </w:r>
          </w:p>
        </w:tc>
        <w:tc>
          <w:tcPr>
            <w:tcW w:w="1559" w:type="dxa"/>
            <w:shd w:val="clear" w:color="000000" w:fill="EEEEEE"/>
            <w:noWrap/>
            <w:vAlign w:val="center"/>
            <w:hideMark/>
          </w:tcPr>
          <w:p w:rsidR="005F5B63" w:rsidRPr="00AD525C" w:rsidRDefault="005F5B63" w:rsidP="00142A4B">
            <w:pPr>
              <w:spacing w:before="60" w:after="60" w:line="240" w:lineRule="auto"/>
              <w:ind w:right="71"/>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93%</w:t>
            </w:r>
          </w:p>
        </w:tc>
        <w:tc>
          <w:tcPr>
            <w:tcW w:w="1417"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83%</w:t>
            </w:r>
          </w:p>
        </w:tc>
        <w:tc>
          <w:tcPr>
            <w:tcW w:w="1277"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74%</w:t>
            </w:r>
          </w:p>
        </w:tc>
        <w:tc>
          <w:tcPr>
            <w:tcW w:w="1417"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81%</w:t>
            </w:r>
          </w:p>
        </w:tc>
      </w:tr>
      <w:tr w:rsidR="005F5B63" w:rsidRPr="00AD525C" w:rsidTr="00142A4B">
        <w:trPr>
          <w:trHeight w:val="255"/>
        </w:trPr>
        <w:tc>
          <w:tcPr>
            <w:tcW w:w="3544" w:type="dxa"/>
            <w:shd w:val="clear" w:color="000000" w:fill="EEEEEE"/>
            <w:vAlign w:val="center"/>
            <w:hideMark/>
          </w:tcPr>
          <w:p w:rsidR="005F5B63" w:rsidRPr="00AD525C" w:rsidRDefault="005F5B63" w:rsidP="00142A4B">
            <w:pPr>
              <w:spacing w:before="60" w:after="60" w:line="240" w:lineRule="auto"/>
              <w:rPr>
                <w:rFonts w:ascii="Microsoft Sans Serif" w:hAnsi="Microsoft Sans Serif" w:cs="Microsoft Sans Serif"/>
                <w:sz w:val="16"/>
                <w:szCs w:val="20"/>
                <w:lang w:val="de-AT" w:eastAsia="de-AT"/>
              </w:rPr>
            </w:pPr>
            <w:r w:rsidRPr="00AD525C">
              <w:rPr>
                <w:rFonts w:ascii="Microsoft Sans Serif" w:hAnsi="Microsoft Sans Serif" w:cs="Microsoft Sans Serif"/>
                <w:sz w:val="16"/>
                <w:szCs w:val="20"/>
                <w:lang w:val="de-AT" w:eastAsia="de-AT"/>
              </w:rPr>
              <w:t>Dauer des regulären Aufenthalts vor Ort / in der Region</w:t>
            </w:r>
          </w:p>
        </w:tc>
        <w:tc>
          <w:tcPr>
            <w:tcW w:w="1559" w:type="dxa"/>
            <w:shd w:val="clear" w:color="000000" w:fill="EEEEEE"/>
            <w:noWrap/>
            <w:vAlign w:val="center"/>
            <w:hideMark/>
          </w:tcPr>
          <w:p w:rsidR="005F5B63" w:rsidRPr="00AD525C" w:rsidRDefault="005F5B63" w:rsidP="00142A4B">
            <w:pPr>
              <w:spacing w:before="60" w:after="60" w:line="240" w:lineRule="auto"/>
              <w:ind w:right="71"/>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76%</w:t>
            </w:r>
          </w:p>
        </w:tc>
        <w:tc>
          <w:tcPr>
            <w:tcW w:w="1417"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51%</w:t>
            </w:r>
          </w:p>
        </w:tc>
        <w:tc>
          <w:tcPr>
            <w:tcW w:w="1277"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69%</w:t>
            </w:r>
          </w:p>
        </w:tc>
        <w:tc>
          <w:tcPr>
            <w:tcW w:w="1417"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68%</w:t>
            </w:r>
          </w:p>
        </w:tc>
      </w:tr>
      <w:tr w:rsidR="005F5B63" w:rsidRPr="00AD525C" w:rsidTr="00142A4B">
        <w:trPr>
          <w:trHeight w:val="255"/>
        </w:trPr>
        <w:tc>
          <w:tcPr>
            <w:tcW w:w="3544" w:type="dxa"/>
            <w:shd w:val="clear" w:color="000000" w:fill="EEEEEE"/>
            <w:vAlign w:val="bottom"/>
            <w:hideMark/>
          </w:tcPr>
          <w:p w:rsidR="005F5B63" w:rsidRPr="00AD525C" w:rsidRDefault="005F5B63" w:rsidP="00142A4B">
            <w:pPr>
              <w:spacing w:before="60" w:after="60" w:line="240" w:lineRule="auto"/>
              <w:rPr>
                <w:rFonts w:ascii="Microsoft Sans Serif" w:hAnsi="Microsoft Sans Serif" w:cs="Microsoft Sans Serif"/>
                <w:sz w:val="16"/>
                <w:szCs w:val="20"/>
                <w:lang w:val="de-AT" w:eastAsia="de-AT"/>
              </w:rPr>
            </w:pPr>
            <w:r w:rsidRPr="00AD525C">
              <w:rPr>
                <w:rFonts w:ascii="Microsoft Sans Serif" w:hAnsi="Microsoft Sans Serif" w:cs="Microsoft Sans Serif"/>
                <w:sz w:val="16"/>
                <w:szCs w:val="20"/>
                <w:lang w:val="de-AT" w:eastAsia="de-AT"/>
              </w:rPr>
              <w:t>AlleinerzieherInnenhaushalt</w:t>
            </w:r>
          </w:p>
        </w:tc>
        <w:tc>
          <w:tcPr>
            <w:tcW w:w="1559" w:type="dxa"/>
            <w:shd w:val="clear" w:color="000000" w:fill="EEEEEE"/>
            <w:noWrap/>
            <w:vAlign w:val="center"/>
            <w:hideMark/>
          </w:tcPr>
          <w:p w:rsidR="005F5B63" w:rsidRPr="00AD525C" w:rsidRDefault="005F5B63" w:rsidP="00142A4B">
            <w:pPr>
              <w:spacing w:before="60" w:after="60" w:line="240" w:lineRule="auto"/>
              <w:ind w:right="71"/>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87%</w:t>
            </w:r>
          </w:p>
        </w:tc>
        <w:tc>
          <w:tcPr>
            <w:tcW w:w="1417"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71%</w:t>
            </w:r>
          </w:p>
        </w:tc>
        <w:tc>
          <w:tcPr>
            <w:tcW w:w="1277"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58%</w:t>
            </w:r>
          </w:p>
        </w:tc>
        <w:tc>
          <w:tcPr>
            <w:tcW w:w="1417"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60%</w:t>
            </w:r>
          </w:p>
        </w:tc>
      </w:tr>
      <w:tr w:rsidR="005F5B63" w:rsidRPr="00AD525C" w:rsidTr="00142A4B">
        <w:trPr>
          <w:trHeight w:val="255"/>
        </w:trPr>
        <w:tc>
          <w:tcPr>
            <w:tcW w:w="3544" w:type="dxa"/>
            <w:shd w:val="clear" w:color="000000" w:fill="EEEEEE"/>
            <w:vAlign w:val="bottom"/>
            <w:hideMark/>
          </w:tcPr>
          <w:p w:rsidR="005F5B63" w:rsidRPr="00AD525C" w:rsidRDefault="005F5B63" w:rsidP="00142A4B">
            <w:pPr>
              <w:spacing w:before="60" w:after="60" w:line="240" w:lineRule="auto"/>
              <w:rPr>
                <w:rFonts w:ascii="Microsoft Sans Serif" w:hAnsi="Microsoft Sans Serif" w:cs="Microsoft Sans Serif"/>
                <w:sz w:val="16"/>
                <w:szCs w:val="20"/>
                <w:lang w:val="de-AT" w:eastAsia="de-AT"/>
              </w:rPr>
            </w:pPr>
            <w:r w:rsidRPr="00AD525C">
              <w:rPr>
                <w:rFonts w:ascii="Microsoft Sans Serif" w:hAnsi="Microsoft Sans Serif" w:cs="Microsoft Sans Serif"/>
                <w:sz w:val="16"/>
                <w:szCs w:val="20"/>
                <w:lang w:val="de-AT" w:eastAsia="de-AT"/>
              </w:rPr>
              <w:t>Anzahl von minderjährigen Kindern</w:t>
            </w:r>
          </w:p>
        </w:tc>
        <w:tc>
          <w:tcPr>
            <w:tcW w:w="1559" w:type="dxa"/>
            <w:shd w:val="clear" w:color="000000" w:fill="EEEEEE"/>
            <w:noWrap/>
            <w:vAlign w:val="center"/>
            <w:hideMark/>
          </w:tcPr>
          <w:p w:rsidR="005F5B63" w:rsidRPr="00AD525C" w:rsidRDefault="005F5B63" w:rsidP="00142A4B">
            <w:pPr>
              <w:spacing w:before="60" w:after="60" w:line="240" w:lineRule="auto"/>
              <w:ind w:right="71"/>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84%</w:t>
            </w:r>
          </w:p>
        </w:tc>
        <w:tc>
          <w:tcPr>
            <w:tcW w:w="1417"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63%</w:t>
            </w:r>
          </w:p>
        </w:tc>
        <w:tc>
          <w:tcPr>
            <w:tcW w:w="1277"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47%</w:t>
            </w:r>
          </w:p>
        </w:tc>
        <w:tc>
          <w:tcPr>
            <w:tcW w:w="1417"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60%</w:t>
            </w:r>
          </w:p>
        </w:tc>
      </w:tr>
      <w:tr w:rsidR="005F5B63" w:rsidRPr="00AD525C" w:rsidTr="00142A4B">
        <w:trPr>
          <w:trHeight w:val="255"/>
        </w:trPr>
        <w:tc>
          <w:tcPr>
            <w:tcW w:w="3544" w:type="dxa"/>
            <w:shd w:val="clear" w:color="000000" w:fill="EEEEEE"/>
            <w:vAlign w:val="bottom"/>
            <w:hideMark/>
          </w:tcPr>
          <w:p w:rsidR="005F5B63" w:rsidRPr="00AD525C" w:rsidRDefault="005F5B63" w:rsidP="00142A4B">
            <w:pPr>
              <w:spacing w:before="60" w:after="60" w:line="240" w:lineRule="auto"/>
              <w:rPr>
                <w:rFonts w:ascii="Microsoft Sans Serif" w:hAnsi="Microsoft Sans Serif" w:cs="Microsoft Sans Serif"/>
                <w:sz w:val="16"/>
                <w:szCs w:val="20"/>
                <w:lang w:val="de-AT" w:eastAsia="de-AT"/>
              </w:rPr>
            </w:pPr>
            <w:r w:rsidRPr="00AD525C">
              <w:rPr>
                <w:rFonts w:ascii="Microsoft Sans Serif" w:hAnsi="Microsoft Sans Serif" w:cs="Microsoft Sans Serif"/>
                <w:sz w:val="16"/>
                <w:szCs w:val="20"/>
                <w:lang w:val="de-AT" w:eastAsia="de-AT"/>
              </w:rPr>
              <w:t>Behinderung von Haushaltsmitgliedern</w:t>
            </w:r>
          </w:p>
        </w:tc>
        <w:tc>
          <w:tcPr>
            <w:tcW w:w="1559" w:type="dxa"/>
            <w:shd w:val="clear" w:color="000000" w:fill="EEEEEE"/>
            <w:noWrap/>
            <w:vAlign w:val="center"/>
            <w:hideMark/>
          </w:tcPr>
          <w:p w:rsidR="005F5B63" w:rsidRPr="00AD525C" w:rsidRDefault="005F5B63" w:rsidP="00142A4B">
            <w:pPr>
              <w:spacing w:before="60" w:after="60" w:line="240" w:lineRule="auto"/>
              <w:ind w:right="71"/>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80%</w:t>
            </w:r>
          </w:p>
        </w:tc>
        <w:tc>
          <w:tcPr>
            <w:tcW w:w="1417"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77%</w:t>
            </w:r>
          </w:p>
        </w:tc>
        <w:tc>
          <w:tcPr>
            <w:tcW w:w="1277"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42%</w:t>
            </w:r>
          </w:p>
        </w:tc>
        <w:tc>
          <w:tcPr>
            <w:tcW w:w="1417"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54%</w:t>
            </w:r>
          </w:p>
        </w:tc>
      </w:tr>
      <w:tr w:rsidR="005F5B63" w:rsidRPr="00AD525C" w:rsidTr="00142A4B">
        <w:trPr>
          <w:trHeight w:val="255"/>
        </w:trPr>
        <w:tc>
          <w:tcPr>
            <w:tcW w:w="3544" w:type="dxa"/>
            <w:shd w:val="clear" w:color="000000" w:fill="EEEEEE"/>
            <w:vAlign w:val="bottom"/>
            <w:hideMark/>
          </w:tcPr>
          <w:p w:rsidR="005F5B63" w:rsidRPr="00AD525C" w:rsidRDefault="005F5B63" w:rsidP="00142A4B">
            <w:pPr>
              <w:spacing w:before="60" w:after="60" w:line="240" w:lineRule="auto"/>
              <w:rPr>
                <w:rFonts w:ascii="Microsoft Sans Serif" w:hAnsi="Microsoft Sans Serif" w:cs="Microsoft Sans Serif"/>
                <w:sz w:val="16"/>
                <w:szCs w:val="20"/>
                <w:lang w:val="de-AT" w:eastAsia="de-AT"/>
              </w:rPr>
            </w:pPr>
            <w:r w:rsidRPr="00AD525C">
              <w:rPr>
                <w:rFonts w:ascii="Microsoft Sans Serif" w:hAnsi="Microsoft Sans Serif" w:cs="Microsoft Sans Serif"/>
                <w:sz w:val="16"/>
                <w:szCs w:val="20"/>
                <w:lang w:val="de-AT" w:eastAsia="de-AT"/>
              </w:rPr>
              <w:t>Pflegebedürftigkeit von Haushaltsmitgliedern</w:t>
            </w:r>
          </w:p>
        </w:tc>
        <w:tc>
          <w:tcPr>
            <w:tcW w:w="1559" w:type="dxa"/>
            <w:shd w:val="clear" w:color="000000" w:fill="EEEEEE"/>
            <w:noWrap/>
            <w:vAlign w:val="center"/>
            <w:hideMark/>
          </w:tcPr>
          <w:p w:rsidR="005F5B63" w:rsidRPr="00AD525C" w:rsidRDefault="005F5B63" w:rsidP="00142A4B">
            <w:pPr>
              <w:spacing w:before="60" w:after="60" w:line="240" w:lineRule="auto"/>
              <w:ind w:right="71"/>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73%</w:t>
            </w:r>
          </w:p>
        </w:tc>
        <w:tc>
          <w:tcPr>
            <w:tcW w:w="1417"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66%</w:t>
            </w:r>
          </w:p>
        </w:tc>
        <w:tc>
          <w:tcPr>
            <w:tcW w:w="1277"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32%</w:t>
            </w:r>
          </w:p>
        </w:tc>
        <w:tc>
          <w:tcPr>
            <w:tcW w:w="1417"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43%</w:t>
            </w:r>
          </w:p>
        </w:tc>
      </w:tr>
      <w:tr w:rsidR="005F5B63" w:rsidRPr="00AD525C" w:rsidTr="00142A4B">
        <w:trPr>
          <w:trHeight w:val="255"/>
        </w:trPr>
        <w:tc>
          <w:tcPr>
            <w:tcW w:w="3544" w:type="dxa"/>
            <w:shd w:val="clear" w:color="000000" w:fill="EEEEEE"/>
            <w:vAlign w:val="bottom"/>
            <w:hideMark/>
          </w:tcPr>
          <w:p w:rsidR="005F5B63" w:rsidRPr="00AD525C" w:rsidRDefault="005F5B63" w:rsidP="00142A4B">
            <w:pPr>
              <w:spacing w:before="60" w:after="60" w:line="240" w:lineRule="auto"/>
              <w:rPr>
                <w:rFonts w:ascii="Microsoft Sans Serif" w:hAnsi="Microsoft Sans Serif" w:cs="Microsoft Sans Serif"/>
                <w:sz w:val="16"/>
                <w:szCs w:val="20"/>
                <w:lang w:val="de-AT" w:eastAsia="de-AT"/>
              </w:rPr>
            </w:pPr>
            <w:r w:rsidRPr="00AD525C">
              <w:rPr>
                <w:rFonts w:ascii="Microsoft Sans Serif" w:hAnsi="Microsoft Sans Serif" w:cs="Microsoft Sans Serif"/>
                <w:sz w:val="16"/>
                <w:szCs w:val="20"/>
                <w:lang w:val="de-AT" w:eastAsia="de-AT"/>
              </w:rPr>
              <w:t>Art des Beschäftigungsverhältnisses</w:t>
            </w:r>
          </w:p>
        </w:tc>
        <w:tc>
          <w:tcPr>
            <w:tcW w:w="1559" w:type="dxa"/>
            <w:shd w:val="clear" w:color="000000" w:fill="EEEEEE"/>
            <w:noWrap/>
            <w:vAlign w:val="center"/>
            <w:hideMark/>
          </w:tcPr>
          <w:p w:rsidR="005F5B63" w:rsidRPr="00AD525C" w:rsidRDefault="005F5B63" w:rsidP="00142A4B">
            <w:pPr>
              <w:spacing w:before="60" w:after="60" w:line="240" w:lineRule="auto"/>
              <w:ind w:right="71"/>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40%</w:t>
            </w:r>
          </w:p>
        </w:tc>
        <w:tc>
          <w:tcPr>
            <w:tcW w:w="1417"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40%</w:t>
            </w:r>
          </w:p>
        </w:tc>
        <w:tc>
          <w:tcPr>
            <w:tcW w:w="1277"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47%</w:t>
            </w:r>
          </w:p>
        </w:tc>
        <w:tc>
          <w:tcPr>
            <w:tcW w:w="1417" w:type="dxa"/>
            <w:shd w:val="clear" w:color="000000" w:fill="EEEEEE"/>
            <w:vAlign w:val="center"/>
          </w:tcPr>
          <w:p w:rsidR="005F5B63" w:rsidRPr="00AD525C" w:rsidRDefault="005F5B63" w:rsidP="00142A4B">
            <w:pPr>
              <w:spacing w:before="60" w:after="60" w:line="240" w:lineRule="auto"/>
              <w:ind w:right="234"/>
              <w:jc w:val="right"/>
              <w:rPr>
                <w:rFonts w:ascii="Microsoft Sans Serif" w:hAnsi="Microsoft Sans Serif" w:cs="Microsoft Sans Serif"/>
                <w:sz w:val="16"/>
                <w:szCs w:val="20"/>
                <w:lang w:val="de-AT" w:eastAsia="de-AT"/>
              </w:rPr>
            </w:pPr>
            <w:r>
              <w:rPr>
                <w:rFonts w:ascii="Microsoft Sans Serif" w:hAnsi="Microsoft Sans Serif" w:cs="Microsoft Sans Serif"/>
                <w:sz w:val="16"/>
                <w:szCs w:val="20"/>
                <w:lang w:val="de-AT" w:eastAsia="de-AT"/>
              </w:rPr>
              <w:t>38%</w:t>
            </w:r>
          </w:p>
        </w:tc>
      </w:tr>
    </w:tbl>
    <w:p w:rsidR="005F5B63" w:rsidRDefault="005F5B63" w:rsidP="005F5B63">
      <w:pPr>
        <w:spacing w:after="200" w:line="276" w:lineRule="auto"/>
      </w:pPr>
    </w:p>
    <w:p w:rsidR="005F5B63" w:rsidRDefault="005F5B63" w:rsidP="00FF2B86">
      <w:pPr>
        <w:pStyle w:val="Untertitel"/>
      </w:pPr>
      <w:r>
        <w:t>Tab. 15:</w:t>
      </w:r>
      <w:r>
        <w:tab/>
        <w:t>Bei Wohnungsvergabe an Nicht-ÖsterreicherInnen von Bedeutung, n=177</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103"/>
        <w:gridCol w:w="673"/>
        <w:gridCol w:w="673"/>
        <w:gridCol w:w="673"/>
        <w:gridCol w:w="673"/>
        <w:gridCol w:w="673"/>
        <w:gridCol w:w="674"/>
      </w:tblGrid>
      <w:tr w:rsidR="005F5B63" w:rsidRPr="00202821" w:rsidTr="00142A4B">
        <w:trPr>
          <w:trHeight w:val="255"/>
        </w:trPr>
        <w:tc>
          <w:tcPr>
            <w:tcW w:w="5103" w:type="dxa"/>
            <w:shd w:val="clear" w:color="000000" w:fill="EEEEEE"/>
            <w:vAlign w:val="bottom"/>
            <w:hideMark/>
          </w:tcPr>
          <w:p w:rsidR="005F5B63" w:rsidRPr="00202821" w:rsidRDefault="005F5B63" w:rsidP="00142A4B">
            <w:pPr>
              <w:spacing w:before="60" w:after="60" w:line="240" w:lineRule="auto"/>
              <w:rPr>
                <w:rFonts w:cs="Tahoma"/>
                <w:sz w:val="18"/>
                <w:szCs w:val="20"/>
                <w:lang w:val="de-AT" w:eastAsia="de-AT"/>
              </w:rPr>
            </w:pPr>
          </w:p>
        </w:tc>
        <w:tc>
          <w:tcPr>
            <w:tcW w:w="1346" w:type="dxa"/>
            <w:gridSpan w:val="2"/>
            <w:shd w:val="clear" w:color="000000" w:fill="EEEEEE"/>
            <w:noWrap/>
            <w:vAlign w:val="center"/>
            <w:hideMark/>
          </w:tcPr>
          <w:p w:rsidR="005F5B63" w:rsidRPr="00202821" w:rsidRDefault="005F5B63" w:rsidP="00142A4B">
            <w:pPr>
              <w:spacing w:before="60" w:after="60" w:line="240" w:lineRule="auto"/>
              <w:rPr>
                <w:rFonts w:cs="Tahoma"/>
                <w:sz w:val="18"/>
                <w:szCs w:val="20"/>
                <w:lang w:val="de-AT" w:eastAsia="de-AT"/>
              </w:rPr>
            </w:pPr>
            <w:r w:rsidRPr="00202821">
              <w:rPr>
                <w:rFonts w:cs="Tahoma"/>
                <w:sz w:val="18"/>
                <w:szCs w:val="20"/>
                <w:lang w:val="de-AT" w:eastAsia="de-AT"/>
              </w:rPr>
              <w:t>trifft zu</w:t>
            </w:r>
          </w:p>
        </w:tc>
        <w:tc>
          <w:tcPr>
            <w:tcW w:w="1346" w:type="dxa"/>
            <w:gridSpan w:val="2"/>
            <w:shd w:val="clear" w:color="000000" w:fill="EEEEEE"/>
            <w:noWrap/>
            <w:vAlign w:val="center"/>
            <w:hideMark/>
          </w:tcPr>
          <w:p w:rsidR="005F5B63" w:rsidRPr="00202821" w:rsidRDefault="005F5B63" w:rsidP="00142A4B">
            <w:pPr>
              <w:spacing w:before="60" w:after="60" w:line="240" w:lineRule="auto"/>
              <w:rPr>
                <w:rFonts w:cs="Tahoma"/>
                <w:sz w:val="18"/>
                <w:szCs w:val="20"/>
                <w:lang w:val="de-AT" w:eastAsia="de-AT"/>
              </w:rPr>
            </w:pPr>
            <w:r w:rsidRPr="00202821">
              <w:rPr>
                <w:rFonts w:cs="Tahoma"/>
                <w:sz w:val="18"/>
                <w:szCs w:val="20"/>
                <w:lang w:val="de-AT" w:eastAsia="de-AT"/>
              </w:rPr>
              <w:t>trifft nicht zu</w:t>
            </w:r>
          </w:p>
        </w:tc>
        <w:tc>
          <w:tcPr>
            <w:tcW w:w="1347" w:type="dxa"/>
            <w:gridSpan w:val="2"/>
            <w:shd w:val="clear" w:color="000000" w:fill="EEEEEE"/>
          </w:tcPr>
          <w:p w:rsidR="005F5B63" w:rsidRPr="00202821" w:rsidRDefault="005F5B63" w:rsidP="00142A4B">
            <w:pPr>
              <w:spacing w:before="60" w:after="60" w:line="240" w:lineRule="auto"/>
              <w:rPr>
                <w:rFonts w:cs="Tahoma"/>
                <w:sz w:val="18"/>
                <w:szCs w:val="20"/>
                <w:lang w:val="de-AT" w:eastAsia="de-AT"/>
              </w:rPr>
            </w:pPr>
            <w:r w:rsidRPr="00202821">
              <w:rPr>
                <w:rFonts w:cs="Tahoma"/>
                <w:sz w:val="18"/>
                <w:szCs w:val="20"/>
                <w:lang w:val="de-AT" w:eastAsia="de-AT"/>
              </w:rPr>
              <w:t>weiß nicht</w:t>
            </w:r>
          </w:p>
        </w:tc>
      </w:tr>
      <w:tr w:rsidR="005F5B63" w:rsidRPr="00202821" w:rsidTr="00142A4B">
        <w:trPr>
          <w:trHeight w:val="255"/>
        </w:trPr>
        <w:tc>
          <w:tcPr>
            <w:tcW w:w="5103" w:type="dxa"/>
            <w:shd w:val="clear" w:color="000000" w:fill="EEEEEE"/>
            <w:vAlign w:val="bottom"/>
            <w:hideMark/>
          </w:tcPr>
          <w:p w:rsidR="005F5B63" w:rsidRPr="00202821" w:rsidRDefault="005F5B63" w:rsidP="00142A4B">
            <w:pPr>
              <w:spacing w:before="60" w:after="60" w:line="240" w:lineRule="auto"/>
              <w:rPr>
                <w:rFonts w:cs="Tahoma"/>
                <w:sz w:val="18"/>
                <w:szCs w:val="20"/>
                <w:lang w:val="de-AT" w:eastAsia="de-AT"/>
              </w:rPr>
            </w:pPr>
          </w:p>
        </w:tc>
        <w:tc>
          <w:tcPr>
            <w:tcW w:w="673" w:type="dxa"/>
            <w:shd w:val="clear" w:color="000000" w:fill="EEEEEE"/>
            <w:noWrap/>
            <w:vAlign w:val="center"/>
            <w:hideMark/>
          </w:tcPr>
          <w:p w:rsidR="005F5B63" w:rsidRPr="00202821" w:rsidRDefault="005F5B63" w:rsidP="00142A4B">
            <w:pPr>
              <w:spacing w:before="60" w:after="60" w:line="240" w:lineRule="auto"/>
              <w:rPr>
                <w:rFonts w:cs="Tahoma"/>
                <w:sz w:val="18"/>
                <w:szCs w:val="20"/>
                <w:lang w:val="de-AT" w:eastAsia="de-AT"/>
              </w:rPr>
            </w:pPr>
            <w:r>
              <w:rPr>
                <w:rFonts w:cs="Tahoma"/>
                <w:sz w:val="18"/>
                <w:szCs w:val="20"/>
                <w:lang w:val="de-AT" w:eastAsia="de-AT"/>
              </w:rPr>
              <w:t>abs.</w:t>
            </w:r>
          </w:p>
        </w:tc>
        <w:tc>
          <w:tcPr>
            <w:tcW w:w="673" w:type="dxa"/>
            <w:shd w:val="clear" w:color="000000" w:fill="EEEEEE"/>
            <w:vAlign w:val="center"/>
          </w:tcPr>
          <w:p w:rsidR="005F5B63" w:rsidRPr="00202821" w:rsidRDefault="005F5B63" w:rsidP="00142A4B">
            <w:pPr>
              <w:spacing w:before="60" w:after="60" w:line="240" w:lineRule="auto"/>
              <w:rPr>
                <w:rFonts w:cs="Tahoma"/>
                <w:sz w:val="18"/>
                <w:szCs w:val="20"/>
                <w:lang w:val="de-AT" w:eastAsia="de-AT"/>
              </w:rPr>
            </w:pPr>
            <w:r>
              <w:rPr>
                <w:rFonts w:cs="Tahoma"/>
                <w:sz w:val="18"/>
                <w:szCs w:val="20"/>
                <w:lang w:val="de-AT" w:eastAsia="de-AT"/>
              </w:rPr>
              <w:t>in %</w:t>
            </w:r>
          </w:p>
        </w:tc>
        <w:tc>
          <w:tcPr>
            <w:tcW w:w="673" w:type="dxa"/>
            <w:shd w:val="clear" w:color="000000" w:fill="EEEEEE"/>
            <w:vAlign w:val="center"/>
          </w:tcPr>
          <w:p w:rsidR="005F5B63" w:rsidRPr="00202821" w:rsidRDefault="005F5B63" w:rsidP="00142A4B">
            <w:pPr>
              <w:spacing w:before="60" w:after="60" w:line="240" w:lineRule="auto"/>
              <w:rPr>
                <w:rFonts w:cs="Tahoma"/>
                <w:sz w:val="18"/>
                <w:szCs w:val="20"/>
                <w:lang w:val="de-AT" w:eastAsia="de-AT"/>
              </w:rPr>
            </w:pPr>
            <w:r>
              <w:rPr>
                <w:rFonts w:cs="Tahoma"/>
                <w:sz w:val="18"/>
                <w:szCs w:val="20"/>
                <w:lang w:val="de-AT" w:eastAsia="de-AT"/>
              </w:rPr>
              <w:t>abs.</w:t>
            </w:r>
          </w:p>
        </w:tc>
        <w:tc>
          <w:tcPr>
            <w:tcW w:w="673" w:type="dxa"/>
            <w:shd w:val="clear" w:color="000000" w:fill="EEEEEE"/>
            <w:vAlign w:val="center"/>
          </w:tcPr>
          <w:p w:rsidR="005F5B63" w:rsidRPr="00202821" w:rsidRDefault="005F5B63" w:rsidP="00142A4B">
            <w:pPr>
              <w:spacing w:before="60" w:after="60" w:line="240" w:lineRule="auto"/>
              <w:rPr>
                <w:rFonts w:cs="Tahoma"/>
                <w:sz w:val="18"/>
                <w:szCs w:val="20"/>
                <w:lang w:val="de-AT" w:eastAsia="de-AT"/>
              </w:rPr>
            </w:pPr>
            <w:r>
              <w:rPr>
                <w:rFonts w:cs="Tahoma"/>
                <w:sz w:val="18"/>
                <w:szCs w:val="20"/>
                <w:lang w:val="de-AT" w:eastAsia="de-AT"/>
              </w:rPr>
              <w:t>in %</w:t>
            </w:r>
          </w:p>
        </w:tc>
        <w:tc>
          <w:tcPr>
            <w:tcW w:w="673" w:type="dxa"/>
            <w:shd w:val="clear" w:color="000000" w:fill="EEEEEE"/>
            <w:vAlign w:val="center"/>
          </w:tcPr>
          <w:p w:rsidR="005F5B63" w:rsidRPr="00202821" w:rsidRDefault="005F5B63" w:rsidP="00142A4B">
            <w:pPr>
              <w:spacing w:before="60" w:after="60" w:line="240" w:lineRule="auto"/>
              <w:rPr>
                <w:rFonts w:cs="Tahoma"/>
                <w:sz w:val="18"/>
                <w:szCs w:val="20"/>
                <w:lang w:val="de-AT" w:eastAsia="de-AT"/>
              </w:rPr>
            </w:pPr>
            <w:r>
              <w:rPr>
                <w:rFonts w:cs="Tahoma"/>
                <w:sz w:val="18"/>
                <w:szCs w:val="20"/>
                <w:lang w:val="de-AT" w:eastAsia="de-AT"/>
              </w:rPr>
              <w:t>abs.</w:t>
            </w:r>
          </w:p>
        </w:tc>
        <w:tc>
          <w:tcPr>
            <w:tcW w:w="674" w:type="dxa"/>
            <w:shd w:val="clear" w:color="000000" w:fill="EEEEEE"/>
            <w:vAlign w:val="center"/>
          </w:tcPr>
          <w:p w:rsidR="005F5B63" w:rsidRPr="00202821" w:rsidRDefault="005F5B63" w:rsidP="00142A4B">
            <w:pPr>
              <w:spacing w:before="60" w:after="60" w:line="240" w:lineRule="auto"/>
              <w:rPr>
                <w:rFonts w:cs="Tahoma"/>
                <w:sz w:val="18"/>
                <w:szCs w:val="20"/>
                <w:lang w:val="de-AT" w:eastAsia="de-AT"/>
              </w:rPr>
            </w:pPr>
            <w:r>
              <w:rPr>
                <w:rFonts w:cs="Tahoma"/>
                <w:sz w:val="18"/>
                <w:szCs w:val="20"/>
                <w:lang w:val="de-AT" w:eastAsia="de-AT"/>
              </w:rPr>
              <w:t>in %</w:t>
            </w:r>
          </w:p>
        </w:tc>
      </w:tr>
      <w:tr w:rsidR="005F5B63" w:rsidRPr="00202821" w:rsidTr="00142A4B">
        <w:trPr>
          <w:trHeight w:val="255"/>
        </w:trPr>
        <w:tc>
          <w:tcPr>
            <w:tcW w:w="5103" w:type="dxa"/>
            <w:shd w:val="clear" w:color="000000" w:fill="EEEEEE"/>
            <w:vAlign w:val="bottom"/>
            <w:hideMark/>
          </w:tcPr>
          <w:p w:rsidR="005F5B63" w:rsidRPr="00202821" w:rsidRDefault="005F5B63" w:rsidP="00142A4B">
            <w:pPr>
              <w:spacing w:before="60" w:after="60" w:line="240" w:lineRule="auto"/>
              <w:rPr>
                <w:rFonts w:cs="Tahoma"/>
                <w:sz w:val="18"/>
                <w:szCs w:val="20"/>
                <w:lang w:val="de-AT" w:eastAsia="de-AT"/>
              </w:rPr>
            </w:pPr>
            <w:r w:rsidRPr="00202821">
              <w:rPr>
                <w:rFonts w:cs="Tahoma"/>
                <w:sz w:val="18"/>
                <w:szCs w:val="20"/>
                <w:lang w:val="de-AT" w:eastAsia="de-AT"/>
              </w:rPr>
              <w:t>verfestigter Aufenthalt in Österreich</w:t>
            </w:r>
          </w:p>
        </w:tc>
        <w:tc>
          <w:tcPr>
            <w:tcW w:w="673" w:type="dxa"/>
            <w:shd w:val="clear" w:color="000000" w:fill="EEEEEE"/>
            <w:noWrap/>
            <w:hideMark/>
          </w:tcPr>
          <w:p w:rsidR="005F5B63" w:rsidRPr="00202821" w:rsidRDefault="005F5B63" w:rsidP="00142A4B">
            <w:pPr>
              <w:spacing w:before="60" w:after="60" w:line="240" w:lineRule="auto"/>
              <w:ind w:right="94"/>
              <w:jc w:val="right"/>
              <w:rPr>
                <w:rFonts w:cs="Tahoma"/>
                <w:sz w:val="18"/>
                <w:szCs w:val="20"/>
                <w:lang w:val="de-AT" w:eastAsia="de-AT"/>
              </w:rPr>
            </w:pPr>
            <w:r w:rsidRPr="00202821">
              <w:rPr>
                <w:rFonts w:cs="Tahoma"/>
                <w:sz w:val="18"/>
                <w:szCs w:val="20"/>
                <w:lang w:val="de-AT" w:eastAsia="de-AT"/>
              </w:rPr>
              <w:t>118</w:t>
            </w:r>
          </w:p>
        </w:tc>
        <w:tc>
          <w:tcPr>
            <w:tcW w:w="673" w:type="dxa"/>
            <w:shd w:val="clear" w:color="000000" w:fill="EEEEEE"/>
            <w:vAlign w:val="center"/>
          </w:tcPr>
          <w:p w:rsidR="005F5B63" w:rsidRPr="00202821" w:rsidRDefault="005F5B63" w:rsidP="00142A4B">
            <w:pPr>
              <w:spacing w:before="60" w:after="60" w:line="240" w:lineRule="auto"/>
              <w:ind w:right="94"/>
              <w:jc w:val="right"/>
              <w:rPr>
                <w:rFonts w:cs="Tahoma"/>
                <w:sz w:val="18"/>
                <w:szCs w:val="20"/>
                <w:lang w:val="de-AT" w:eastAsia="de-AT"/>
              </w:rPr>
            </w:pPr>
            <w:r>
              <w:rPr>
                <w:rFonts w:cs="Tahoma"/>
                <w:sz w:val="18"/>
                <w:szCs w:val="20"/>
                <w:lang w:val="de-AT" w:eastAsia="de-AT"/>
              </w:rPr>
              <w:t>67%</w:t>
            </w:r>
          </w:p>
        </w:tc>
        <w:tc>
          <w:tcPr>
            <w:tcW w:w="673" w:type="dxa"/>
            <w:shd w:val="clear" w:color="000000" w:fill="EEEEEE"/>
            <w:vAlign w:val="center"/>
          </w:tcPr>
          <w:p w:rsidR="005F5B63" w:rsidRPr="00202821" w:rsidRDefault="005F5B63" w:rsidP="00142A4B">
            <w:pPr>
              <w:spacing w:before="60" w:after="60" w:line="240" w:lineRule="auto"/>
              <w:ind w:right="94"/>
              <w:jc w:val="right"/>
              <w:rPr>
                <w:rFonts w:cs="Tahoma"/>
                <w:sz w:val="18"/>
                <w:szCs w:val="20"/>
                <w:lang w:val="de-AT" w:eastAsia="de-AT"/>
              </w:rPr>
            </w:pPr>
            <w:r>
              <w:rPr>
                <w:rFonts w:cs="Tahoma"/>
                <w:sz w:val="18"/>
                <w:szCs w:val="20"/>
                <w:lang w:val="de-AT" w:eastAsia="de-AT"/>
              </w:rPr>
              <w:t>27</w:t>
            </w:r>
          </w:p>
        </w:tc>
        <w:tc>
          <w:tcPr>
            <w:tcW w:w="673" w:type="dxa"/>
            <w:shd w:val="clear" w:color="000000" w:fill="EEEEEE"/>
            <w:vAlign w:val="center"/>
          </w:tcPr>
          <w:p w:rsidR="005F5B63" w:rsidRPr="00202821" w:rsidRDefault="005F5B63" w:rsidP="00142A4B">
            <w:pPr>
              <w:spacing w:before="60" w:after="60" w:line="240" w:lineRule="auto"/>
              <w:ind w:right="94"/>
              <w:jc w:val="right"/>
              <w:rPr>
                <w:rFonts w:cs="Tahoma"/>
                <w:sz w:val="18"/>
                <w:szCs w:val="20"/>
                <w:lang w:val="de-AT" w:eastAsia="de-AT"/>
              </w:rPr>
            </w:pPr>
            <w:r>
              <w:rPr>
                <w:rFonts w:cs="Tahoma"/>
                <w:sz w:val="18"/>
                <w:szCs w:val="20"/>
                <w:lang w:val="de-AT" w:eastAsia="de-AT"/>
              </w:rPr>
              <w:t>15%</w:t>
            </w:r>
          </w:p>
        </w:tc>
        <w:tc>
          <w:tcPr>
            <w:tcW w:w="673" w:type="dxa"/>
            <w:shd w:val="clear" w:color="000000" w:fill="EEEEEE"/>
          </w:tcPr>
          <w:p w:rsidR="005F5B63" w:rsidRPr="00202821" w:rsidRDefault="005F5B63" w:rsidP="00142A4B">
            <w:pPr>
              <w:spacing w:before="60" w:after="60" w:line="240" w:lineRule="auto"/>
              <w:ind w:right="94"/>
              <w:jc w:val="right"/>
              <w:rPr>
                <w:rFonts w:cs="Tahoma"/>
                <w:sz w:val="18"/>
                <w:szCs w:val="20"/>
                <w:lang w:val="de-AT" w:eastAsia="de-AT"/>
              </w:rPr>
            </w:pPr>
            <w:r>
              <w:rPr>
                <w:rFonts w:cs="Tahoma"/>
                <w:sz w:val="18"/>
                <w:szCs w:val="20"/>
                <w:lang w:val="de-AT" w:eastAsia="de-AT"/>
              </w:rPr>
              <w:t>31</w:t>
            </w:r>
          </w:p>
        </w:tc>
        <w:tc>
          <w:tcPr>
            <w:tcW w:w="674" w:type="dxa"/>
            <w:shd w:val="clear" w:color="000000" w:fill="EEEEEE"/>
          </w:tcPr>
          <w:p w:rsidR="005F5B63" w:rsidRPr="00202821" w:rsidRDefault="005F5B63" w:rsidP="00142A4B">
            <w:pPr>
              <w:spacing w:before="60" w:after="60" w:line="240" w:lineRule="auto"/>
              <w:ind w:right="94"/>
              <w:jc w:val="right"/>
              <w:rPr>
                <w:rFonts w:cs="Tahoma"/>
                <w:sz w:val="18"/>
                <w:szCs w:val="20"/>
                <w:lang w:val="de-AT" w:eastAsia="de-AT"/>
              </w:rPr>
            </w:pPr>
            <w:r>
              <w:rPr>
                <w:rFonts w:cs="Tahoma"/>
                <w:sz w:val="18"/>
                <w:szCs w:val="20"/>
                <w:lang w:val="de-AT" w:eastAsia="de-AT"/>
              </w:rPr>
              <w:t>18%</w:t>
            </w:r>
          </w:p>
        </w:tc>
      </w:tr>
      <w:tr w:rsidR="005F5B63" w:rsidRPr="00202821" w:rsidTr="00142A4B">
        <w:trPr>
          <w:trHeight w:val="255"/>
        </w:trPr>
        <w:tc>
          <w:tcPr>
            <w:tcW w:w="5103" w:type="dxa"/>
            <w:shd w:val="clear" w:color="000000" w:fill="EEEEEE"/>
            <w:vAlign w:val="bottom"/>
            <w:hideMark/>
          </w:tcPr>
          <w:p w:rsidR="005F5B63" w:rsidRPr="00202821" w:rsidRDefault="005F5B63" w:rsidP="00142A4B">
            <w:pPr>
              <w:spacing w:before="60" w:after="60" w:line="240" w:lineRule="auto"/>
              <w:rPr>
                <w:rFonts w:cs="Tahoma"/>
                <w:sz w:val="18"/>
                <w:szCs w:val="20"/>
                <w:lang w:val="de-AT" w:eastAsia="de-AT"/>
              </w:rPr>
            </w:pPr>
            <w:r w:rsidRPr="00202821">
              <w:rPr>
                <w:rFonts w:cs="Tahoma"/>
                <w:sz w:val="18"/>
                <w:szCs w:val="20"/>
                <w:lang w:val="de-AT" w:eastAsia="de-AT"/>
              </w:rPr>
              <w:t>Dringlichkeit der Wohnversorgung</w:t>
            </w:r>
          </w:p>
        </w:tc>
        <w:tc>
          <w:tcPr>
            <w:tcW w:w="673" w:type="dxa"/>
            <w:shd w:val="clear" w:color="000000" w:fill="EEEEEE"/>
            <w:noWrap/>
            <w:hideMark/>
          </w:tcPr>
          <w:p w:rsidR="005F5B63" w:rsidRPr="00202821" w:rsidRDefault="005F5B63" w:rsidP="00142A4B">
            <w:pPr>
              <w:spacing w:before="60" w:after="60" w:line="240" w:lineRule="auto"/>
              <w:ind w:right="94"/>
              <w:jc w:val="right"/>
              <w:rPr>
                <w:rFonts w:cs="Tahoma"/>
                <w:sz w:val="18"/>
                <w:szCs w:val="20"/>
                <w:lang w:val="de-AT" w:eastAsia="de-AT"/>
              </w:rPr>
            </w:pPr>
            <w:r w:rsidRPr="00202821">
              <w:rPr>
                <w:rFonts w:cs="Tahoma"/>
                <w:sz w:val="18"/>
                <w:szCs w:val="20"/>
                <w:lang w:val="de-AT" w:eastAsia="de-AT"/>
              </w:rPr>
              <w:t>117</w:t>
            </w:r>
          </w:p>
        </w:tc>
        <w:tc>
          <w:tcPr>
            <w:tcW w:w="673" w:type="dxa"/>
            <w:shd w:val="clear" w:color="000000" w:fill="EEEEEE"/>
            <w:vAlign w:val="center"/>
          </w:tcPr>
          <w:p w:rsidR="005F5B63" w:rsidRPr="00202821" w:rsidRDefault="005F5B63" w:rsidP="00142A4B">
            <w:pPr>
              <w:spacing w:before="60" w:after="60" w:line="240" w:lineRule="auto"/>
              <w:ind w:right="94"/>
              <w:jc w:val="right"/>
              <w:rPr>
                <w:rFonts w:cs="Tahoma"/>
                <w:sz w:val="18"/>
                <w:szCs w:val="20"/>
                <w:lang w:val="de-AT" w:eastAsia="de-AT"/>
              </w:rPr>
            </w:pPr>
            <w:r>
              <w:rPr>
                <w:rFonts w:cs="Tahoma"/>
                <w:sz w:val="18"/>
                <w:szCs w:val="20"/>
                <w:lang w:val="de-AT" w:eastAsia="de-AT"/>
              </w:rPr>
              <w:t>67%</w:t>
            </w:r>
          </w:p>
        </w:tc>
        <w:tc>
          <w:tcPr>
            <w:tcW w:w="673" w:type="dxa"/>
            <w:shd w:val="clear" w:color="000000" w:fill="EEEEEE"/>
            <w:vAlign w:val="center"/>
          </w:tcPr>
          <w:p w:rsidR="005F5B63" w:rsidRPr="00202821" w:rsidRDefault="005F5B63" w:rsidP="00142A4B">
            <w:pPr>
              <w:spacing w:before="60" w:after="60" w:line="240" w:lineRule="auto"/>
              <w:ind w:right="94"/>
              <w:jc w:val="right"/>
              <w:rPr>
                <w:rFonts w:cs="Tahoma"/>
                <w:sz w:val="18"/>
                <w:szCs w:val="20"/>
                <w:lang w:val="de-AT" w:eastAsia="de-AT"/>
              </w:rPr>
            </w:pPr>
            <w:r>
              <w:rPr>
                <w:rFonts w:cs="Tahoma"/>
                <w:sz w:val="18"/>
                <w:szCs w:val="20"/>
                <w:lang w:val="de-AT" w:eastAsia="de-AT"/>
              </w:rPr>
              <w:t>31</w:t>
            </w:r>
          </w:p>
        </w:tc>
        <w:tc>
          <w:tcPr>
            <w:tcW w:w="673" w:type="dxa"/>
            <w:shd w:val="clear" w:color="000000" w:fill="EEEEEE"/>
            <w:vAlign w:val="center"/>
          </w:tcPr>
          <w:p w:rsidR="005F5B63" w:rsidRPr="00202821" w:rsidRDefault="005F5B63" w:rsidP="00142A4B">
            <w:pPr>
              <w:spacing w:before="60" w:after="60" w:line="240" w:lineRule="auto"/>
              <w:ind w:right="94"/>
              <w:jc w:val="right"/>
              <w:rPr>
                <w:rFonts w:cs="Tahoma"/>
                <w:sz w:val="18"/>
                <w:szCs w:val="20"/>
                <w:lang w:val="de-AT" w:eastAsia="de-AT"/>
              </w:rPr>
            </w:pPr>
            <w:r>
              <w:rPr>
                <w:rFonts w:cs="Tahoma"/>
                <w:sz w:val="18"/>
                <w:szCs w:val="20"/>
                <w:lang w:val="de-AT" w:eastAsia="de-AT"/>
              </w:rPr>
              <w:t>18%</w:t>
            </w:r>
          </w:p>
        </w:tc>
        <w:tc>
          <w:tcPr>
            <w:tcW w:w="673" w:type="dxa"/>
            <w:shd w:val="clear" w:color="000000" w:fill="EEEEEE"/>
          </w:tcPr>
          <w:p w:rsidR="005F5B63" w:rsidRPr="00202821" w:rsidRDefault="005F5B63" w:rsidP="00142A4B">
            <w:pPr>
              <w:spacing w:before="60" w:after="60" w:line="240" w:lineRule="auto"/>
              <w:ind w:right="94"/>
              <w:jc w:val="right"/>
              <w:rPr>
                <w:rFonts w:cs="Tahoma"/>
                <w:sz w:val="18"/>
                <w:szCs w:val="20"/>
                <w:lang w:val="de-AT" w:eastAsia="de-AT"/>
              </w:rPr>
            </w:pPr>
            <w:r>
              <w:rPr>
                <w:rFonts w:cs="Tahoma"/>
                <w:sz w:val="18"/>
                <w:szCs w:val="20"/>
                <w:lang w:val="de-AT" w:eastAsia="de-AT"/>
              </w:rPr>
              <w:t>32</w:t>
            </w:r>
          </w:p>
        </w:tc>
        <w:tc>
          <w:tcPr>
            <w:tcW w:w="674" w:type="dxa"/>
            <w:shd w:val="clear" w:color="000000" w:fill="EEEEEE"/>
          </w:tcPr>
          <w:p w:rsidR="005F5B63" w:rsidRPr="00202821" w:rsidRDefault="005F5B63" w:rsidP="00142A4B">
            <w:pPr>
              <w:spacing w:before="60" w:after="60" w:line="240" w:lineRule="auto"/>
              <w:ind w:right="94"/>
              <w:jc w:val="right"/>
              <w:rPr>
                <w:rFonts w:cs="Tahoma"/>
                <w:sz w:val="18"/>
                <w:szCs w:val="20"/>
                <w:lang w:val="de-AT" w:eastAsia="de-AT"/>
              </w:rPr>
            </w:pPr>
            <w:r>
              <w:rPr>
                <w:rFonts w:cs="Tahoma"/>
                <w:sz w:val="18"/>
                <w:szCs w:val="20"/>
                <w:lang w:val="de-AT" w:eastAsia="de-AT"/>
              </w:rPr>
              <w:t>18%</w:t>
            </w:r>
          </w:p>
        </w:tc>
      </w:tr>
      <w:tr w:rsidR="005F5B63" w:rsidRPr="00202821" w:rsidTr="00142A4B">
        <w:trPr>
          <w:trHeight w:val="255"/>
        </w:trPr>
        <w:tc>
          <w:tcPr>
            <w:tcW w:w="5103" w:type="dxa"/>
            <w:shd w:val="clear" w:color="000000" w:fill="EEEEEE"/>
            <w:vAlign w:val="bottom"/>
            <w:hideMark/>
          </w:tcPr>
          <w:p w:rsidR="005F5B63" w:rsidRPr="00202821" w:rsidRDefault="005F5B63" w:rsidP="00142A4B">
            <w:pPr>
              <w:spacing w:before="60" w:after="60" w:line="240" w:lineRule="auto"/>
              <w:rPr>
                <w:rFonts w:cs="Tahoma"/>
                <w:sz w:val="18"/>
                <w:szCs w:val="20"/>
                <w:lang w:val="de-AT" w:eastAsia="de-AT"/>
              </w:rPr>
            </w:pPr>
            <w:r w:rsidRPr="00202821">
              <w:rPr>
                <w:rFonts w:cs="Tahoma"/>
                <w:sz w:val="18"/>
                <w:szCs w:val="20"/>
                <w:lang w:val="de-AT" w:eastAsia="de-AT"/>
              </w:rPr>
              <w:t>Kontinuität und Dauer der Arbeitsintegration</w:t>
            </w:r>
          </w:p>
        </w:tc>
        <w:tc>
          <w:tcPr>
            <w:tcW w:w="673" w:type="dxa"/>
            <w:shd w:val="clear" w:color="000000" w:fill="EEEEEE"/>
            <w:noWrap/>
            <w:hideMark/>
          </w:tcPr>
          <w:p w:rsidR="005F5B63" w:rsidRPr="00202821" w:rsidRDefault="005F5B63" w:rsidP="00142A4B">
            <w:pPr>
              <w:spacing w:before="60" w:after="60" w:line="240" w:lineRule="auto"/>
              <w:ind w:right="94"/>
              <w:jc w:val="right"/>
              <w:rPr>
                <w:rFonts w:cs="Tahoma"/>
                <w:sz w:val="18"/>
                <w:szCs w:val="20"/>
                <w:lang w:val="de-AT" w:eastAsia="de-AT"/>
              </w:rPr>
            </w:pPr>
            <w:r w:rsidRPr="00202821">
              <w:rPr>
                <w:rFonts w:cs="Tahoma"/>
                <w:sz w:val="18"/>
                <w:szCs w:val="20"/>
                <w:lang w:val="de-AT" w:eastAsia="de-AT"/>
              </w:rPr>
              <w:t>94</w:t>
            </w:r>
          </w:p>
        </w:tc>
        <w:tc>
          <w:tcPr>
            <w:tcW w:w="673" w:type="dxa"/>
            <w:shd w:val="clear" w:color="000000" w:fill="EEEEEE"/>
            <w:vAlign w:val="center"/>
          </w:tcPr>
          <w:p w:rsidR="005F5B63" w:rsidRPr="00202821" w:rsidRDefault="005F5B63" w:rsidP="00142A4B">
            <w:pPr>
              <w:spacing w:before="60" w:after="60" w:line="240" w:lineRule="auto"/>
              <w:ind w:right="94"/>
              <w:jc w:val="right"/>
              <w:rPr>
                <w:rFonts w:cs="Tahoma"/>
                <w:sz w:val="18"/>
                <w:szCs w:val="20"/>
                <w:lang w:val="de-AT" w:eastAsia="de-AT"/>
              </w:rPr>
            </w:pPr>
            <w:r>
              <w:rPr>
                <w:rFonts w:cs="Tahoma"/>
                <w:sz w:val="18"/>
                <w:szCs w:val="20"/>
                <w:lang w:val="de-AT" w:eastAsia="de-AT"/>
              </w:rPr>
              <w:t>54%</w:t>
            </w:r>
          </w:p>
        </w:tc>
        <w:tc>
          <w:tcPr>
            <w:tcW w:w="673" w:type="dxa"/>
            <w:shd w:val="clear" w:color="000000" w:fill="EEEEEE"/>
            <w:vAlign w:val="center"/>
          </w:tcPr>
          <w:p w:rsidR="005F5B63" w:rsidRPr="00202821" w:rsidRDefault="005F5B63" w:rsidP="00142A4B">
            <w:pPr>
              <w:spacing w:before="60" w:after="60" w:line="240" w:lineRule="auto"/>
              <w:ind w:right="94"/>
              <w:jc w:val="right"/>
              <w:rPr>
                <w:rFonts w:cs="Tahoma"/>
                <w:sz w:val="18"/>
                <w:szCs w:val="20"/>
                <w:lang w:val="de-AT" w:eastAsia="de-AT"/>
              </w:rPr>
            </w:pPr>
            <w:r>
              <w:rPr>
                <w:rFonts w:cs="Tahoma"/>
                <w:sz w:val="18"/>
                <w:szCs w:val="20"/>
                <w:lang w:val="de-AT" w:eastAsia="de-AT"/>
              </w:rPr>
              <w:t>50</w:t>
            </w:r>
          </w:p>
        </w:tc>
        <w:tc>
          <w:tcPr>
            <w:tcW w:w="673" w:type="dxa"/>
            <w:shd w:val="clear" w:color="000000" w:fill="EEEEEE"/>
            <w:vAlign w:val="center"/>
          </w:tcPr>
          <w:p w:rsidR="005F5B63" w:rsidRPr="00202821" w:rsidRDefault="005F5B63" w:rsidP="00142A4B">
            <w:pPr>
              <w:spacing w:before="60" w:after="60" w:line="240" w:lineRule="auto"/>
              <w:ind w:right="94"/>
              <w:jc w:val="right"/>
              <w:rPr>
                <w:rFonts w:cs="Tahoma"/>
                <w:sz w:val="18"/>
                <w:szCs w:val="20"/>
                <w:lang w:val="de-AT" w:eastAsia="de-AT"/>
              </w:rPr>
            </w:pPr>
            <w:r>
              <w:rPr>
                <w:rFonts w:cs="Tahoma"/>
                <w:sz w:val="18"/>
                <w:szCs w:val="20"/>
                <w:lang w:val="de-AT" w:eastAsia="de-AT"/>
              </w:rPr>
              <w:t>28%</w:t>
            </w:r>
          </w:p>
        </w:tc>
        <w:tc>
          <w:tcPr>
            <w:tcW w:w="673" w:type="dxa"/>
            <w:shd w:val="clear" w:color="000000" w:fill="EEEEEE"/>
          </w:tcPr>
          <w:p w:rsidR="005F5B63" w:rsidRPr="00202821" w:rsidRDefault="005F5B63" w:rsidP="00142A4B">
            <w:pPr>
              <w:spacing w:before="60" w:after="60" w:line="240" w:lineRule="auto"/>
              <w:ind w:right="94"/>
              <w:jc w:val="right"/>
              <w:rPr>
                <w:rFonts w:cs="Tahoma"/>
                <w:sz w:val="18"/>
                <w:szCs w:val="20"/>
                <w:lang w:val="de-AT" w:eastAsia="de-AT"/>
              </w:rPr>
            </w:pPr>
            <w:r>
              <w:rPr>
                <w:rFonts w:cs="Tahoma"/>
                <w:sz w:val="18"/>
                <w:szCs w:val="20"/>
                <w:lang w:val="de-AT" w:eastAsia="de-AT"/>
              </w:rPr>
              <w:t>32</w:t>
            </w:r>
          </w:p>
        </w:tc>
        <w:tc>
          <w:tcPr>
            <w:tcW w:w="674" w:type="dxa"/>
            <w:shd w:val="clear" w:color="000000" w:fill="EEEEEE"/>
          </w:tcPr>
          <w:p w:rsidR="005F5B63" w:rsidRPr="00202821" w:rsidRDefault="005F5B63" w:rsidP="00142A4B">
            <w:pPr>
              <w:spacing w:before="60" w:after="60" w:line="240" w:lineRule="auto"/>
              <w:ind w:right="94"/>
              <w:jc w:val="right"/>
              <w:rPr>
                <w:rFonts w:cs="Tahoma"/>
                <w:sz w:val="18"/>
                <w:szCs w:val="20"/>
                <w:lang w:val="de-AT" w:eastAsia="de-AT"/>
              </w:rPr>
            </w:pPr>
            <w:r>
              <w:rPr>
                <w:rFonts w:cs="Tahoma"/>
                <w:sz w:val="18"/>
                <w:szCs w:val="20"/>
                <w:lang w:val="de-AT" w:eastAsia="de-AT"/>
              </w:rPr>
              <w:t>18%</w:t>
            </w:r>
          </w:p>
        </w:tc>
      </w:tr>
      <w:tr w:rsidR="005F5B63" w:rsidRPr="00202821" w:rsidTr="00142A4B">
        <w:trPr>
          <w:trHeight w:val="255"/>
        </w:trPr>
        <w:tc>
          <w:tcPr>
            <w:tcW w:w="5103" w:type="dxa"/>
            <w:shd w:val="clear" w:color="000000" w:fill="EEEEEE"/>
            <w:vAlign w:val="bottom"/>
            <w:hideMark/>
          </w:tcPr>
          <w:p w:rsidR="005F5B63" w:rsidRPr="00202821" w:rsidRDefault="005F5B63" w:rsidP="00142A4B">
            <w:pPr>
              <w:spacing w:before="60" w:after="60" w:line="240" w:lineRule="auto"/>
              <w:rPr>
                <w:rFonts w:cs="Tahoma"/>
                <w:sz w:val="18"/>
                <w:szCs w:val="20"/>
                <w:lang w:val="de-AT" w:eastAsia="de-AT"/>
              </w:rPr>
            </w:pPr>
            <w:r w:rsidRPr="00202821">
              <w:rPr>
                <w:rFonts w:cs="Tahoma"/>
                <w:sz w:val="18"/>
                <w:szCs w:val="20"/>
                <w:lang w:val="de-AT" w:eastAsia="de-AT"/>
              </w:rPr>
              <w:t>Kenntnis der deutschen Sprache</w:t>
            </w:r>
          </w:p>
        </w:tc>
        <w:tc>
          <w:tcPr>
            <w:tcW w:w="673" w:type="dxa"/>
            <w:shd w:val="clear" w:color="000000" w:fill="EEEEEE"/>
            <w:noWrap/>
            <w:hideMark/>
          </w:tcPr>
          <w:p w:rsidR="005F5B63" w:rsidRPr="00202821" w:rsidRDefault="005F5B63" w:rsidP="00142A4B">
            <w:pPr>
              <w:spacing w:before="60" w:after="60" w:line="240" w:lineRule="auto"/>
              <w:ind w:right="94"/>
              <w:jc w:val="right"/>
              <w:rPr>
                <w:rFonts w:cs="Tahoma"/>
                <w:sz w:val="18"/>
                <w:szCs w:val="20"/>
                <w:lang w:val="de-AT" w:eastAsia="de-AT"/>
              </w:rPr>
            </w:pPr>
            <w:r w:rsidRPr="00202821">
              <w:rPr>
                <w:rFonts w:cs="Tahoma"/>
                <w:sz w:val="18"/>
                <w:szCs w:val="20"/>
                <w:lang w:val="de-AT" w:eastAsia="de-AT"/>
              </w:rPr>
              <w:t>64</w:t>
            </w:r>
          </w:p>
        </w:tc>
        <w:tc>
          <w:tcPr>
            <w:tcW w:w="673" w:type="dxa"/>
            <w:shd w:val="clear" w:color="000000" w:fill="EEEEEE"/>
            <w:vAlign w:val="center"/>
          </w:tcPr>
          <w:p w:rsidR="005F5B63" w:rsidRPr="00202821" w:rsidRDefault="005F5B63" w:rsidP="00142A4B">
            <w:pPr>
              <w:spacing w:before="60" w:after="60" w:line="240" w:lineRule="auto"/>
              <w:ind w:right="94"/>
              <w:jc w:val="right"/>
              <w:rPr>
                <w:rFonts w:cs="Tahoma"/>
                <w:sz w:val="18"/>
                <w:szCs w:val="20"/>
                <w:lang w:val="de-AT" w:eastAsia="de-AT"/>
              </w:rPr>
            </w:pPr>
            <w:r>
              <w:rPr>
                <w:rFonts w:cs="Tahoma"/>
                <w:sz w:val="18"/>
                <w:szCs w:val="20"/>
                <w:lang w:val="de-AT" w:eastAsia="de-AT"/>
              </w:rPr>
              <w:t>36%</w:t>
            </w:r>
          </w:p>
        </w:tc>
        <w:tc>
          <w:tcPr>
            <w:tcW w:w="673" w:type="dxa"/>
            <w:shd w:val="clear" w:color="000000" w:fill="EEEEEE"/>
            <w:vAlign w:val="center"/>
          </w:tcPr>
          <w:p w:rsidR="005F5B63" w:rsidRPr="00202821" w:rsidRDefault="005F5B63" w:rsidP="00142A4B">
            <w:pPr>
              <w:spacing w:before="60" w:after="60" w:line="240" w:lineRule="auto"/>
              <w:ind w:right="94"/>
              <w:jc w:val="right"/>
              <w:rPr>
                <w:rFonts w:cs="Tahoma"/>
                <w:sz w:val="18"/>
                <w:szCs w:val="20"/>
                <w:lang w:val="de-AT" w:eastAsia="de-AT"/>
              </w:rPr>
            </w:pPr>
            <w:r>
              <w:rPr>
                <w:rFonts w:cs="Tahoma"/>
                <w:sz w:val="18"/>
                <w:szCs w:val="20"/>
                <w:lang w:val="de-AT" w:eastAsia="de-AT"/>
              </w:rPr>
              <w:t>81</w:t>
            </w:r>
          </w:p>
        </w:tc>
        <w:tc>
          <w:tcPr>
            <w:tcW w:w="673" w:type="dxa"/>
            <w:shd w:val="clear" w:color="000000" w:fill="EEEEEE"/>
            <w:vAlign w:val="center"/>
          </w:tcPr>
          <w:p w:rsidR="005F5B63" w:rsidRPr="00202821" w:rsidRDefault="005F5B63" w:rsidP="00142A4B">
            <w:pPr>
              <w:spacing w:before="60" w:after="60" w:line="240" w:lineRule="auto"/>
              <w:ind w:right="94"/>
              <w:jc w:val="right"/>
              <w:rPr>
                <w:rFonts w:cs="Tahoma"/>
                <w:sz w:val="18"/>
                <w:szCs w:val="20"/>
                <w:lang w:val="de-AT" w:eastAsia="de-AT"/>
              </w:rPr>
            </w:pPr>
            <w:r>
              <w:rPr>
                <w:rFonts w:cs="Tahoma"/>
                <w:sz w:val="18"/>
                <w:szCs w:val="20"/>
                <w:lang w:val="de-AT" w:eastAsia="de-AT"/>
              </w:rPr>
              <w:t>46%</w:t>
            </w:r>
          </w:p>
        </w:tc>
        <w:tc>
          <w:tcPr>
            <w:tcW w:w="673" w:type="dxa"/>
            <w:shd w:val="clear" w:color="000000" w:fill="EEEEEE"/>
          </w:tcPr>
          <w:p w:rsidR="005F5B63" w:rsidRPr="00202821" w:rsidRDefault="005F5B63" w:rsidP="00142A4B">
            <w:pPr>
              <w:spacing w:before="60" w:after="60" w:line="240" w:lineRule="auto"/>
              <w:ind w:right="94"/>
              <w:jc w:val="right"/>
              <w:rPr>
                <w:rFonts w:cs="Tahoma"/>
                <w:sz w:val="18"/>
                <w:szCs w:val="20"/>
                <w:lang w:val="de-AT" w:eastAsia="de-AT"/>
              </w:rPr>
            </w:pPr>
            <w:r>
              <w:rPr>
                <w:rFonts w:cs="Tahoma"/>
                <w:sz w:val="18"/>
                <w:szCs w:val="20"/>
                <w:lang w:val="de-AT" w:eastAsia="de-AT"/>
              </w:rPr>
              <w:t>28</w:t>
            </w:r>
          </w:p>
        </w:tc>
        <w:tc>
          <w:tcPr>
            <w:tcW w:w="674" w:type="dxa"/>
            <w:shd w:val="clear" w:color="000000" w:fill="EEEEEE"/>
          </w:tcPr>
          <w:p w:rsidR="005F5B63" w:rsidRPr="00202821" w:rsidRDefault="005F5B63" w:rsidP="00142A4B">
            <w:pPr>
              <w:spacing w:before="60" w:after="60" w:line="240" w:lineRule="auto"/>
              <w:ind w:right="94"/>
              <w:jc w:val="right"/>
              <w:rPr>
                <w:rFonts w:cs="Tahoma"/>
                <w:sz w:val="18"/>
                <w:szCs w:val="20"/>
                <w:lang w:val="de-AT" w:eastAsia="de-AT"/>
              </w:rPr>
            </w:pPr>
            <w:r>
              <w:rPr>
                <w:rFonts w:cs="Tahoma"/>
                <w:sz w:val="18"/>
                <w:szCs w:val="20"/>
                <w:lang w:val="de-AT" w:eastAsia="de-AT"/>
              </w:rPr>
              <w:t>16%</w:t>
            </w:r>
          </w:p>
        </w:tc>
      </w:tr>
      <w:tr w:rsidR="005F5B63" w:rsidRPr="00202821" w:rsidTr="00142A4B">
        <w:trPr>
          <w:trHeight w:val="255"/>
        </w:trPr>
        <w:tc>
          <w:tcPr>
            <w:tcW w:w="5103" w:type="dxa"/>
            <w:shd w:val="clear" w:color="000000" w:fill="EEEEEE"/>
            <w:vAlign w:val="bottom"/>
            <w:hideMark/>
          </w:tcPr>
          <w:p w:rsidR="005F5B63" w:rsidRPr="00202821" w:rsidRDefault="005F5B63" w:rsidP="00142A4B">
            <w:pPr>
              <w:spacing w:before="60" w:after="60" w:line="240" w:lineRule="auto"/>
              <w:rPr>
                <w:rFonts w:cs="Tahoma"/>
                <w:sz w:val="18"/>
                <w:szCs w:val="20"/>
                <w:lang w:val="de-AT" w:eastAsia="de-AT"/>
              </w:rPr>
            </w:pPr>
            <w:r w:rsidRPr="00202821">
              <w:rPr>
                <w:rFonts w:cs="Tahoma"/>
                <w:sz w:val="18"/>
                <w:szCs w:val="20"/>
                <w:lang w:val="de-AT" w:eastAsia="de-AT"/>
              </w:rPr>
              <w:t>Anteil von Nicht-ÖsterreicherInnen in der Hausgemeinschaft</w:t>
            </w:r>
          </w:p>
        </w:tc>
        <w:tc>
          <w:tcPr>
            <w:tcW w:w="673" w:type="dxa"/>
            <w:shd w:val="clear" w:color="000000" w:fill="EEEEEE"/>
            <w:noWrap/>
            <w:hideMark/>
          </w:tcPr>
          <w:p w:rsidR="005F5B63" w:rsidRPr="00202821" w:rsidRDefault="005F5B63" w:rsidP="00142A4B">
            <w:pPr>
              <w:spacing w:before="60" w:after="60" w:line="240" w:lineRule="auto"/>
              <w:ind w:right="94"/>
              <w:jc w:val="right"/>
              <w:rPr>
                <w:rFonts w:cs="Tahoma"/>
                <w:sz w:val="18"/>
                <w:szCs w:val="20"/>
                <w:lang w:val="de-AT" w:eastAsia="de-AT"/>
              </w:rPr>
            </w:pPr>
            <w:r>
              <w:rPr>
                <w:rFonts w:cs="Tahoma"/>
                <w:sz w:val="18"/>
                <w:szCs w:val="20"/>
                <w:lang w:val="de-AT" w:eastAsia="de-AT"/>
              </w:rPr>
              <w:t>52</w:t>
            </w:r>
          </w:p>
        </w:tc>
        <w:tc>
          <w:tcPr>
            <w:tcW w:w="673" w:type="dxa"/>
            <w:shd w:val="clear" w:color="000000" w:fill="EEEEEE"/>
            <w:vAlign w:val="center"/>
          </w:tcPr>
          <w:p w:rsidR="005F5B63" w:rsidRPr="00202821" w:rsidRDefault="005F5B63" w:rsidP="00142A4B">
            <w:pPr>
              <w:spacing w:before="60" w:after="60" w:line="240" w:lineRule="auto"/>
              <w:ind w:right="94"/>
              <w:jc w:val="right"/>
              <w:rPr>
                <w:rFonts w:cs="Tahoma"/>
                <w:sz w:val="18"/>
                <w:szCs w:val="20"/>
                <w:lang w:val="de-AT" w:eastAsia="de-AT"/>
              </w:rPr>
            </w:pPr>
            <w:r>
              <w:rPr>
                <w:rFonts w:cs="Tahoma"/>
                <w:sz w:val="18"/>
                <w:szCs w:val="20"/>
                <w:lang w:val="de-AT" w:eastAsia="de-AT"/>
              </w:rPr>
              <w:t>30%</w:t>
            </w:r>
          </w:p>
        </w:tc>
        <w:tc>
          <w:tcPr>
            <w:tcW w:w="673" w:type="dxa"/>
            <w:shd w:val="clear" w:color="000000" w:fill="EEEEEE"/>
            <w:vAlign w:val="center"/>
          </w:tcPr>
          <w:p w:rsidR="005F5B63" w:rsidRPr="00202821" w:rsidRDefault="005F5B63" w:rsidP="00142A4B">
            <w:pPr>
              <w:spacing w:before="60" w:after="60" w:line="240" w:lineRule="auto"/>
              <w:ind w:right="94"/>
              <w:jc w:val="right"/>
              <w:rPr>
                <w:rFonts w:cs="Tahoma"/>
                <w:sz w:val="18"/>
                <w:szCs w:val="20"/>
                <w:lang w:val="de-AT" w:eastAsia="de-AT"/>
              </w:rPr>
            </w:pPr>
            <w:r>
              <w:rPr>
                <w:rFonts w:cs="Tahoma"/>
                <w:sz w:val="18"/>
                <w:szCs w:val="20"/>
                <w:lang w:val="de-AT" w:eastAsia="de-AT"/>
              </w:rPr>
              <w:t>86</w:t>
            </w:r>
          </w:p>
        </w:tc>
        <w:tc>
          <w:tcPr>
            <w:tcW w:w="673" w:type="dxa"/>
            <w:shd w:val="clear" w:color="000000" w:fill="EEEEEE"/>
            <w:vAlign w:val="center"/>
          </w:tcPr>
          <w:p w:rsidR="005F5B63" w:rsidRPr="00202821" w:rsidRDefault="005F5B63" w:rsidP="00142A4B">
            <w:pPr>
              <w:spacing w:before="60" w:after="60" w:line="240" w:lineRule="auto"/>
              <w:ind w:right="94"/>
              <w:jc w:val="right"/>
              <w:rPr>
                <w:rFonts w:cs="Tahoma"/>
                <w:sz w:val="18"/>
                <w:szCs w:val="20"/>
                <w:lang w:val="de-AT" w:eastAsia="de-AT"/>
              </w:rPr>
            </w:pPr>
            <w:r>
              <w:rPr>
                <w:rFonts w:cs="Tahoma"/>
                <w:sz w:val="18"/>
                <w:szCs w:val="20"/>
                <w:lang w:val="de-AT" w:eastAsia="de-AT"/>
              </w:rPr>
              <w:t>49%</w:t>
            </w:r>
          </w:p>
        </w:tc>
        <w:tc>
          <w:tcPr>
            <w:tcW w:w="673" w:type="dxa"/>
            <w:shd w:val="clear" w:color="000000" w:fill="EEEEEE"/>
          </w:tcPr>
          <w:p w:rsidR="005F5B63" w:rsidRPr="00202821" w:rsidRDefault="005F5B63" w:rsidP="00142A4B">
            <w:pPr>
              <w:spacing w:before="60" w:after="60" w:line="240" w:lineRule="auto"/>
              <w:ind w:right="94"/>
              <w:jc w:val="right"/>
              <w:rPr>
                <w:rFonts w:cs="Tahoma"/>
                <w:sz w:val="18"/>
                <w:szCs w:val="20"/>
                <w:lang w:val="de-AT" w:eastAsia="de-AT"/>
              </w:rPr>
            </w:pPr>
            <w:r>
              <w:rPr>
                <w:rFonts w:cs="Tahoma"/>
                <w:sz w:val="18"/>
                <w:szCs w:val="20"/>
                <w:lang w:val="de-AT" w:eastAsia="de-AT"/>
              </w:rPr>
              <w:t>39</w:t>
            </w:r>
          </w:p>
        </w:tc>
        <w:tc>
          <w:tcPr>
            <w:tcW w:w="674" w:type="dxa"/>
            <w:shd w:val="clear" w:color="000000" w:fill="EEEEEE"/>
          </w:tcPr>
          <w:p w:rsidR="005F5B63" w:rsidRPr="00202821" w:rsidRDefault="005F5B63" w:rsidP="00142A4B">
            <w:pPr>
              <w:spacing w:before="60" w:after="60" w:line="240" w:lineRule="auto"/>
              <w:ind w:right="94"/>
              <w:jc w:val="right"/>
              <w:rPr>
                <w:rFonts w:cs="Tahoma"/>
                <w:sz w:val="18"/>
                <w:szCs w:val="20"/>
                <w:lang w:val="de-AT" w:eastAsia="de-AT"/>
              </w:rPr>
            </w:pPr>
            <w:r>
              <w:rPr>
                <w:rFonts w:cs="Tahoma"/>
                <w:sz w:val="18"/>
                <w:szCs w:val="20"/>
                <w:lang w:val="de-AT" w:eastAsia="de-AT"/>
              </w:rPr>
              <w:t>22%</w:t>
            </w:r>
          </w:p>
        </w:tc>
      </w:tr>
      <w:tr w:rsidR="005F5B63" w:rsidRPr="00202821" w:rsidTr="00142A4B">
        <w:trPr>
          <w:trHeight w:val="255"/>
        </w:trPr>
        <w:tc>
          <w:tcPr>
            <w:tcW w:w="5103" w:type="dxa"/>
            <w:shd w:val="clear" w:color="000000" w:fill="EEEEEE"/>
            <w:vAlign w:val="bottom"/>
            <w:hideMark/>
          </w:tcPr>
          <w:p w:rsidR="005F5B63" w:rsidRPr="00202821" w:rsidRDefault="005F5B63" w:rsidP="00142A4B">
            <w:pPr>
              <w:spacing w:before="60" w:after="60" w:line="240" w:lineRule="auto"/>
              <w:rPr>
                <w:rFonts w:cs="Tahoma"/>
                <w:sz w:val="18"/>
                <w:szCs w:val="20"/>
                <w:lang w:val="de-AT" w:eastAsia="de-AT"/>
              </w:rPr>
            </w:pPr>
            <w:r w:rsidRPr="00202821">
              <w:rPr>
                <w:rFonts w:cs="Tahoma"/>
                <w:sz w:val="18"/>
                <w:szCs w:val="20"/>
                <w:lang w:val="de-AT" w:eastAsia="de-AT"/>
              </w:rPr>
              <w:t>Beratungs-/Betreuungsangebote im Wohnumfeld</w:t>
            </w:r>
          </w:p>
        </w:tc>
        <w:tc>
          <w:tcPr>
            <w:tcW w:w="673" w:type="dxa"/>
            <w:shd w:val="clear" w:color="000000" w:fill="EEEEEE"/>
            <w:noWrap/>
            <w:hideMark/>
          </w:tcPr>
          <w:p w:rsidR="005F5B63" w:rsidRPr="00202821" w:rsidRDefault="005F5B63" w:rsidP="00142A4B">
            <w:pPr>
              <w:spacing w:before="60" w:after="60" w:line="240" w:lineRule="auto"/>
              <w:ind w:right="94"/>
              <w:jc w:val="right"/>
              <w:rPr>
                <w:rFonts w:cs="Tahoma"/>
                <w:sz w:val="18"/>
                <w:szCs w:val="20"/>
                <w:lang w:val="de-AT" w:eastAsia="de-AT"/>
              </w:rPr>
            </w:pPr>
            <w:r w:rsidRPr="00202821">
              <w:rPr>
                <w:rFonts w:cs="Tahoma"/>
                <w:sz w:val="18"/>
                <w:szCs w:val="20"/>
                <w:lang w:val="de-AT" w:eastAsia="de-AT"/>
              </w:rPr>
              <w:t>28</w:t>
            </w:r>
          </w:p>
        </w:tc>
        <w:tc>
          <w:tcPr>
            <w:tcW w:w="673" w:type="dxa"/>
            <w:shd w:val="clear" w:color="000000" w:fill="EEEEEE"/>
            <w:vAlign w:val="center"/>
          </w:tcPr>
          <w:p w:rsidR="005F5B63" w:rsidRPr="00202821" w:rsidRDefault="005F5B63" w:rsidP="00142A4B">
            <w:pPr>
              <w:spacing w:before="60" w:after="60" w:line="240" w:lineRule="auto"/>
              <w:ind w:right="94"/>
              <w:jc w:val="right"/>
              <w:rPr>
                <w:rFonts w:cs="Tahoma"/>
                <w:sz w:val="18"/>
                <w:szCs w:val="20"/>
                <w:lang w:val="de-AT" w:eastAsia="de-AT"/>
              </w:rPr>
            </w:pPr>
            <w:r>
              <w:rPr>
                <w:rFonts w:cs="Tahoma"/>
                <w:sz w:val="18"/>
                <w:szCs w:val="20"/>
                <w:lang w:val="de-AT" w:eastAsia="de-AT"/>
              </w:rPr>
              <w:t>16%</w:t>
            </w:r>
          </w:p>
        </w:tc>
        <w:tc>
          <w:tcPr>
            <w:tcW w:w="673" w:type="dxa"/>
            <w:shd w:val="clear" w:color="000000" w:fill="EEEEEE"/>
            <w:vAlign w:val="center"/>
          </w:tcPr>
          <w:p w:rsidR="005F5B63" w:rsidRPr="00202821" w:rsidRDefault="005F5B63" w:rsidP="00142A4B">
            <w:pPr>
              <w:spacing w:before="60" w:after="60" w:line="240" w:lineRule="auto"/>
              <w:ind w:right="94"/>
              <w:jc w:val="right"/>
              <w:rPr>
                <w:rFonts w:cs="Tahoma"/>
                <w:sz w:val="18"/>
                <w:szCs w:val="20"/>
                <w:lang w:val="de-AT" w:eastAsia="de-AT"/>
              </w:rPr>
            </w:pPr>
            <w:r>
              <w:rPr>
                <w:rFonts w:cs="Tahoma"/>
                <w:sz w:val="18"/>
                <w:szCs w:val="20"/>
                <w:lang w:val="de-AT" w:eastAsia="de-AT"/>
              </w:rPr>
              <w:t>107</w:t>
            </w:r>
          </w:p>
        </w:tc>
        <w:tc>
          <w:tcPr>
            <w:tcW w:w="673" w:type="dxa"/>
            <w:shd w:val="clear" w:color="000000" w:fill="EEEEEE"/>
            <w:vAlign w:val="center"/>
          </w:tcPr>
          <w:p w:rsidR="005F5B63" w:rsidRPr="00202821" w:rsidRDefault="005F5B63" w:rsidP="00142A4B">
            <w:pPr>
              <w:spacing w:before="60" w:after="60" w:line="240" w:lineRule="auto"/>
              <w:ind w:right="94"/>
              <w:jc w:val="right"/>
              <w:rPr>
                <w:rFonts w:cs="Tahoma"/>
                <w:sz w:val="18"/>
                <w:szCs w:val="20"/>
                <w:lang w:val="de-AT" w:eastAsia="de-AT"/>
              </w:rPr>
            </w:pPr>
            <w:r>
              <w:rPr>
                <w:rFonts w:cs="Tahoma"/>
                <w:sz w:val="18"/>
                <w:szCs w:val="20"/>
                <w:lang w:val="de-AT" w:eastAsia="de-AT"/>
              </w:rPr>
              <w:t>61%</w:t>
            </w:r>
          </w:p>
        </w:tc>
        <w:tc>
          <w:tcPr>
            <w:tcW w:w="673" w:type="dxa"/>
            <w:shd w:val="clear" w:color="000000" w:fill="EEEEEE"/>
          </w:tcPr>
          <w:p w:rsidR="005F5B63" w:rsidRPr="00202821" w:rsidRDefault="005F5B63" w:rsidP="00142A4B">
            <w:pPr>
              <w:spacing w:before="60" w:after="60" w:line="240" w:lineRule="auto"/>
              <w:ind w:right="94"/>
              <w:jc w:val="right"/>
              <w:rPr>
                <w:rFonts w:cs="Tahoma"/>
                <w:sz w:val="18"/>
                <w:szCs w:val="20"/>
                <w:lang w:val="de-AT" w:eastAsia="de-AT"/>
              </w:rPr>
            </w:pPr>
            <w:r>
              <w:rPr>
                <w:rFonts w:cs="Tahoma"/>
                <w:sz w:val="18"/>
                <w:szCs w:val="20"/>
                <w:lang w:val="de-AT" w:eastAsia="de-AT"/>
              </w:rPr>
              <w:t>42</w:t>
            </w:r>
          </w:p>
        </w:tc>
        <w:tc>
          <w:tcPr>
            <w:tcW w:w="674" w:type="dxa"/>
            <w:shd w:val="clear" w:color="000000" w:fill="EEEEEE"/>
          </w:tcPr>
          <w:p w:rsidR="005F5B63" w:rsidRPr="00202821" w:rsidRDefault="005F5B63" w:rsidP="00142A4B">
            <w:pPr>
              <w:spacing w:before="60" w:after="60" w:line="240" w:lineRule="auto"/>
              <w:ind w:right="94"/>
              <w:jc w:val="right"/>
              <w:rPr>
                <w:rFonts w:cs="Tahoma"/>
                <w:sz w:val="18"/>
                <w:szCs w:val="20"/>
                <w:lang w:val="de-AT" w:eastAsia="de-AT"/>
              </w:rPr>
            </w:pPr>
            <w:r>
              <w:rPr>
                <w:rFonts w:cs="Tahoma"/>
                <w:sz w:val="18"/>
                <w:szCs w:val="20"/>
                <w:lang w:val="de-AT" w:eastAsia="de-AT"/>
              </w:rPr>
              <w:t>24%</w:t>
            </w:r>
          </w:p>
        </w:tc>
      </w:tr>
    </w:tbl>
    <w:p w:rsidR="005F5B63" w:rsidRPr="00202821" w:rsidRDefault="005F5B63" w:rsidP="005F5B63"/>
    <w:p w:rsidR="005F5B63" w:rsidRDefault="005F5B63" w:rsidP="00FF2B86">
      <w:pPr>
        <w:pStyle w:val="Untertitel"/>
      </w:pPr>
      <w:r>
        <w:t>Tab. 16:</w:t>
      </w:r>
      <w:r>
        <w:tab/>
        <w:t>Kriterien für die Wohnungsvergabe an Nicht-ÖsterreicherInnen nach Art der Einrichtung</w:t>
      </w:r>
    </w:p>
    <w:tbl>
      <w:tblPr>
        <w:tblStyle w:val="Tabellengitternetz"/>
        <w:tblW w:w="0" w:type="auto"/>
        <w:tblLook w:val="04A0"/>
      </w:tblPr>
      <w:tblGrid>
        <w:gridCol w:w="3227"/>
        <w:gridCol w:w="1496"/>
        <w:gridCol w:w="1496"/>
        <w:gridCol w:w="1496"/>
        <w:gridCol w:w="1497"/>
      </w:tblGrid>
      <w:tr w:rsidR="005F5B63" w:rsidTr="00142A4B">
        <w:tc>
          <w:tcPr>
            <w:tcW w:w="3227" w:type="dxa"/>
            <w:shd w:val="clear" w:color="auto" w:fill="D6E3BC" w:themeFill="accent3" w:themeFillTint="66"/>
          </w:tcPr>
          <w:p w:rsidR="005F5B63" w:rsidRPr="00BB3DC4" w:rsidRDefault="005F5B63" w:rsidP="00142A4B">
            <w:pPr>
              <w:tabs>
                <w:tab w:val="left" w:pos="1134"/>
              </w:tabs>
              <w:spacing w:before="60" w:after="60" w:line="240" w:lineRule="auto"/>
              <w:rPr>
                <w:sz w:val="18"/>
              </w:rPr>
            </w:pPr>
          </w:p>
        </w:tc>
        <w:tc>
          <w:tcPr>
            <w:tcW w:w="1496" w:type="dxa"/>
            <w:shd w:val="clear" w:color="auto" w:fill="D6E3BC" w:themeFill="accent3" w:themeFillTint="66"/>
          </w:tcPr>
          <w:p w:rsidR="005F5B63" w:rsidRPr="00BB3DC4" w:rsidRDefault="005F5B63" w:rsidP="00142A4B">
            <w:pPr>
              <w:tabs>
                <w:tab w:val="left" w:pos="1134"/>
              </w:tabs>
              <w:spacing w:before="60" w:after="60" w:line="240" w:lineRule="auto"/>
              <w:rPr>
                <w:sz w:val="18"/>
              </w:rPr>
            </w:pPr>
            <w:r>
              <w:rPr>
                <w:sz w:val="18"/>
              </w:rPr>
              <w:t>Wohnungsamt</w:t>
            </w:r>
          </w:p>
        </w:tc>
        <w:tc>
          <w:tcPr>
            <w:tcW w:w="1496" w:type="dxa"/>
            <w:shd w:val="clear" w:color="auto" w:fill="D6E3BC" w:themeFill="accent3" w:themeFillTint="66"/>
          </w:tcPr>
          <w:p w:rsidR="005F5B63" w:rsidRPr="00BB3DC4" w:rsidRDefault="005F5B63" w:rsidP="00142A4B">
            <w:pPr>
              <w:tabs>
                <w:tab w:val="left" w:pos="1134"/>
              </w:tabs>
              <w:spacing w:before="60" w:after="60" w:line="240" w:lineRule="auto"/>
              <w:rPr>
                <w:sz w:val="18"/>
              </w:rPr>
            </w:pPr>
            <w:r>
              <w:rPr>
                <w:sz w:val="18"/>
              </w:rPr>
              <w:t>gem. Bautr.</w:t>
            </w:r>
          </w:p>
        </w:tc>
        <w:tc>
          <w:tcPr>
            <w:tcW w:w="1496" w:type="dxa"/>
            <w:shd w:val="clear" w:color="auto" w:fill="D6E3BC" w:themeFill="accent3" w:themeFillTint="66"/>
          </w:tcPr>
          <w:p w:rsidR="005F5B63" w:rsidRPr="00BB3DC4" w:rsidRDefault="005F5B63" w:rsidP="00142A4B">
            <w:pPr>
              <w:tabs>
                <w:tab w:val="left" w:pos="1134"/>
              </w:tabs>
              <w:spacing w:before="60" w:after="60" w:line="240" w:lineRule="auto"/>
              <w:rPr>
                <w:sz w:val="18"/>
              </w:rPr>
            </w:pPr>
            <w:r>
              <w:rPr>
                <w:sz w:val="18"/>
              </w:rPr>
              <w:t>priv. Bautr.</w:t>
            </w:r>
          </w:p>
        </w:tc>
        <w:tc>
          <w:tcPr>
            <w:tcW w:w="1497" w:type="dxa"/>
            <w:shd w:val="clear" w:color="auto" w:fill="D6E3BC" w:themeFill="accent3" w:themeFillTint="66"/>
          </w:tcPr>
          <w:p w:rsidR="005F5B63" w:rsidRPr="00BB3DC4" w:rsidRDefault="005F5B63" w:rsidP="00142A4B">
            <w:pPr>
              <w:tabs>
                <w:tab w:val="left" w:pos="1134"/>
              </w:tabs>
              <w:spacing w:before="60" w:after="60" w:line="240" w:lineRule="auto"/>
              <w:rPr>
                <w:sz w:val="18"/>
              </w:rPr>
            </w:pPr>
            <w:r>
              <w:rPr>
                <w:sz w:val="18"/>
              </w:rPr>
              <w:t>Beratungseinr.</w:t>
            </w:r>
          </w:p>
        </w:tc>
      </w:tr>
      <w:tr w:rsidR="005F5B63" w:rsidTr="00142A4B">
        <w:tc>
          <w:tcPr>
            <w:tcW w:w="3227" w:type="dxa"/>
            <w:vAlign w:val="bottom"/>
          </w:tcPr>
          <w:p w:rsidR="005F5B63" w:rsidRPr="00202821" w:rsidRDefault="005F5B63" w:rsidP="00142A4B">
            <w:pPr>
              <w:spacing w:before="60" w:after="60" w:line="240" w:lineRule="auto"/>
              <w:rPr>
                <w:rFonts w:cs="Tahoma"/>
                <w:sz w:val="18"/>
                <w:szCs w:val="20"/>
                <w:lang w:val="de-AT" w:eastAsia="de-AT"/>
              </w:rPr>
            </w:pPr>
            <w:r w:rsidRPr="00202821">
              <w:rPr>
                <w:rFonts w:cs="Tahoma"/>
                <w:sz w:val="18"/>
                <w:szCs w:val="20"/>
                <w:lang w:val="de-AT" w:eastAsia="de-AT"/>
              </w:rPr>
              <w:t>verfestigter Aufenthalt in Österreich</w:t>
            </w:r>
          </w:p>
        </w:tc>
        <w:tc>
          <w:tcPr>
            <w:tcW w:w="1496" w:type="dxa"/>
            <w:shd w:val="clear" w:color="auto" w:fill="C2D69B" w:themeFill="accent3" w:themeFillTint="99"/>
          </w:tcPr>
          <w:p w:rsidR="005F5B63" w:rsidRPr="00BB3DC4" w:rsidRDefault="005F5B63" w:rsidP="00142A4B">
            <w:pPr>
              <w:spacing w:before="60" w:after="60" w:line="240" w:lineRule="auto"/>
              <w:ind w:right="254"/>
              <w:jc w:val="right"/>
              <w:rPr>
                <w:sz w:val="18"/>
              </w:rPr>
            </w:pPr>
            <w:r>
              <w:rPr>
                <w:sz w:val="18"/>
              </w:rPr>
              <w:t>85%</w:t>
            </w:r>
          </w:p>
        </w:tc>
        <w:tc>
          <w:tcPr>
            <w:tcW w:w="1496" w:type="dxa"/>
          </w:tcPr>
          <w:p w:rsidR="005F5B63" w:rsidRPr="00BB3DC4" w:rsidRDefault="005F5B63" w:rsidP="00142A4B">
            <w:pPr>
              <w:spacing w:before="60" w:after="60" w:line="240" w:lineRule="auto"/>
              <w:ind w:right="254"/>
              <w:jc w:val="right"/>
              <w:rPr>
                <w:sz w:val="18"/>
              </w:rPr>
            </w:pPr>
            <w:r>
              <w:rPr>
                <w:sz w:val="18"/>
              </w:rPr>
              <w:t>72%</w:t>
            </w:r>
          </w:p>
        </w:tc>
        <w:tc>
          <w:tcPr>
            <w:tcW w:w="1496" w:type="dxa"/>
          </w:tcPr>
          <w:p w:rsidR="005F5B63" w:rsidRPr="00BB3DC4" w:rsidRDefault="005F5B63" w:rsidP="00142A4B">
            <w:pPr>
              <w:spacing w:before="60" w:after="60" w:line="240" w:lineRule="auto"/>
              <w:ind w:right="254"/>
              <w:jc w:val="right"/>
              <w:rPr>
                <w:sz w:val="18"/>
              </w:rPr>
            </w:pPr>
            <w:r>
              <w:rPr>
                <w:sz w:val="18"/>
              </w:rPr>
              <w:t>63%</w:t>
            </w:r>
          </w:p>
        </w:tc>
        <w:tc>
          <w:tcPr>
            <w:tcW w:w="1497" w:type="dxa"/>
          </w:tcPr>
          <w:p w:rsidR="005F5B63" w:rsidRPr="00BB3DC4" w:rsidRDefault="005F5B63" w:rsidP="00142A4B">
            <w:pPr>
              <w:spacing w:before="60" w:after="60" w:line="240" w:lineRule="auto"/>
              <w:ind w:right="254"/>
              <w:jc w:val="right"/>
              <w:rPr>
                <w:sz w:val="18"/>
              </w:rPr>
            </w:pPr>
            <w:r>
              <w:rPr>
                <w:sz w:val="18"/>
              </w:rPr>
              <w:t>64%</w:t>
            </w:r>
          </w:p>
        </w:tc>
      </w:tr>
      <w:tr w:rsidR="005F5B63" w:rsidTr="00142A4B">
        <w:tc>
          <w:tcPr>
            <w:tcW w:w="3227" w:type="dxa"/>
            <w:vAlign w:val="bottom"/>
          </w:tcPr>
          <w:p w:rsidR="005F5B63" w:rsidRPr="00202821" w:rsidRDefault="005F5B63" w:rsidP="00142A4B">
            <w:pPr>
              <w:spacing w:before="60" w:after="60" w:line="240" w:lineRule="auto"/>
              <w:rPr>
                <w:rFonts w:cs="Tahoma"/>
                <w:sz w:val="18"/>
                <w:szCs w:val="20"/>
                <w:lang w:val="de-AT" w:eastAsia="de-AT"/>
              </w:rPr>
            </w:pPr>
            <w:r w:rsidRPr="00202821">
              <w:rPr>
                <w:rFonts w:cs="Tahoma"/>
                <w:sz w:val="18"/>
                <w:szCs w:val="20"/>
                <w:lang w:val="de-AT" w:eastAsia="de-AT"/>
              </w:rPr>
              <w:t>Dringlichkeit der Wohnversorgung</w:t>
            </w:r>
          </w:p>
        </w:tc>
        <w:tc>
          <w:tcPr>
            <w:tcW w:w="1496" w:type="dxa"/>
          </w:tcPr>
          <w:p w:rsidR="005F5B63" w:rsidRPr="00BB3DC4" w:rsidRDefault="005F5B63" w:rsidP="00142A4B">
            <w:pPr>
              <w:spacing w:before="60" w:after="60" w:line="240" w:lineRule="auto"/>
              <w:ind w:right="254"/>
              <w:jc w:val="right"/>
              <w:rPr>
                <w:sz w:val="18"/>
              </w:rPr>
            </w:pPr>
            <w:r>
              <w:rPr>
                <w:sz w:val="18"/>
              </w:rPr>
              <w:t>66%</w:t>
            </w:r>
          </w:p>
        </w:tc>
        <w:tc>
          <w:tcPr>
            <w:tcW w:w="1496" w:type="dxa"/>
          </w:tcPr>
          <w:p w:rsidR="005F5B63" w:rsidRPr="00BB3DC4" w:rsidRDefault="005F5B63" w:rsidP="00142A4B">
            <w:pPr>
              <w:spacing w:before="60" w:after="60" w:line="240" w:lineRule="auto"/>
              <w:ind w:right="254"/>
              <w:jc w:val="right"/>
              <w:rPr>
                <w:sz w:val="18"/>
              </w:rPr>
            </w:pPr>
            <w:r>
              <w:rPr>
                <w:sz w:val="18"/>
              </w:rPr>
              <w:t>63%</w:t>
            </w:r>
          </w:p>
        </w:tc>
        <w:tc>
          <w:tcPr>
            <w:tcW w:w="1496" w:type="dxa"/>
          </w:tcPr>
          <w:p w:rsidR="005F5B63" w:rsidRPr="00BB3DC4" w:rsidRDefault="005F5B63" w:rsidP="00142A4B">
            <w:pPr>
              <w:spacing w:before="60" w:after="60" w:line="240" w:lineRule="auto"/>
              <w:ind w:right="254"/>
              <w:jc w:val="right"/>
              <w:rPr>
                <w:sz w:val="18"/>
              </w:rPr>
            </w:pPr>
            <w:r>
              <w:rPr>
                <w:sz w:val="18"/>
              </w:rPr>
              <w:t>64%</w:t>
            </w:r>
          </w:p>
        </w:tc>
        <w:tc>
          <w:tcPr>
            <w:tcW w:w="1497" w:type="dxa"/>
            <w:shd w:val="clear" w:color="auto" w:fill="C2D69B" w:themeFill="accent3" w:themeFillTint="99"/>
          </w:tcPr>
          <w:p w:rsidR="005F5B63" w:rsidRPr="00BB3DC4" w:rsidRDefault="005F5B63" w:rsidP="00142A4B">
            <w:pPr>
              <w:spacing w:before="60" w:after="60" w:line="240" w:lineRule="auto"/>
              <w:ind w:right="254"/>
              <w:jc w:val="right"/>
              <w:rPr>
                <w:sz w:val="18"/>
              </w:rPr>
            </w:pPr>
            <w:r>
              <w:rPr>
                <w:sz w:val="18"/>
              </w:rPr>
              <w:t>69%</w:t>
            </w:r>
          </w:p>
        </w:tc>
      </w:tr>
      <w:tr w:rsidR="005F5B63" w:rsidTr="00142A4B">
        <w:tc>
          <w:tcPr>
            <w:tcW w:w="3227" w:type="dxa"/>
            <w:vAlign w:val="bottom"/>
          </w:tcPr>
          <w:p w:rsidR="005F5B63" w:rsidRPr="00202821" w:rsidRDefault="005F5B63" w:rsidP="00142A4B">
            <w:pPr>
              <w:spacing w:before="60" w:after="60" w:line="240" w:lineRule="auto"/>
              <w:rPr>
                <w:rFonts w:cs="Tahoma"/>
                <w:sz w:val="18"/>
                <w:szCs w:val="20"/>
                <w:lang w:val="de-AT" w:eastAsia="de-AT"/>
              </w:rPr>
            </w:pPr>
            <w:r w:rsidRPr="00202821">
              <w:rPr>
                <w:rFonts w:cs="Tahoma"/>
                <w:sz w:val="18"/>
                <w:szCs w:val="20"/>
                <w:lang w:val="de-AT" w:eastAsia="de-AT"/>
              </w:rPr>
              <w:t>Kontinuität und Dauer der Arbeitsi</w:t>
            </w:r>
            <w:r w:rsidRPr="00202821">
              <w:rPr>
                <w:rFonts w:cs="Tahoma"/>
                <w:sz w:val="18"/>
                <w:szCs w:val="20"/>
                <w:lang w:val="de-AT" w:eastAsia="de-AT"/>
              </w:rPr>
              <w:t>n</w:t>
            </w:r>
            <w:r w:rsidRPr="00202821">
              <w:rPr>
                <w:rFonts w:cs="Tahoma"/>
                <w:sz w:val="18"/>
                <w:szCs w:val="20"/>
                <w:lang w:val="de-AT" w:eastAsia="de-AT"/>
              </w:rPr>
              <w:t>tegration</w:t>
            </w:r>
          </w:p>
        </w:tc>
        <w:tc>
          <w:tcPr>
            <w:tcW w:w="1496" w:type="dxa"/>
          </w:tcPr>
          <w:p w:rsidR="005F5B63" w:rsidRPr="00BB3DC4" w:rsidRDefault="005F5B63" w:rsidP="00142A4B">
            <w:pPr>
              <w:spacing w:before="60" w:after="60" w:line="240" w:lineRule="auto"/>
              <w:ind w:right="254"/>
              <w:jc w:val="right"/>
              <w:rPr>
                <w:sz w:val="18"/>
              </w:rPr>
            </w:pPr>
            <w:r>
              <w:rPr>
                <w:sz w:val="18"/>
              </w:rPr>
              <w:t>53%</w:t>
            </w:r>
          </w:p>
        </w:tc>
        <w:tc>
          <w:tcPr>
            <w:tcW w:w="1496" w:type="dxa"/>
          </w:tcPr>
          <w:p w:rsidR="005F5B63" w:rsidRPr="00BB3DC4" w:rsidRDefault="005F5B63" w:rsidP="00142A4B">
            <w:pPr>
              <w:spacing w:before="60" w:after="60" w:line="240" w:lineRule="auto"/>
              <w:ind w:right="254"/>
              <w:jc w:val="right"/>
              <w:rPr>
                <w:sz w:val="18"/>
              </w:rPr>
            </w:pPr>
            <w:r>
              <w:rPr>
                <w:sz w:val="18"/>
              </w:rPr>
              <w:t>60%</w:t>
            </w:r>
          </w:p>
        </w:tc>
        <w:tc>
          <w:tcPr>
            <w:tcW w:w="1496" w:type="dxa"/>
            <w:shd w:val="clear" w:color="auto" w:fill="C2D69B" w:themeFill="accent3" w:themeFillTint="99"/>
          </w:tcPr>
          <w:p w:rsidR="005F5B63" w:rsidRPr="00BB3DC4" w:rsidRDefault="005F5B63" w:rsidP="00142A4B">
            <w:pPr>
              <w:spacing w:before="60" w:after="60" w:line="240" w:lineRule="auto"/>
              <w:ind w:right="254"/>
              <w:jc w:val="right"/>
              <w:rPr>
                <w:sz w:val="18"/>
              </w:rPr>
            </w:pPr>
            <w:r>
              <w:rPr>
                <w:sz w:val="18"/>
              </w:rPr>
              <w:t>79%</w:t>
            </w:r>
          </w:p>
        </w:tc>
        <w:tc>
          <w:tcPr>
            <w:tcW w:w="1497" w:type="dxa"/>
          </w:tcPr>
          <w:p w:rsidR="005F5B63" w:rsidRPr="00BB3DC4" w:rsidRDefault="005F5B63" w:rsidP="00142A4B">
            <w:pPr>
              <w:spacing w:before="60" w:after="60" w:line="240" w:lineRule="auto"/>
              <w:ind w:right="254"/>
              <w:jc w:val="right"/>
              <w:rPr>
                <w:sz w:val="18"/>
              </w:rPr>
            </w:pPr>
            <w:r>
              <w:rPr>
                <w:sz w:val="18"/>
              </w:rPr>
              <w:t>51%</w:t>
            </w:r>
          </w:p>
        </w:tc>
      </w:tr>
      <w:tr w:rsidR="005F5B63" w:rsidTr="00142A4B">
        <w:tc>
          <w:tcPr>
            <w:tcW w:w="3227" w:type="dxa"/>
            <w:vAlign w:val="bottom"/>
          </w:tcPr>
          <w:p w:rsidR="005F5B63" w:rsidRPr="00202821" w:rsidRDefault="005F5B63" w:rsidP="00142A4B">
            <w:pPr>
              <w:spacing w:before="60" w:after="60" w:line="240" w:lineRule="auto"/>
              <w:rPr>
                <w:rFonts w:cs="Tahoma"/>
                <w:sz w:val="18"/>
                <w:szCs w:val="20"/>
                <w:lang w:val="de-AT" w:eastAsia="de-AT"/>
              </w:rPr>
            </w:pPr>
            <w:r w:rsidRPr="00202821">
              <w:rPr>
                <w:rFonts w:cs="Tahoma"/>
                <w:sz w:val="18"/>
                <w:szCs w:val="20"/>
                <w:lang w:val="de-AT" w:eastAsia="de-AT"/>
              </w:rPr>
              <w:t>Kenntnis der deutschen Sprache</w:t>
            </w:r>
          </w:p>
        </w:tc>
        <w:tc>
          <w:tcPr>
            <w:tcW w:w="1496" w:type="dxa"/>
          </w:tcPr>
          <w:p w:rsidR="005F5B63" w:rsidRPr="00BB3DC4" w:rsidRDefault="005F5B63" w:rsidP="00142A4B">
            <w:pPr>
              <w:spacing w:before="60" w:after="60" w:line="240" w:lineRule="auto"/>
              <w:ind w:right="254"/>
              <w:jc w:val="right"/>
              <w:rPr>
                <w:sz w:val="18"/>
              </w:rPr>
            </w:pPr>
            <w:r>
              <w:rPr>
                <w:sz w:val="18"/>
              </w:rPr>
              <w:t>33%</w:t>
            </w:r>
          </w:p>
        </w:tc>
        <w:tc>
          <w:tcPr>
            <w:tcW w:w="1496" w:type="dxa"/>
          </w:tcPr>
          <w:p w:rsidR="005F5B63" w:rsidRPr="00BB3DC4" w:rsidRDefault="005F5B63" w:rsidP="00142A4B">
            <w:pPr>
              <w:spacing w:before="60" w:after="60" w:line="240" w:lineRule="auto"/>
              <w:ind w:right="254"/>
              <w:jc w:val="right"/>
              <w:rPr>
                <w:sz w:val="18"/>
              </w:rPr>
            </w:pPr>
            <w:r>
              <w:rPr>
                <w:sz w:val="18"/>
              </w:rPr>
              <w:t>26%</w:t>
            </w:r>
          </w:p>
        </w:tc>
        <w:tc>
          <w:tcPr>
            <w:tcW w:w="1496" w:type="dxa"/>
          </w:tcPr>
          <w:p w:rsidR="005F5B63" w:rsidRPr="00BB3DC4" w:rsidRDefault="005F5B63" w:rsidP="00142A4B">
            <w:pPr>
              <w:spacing w:before="60" w:after="60" w:line="240" w:lineRule="auto"/>
              <w:ind w:right="254"/>
              <w:jc w:val="right"/>
              <w:rPr>
                <w:sz w:val="18"/>
              </w:rPr>
            </w:pPr>
            <w:r>
              <w:rPr>
                <w:sz w:val="18"/>
              </w:rPr>
              <w:t>32%</w:t>
            </w:r>
          </w:p>
        </w:tc>
        <w:tc>
          <w:tcPr>
            <w:tcW w:w="1497" w:type="dxa"/>
            <w:shd w:val="clear" w:color="auto" w:fill="C2D69B" w:themeFill="accent3" w:themeFillTint="99"/>
          </w:tcPr>
          <w:p w:rsidR="005F5B63" w:rsidRPr="00BB3DC4" w:rsidRDefault="005F5B63" w:rsidP="00142A4B">
            <w:pPr>
              <w:spacing w:before="60" w:after="60" w:line="240" w:lineRule="auto"/>
              <w:ind w:right="254"/>
              <w:jc w:val="right"/>
              <w:rPr>
                <w:sz w:val="18"/>
              </w:rPr>
            </w:pPr>
            <w:r>
              <w:rPr>
                <w:sz w:val="18"/>
              </w:rPr>
              <w:t>39%</w:t>
            </w:r>
          </w:p>
        </w:tc>
      </w:tr>
      <w:tr w:rsidR="005F5B63" w:rsidTr="00142A4B">
        <w:tc>
          <w:tcPr>
            <w:tcW w:w="3227" w:type="dxa"/>
            <w:vAlign w:val="bottom"/>
          </w:tcPr>
          <w:p w:rsidR="005F5B63" w:rsidRPr="00202821" w:rsidRDefault="005F5B63" w:rsidP="00142A4B">
            <w:pPr>
              <w:spacing w:before="60" w:after="60" w:line="240" w:lineRule="auto"/>
              <w:rPr>
                <w:rFonts w:cs="Tahoma"/>
                <w:sz w:val="18"/>
                <w:szCs w:val="20"/>
                <w:lang w:val="de-AT" w:eastAsia="de-AT"/>
              </w:rPr>
            </w:pPr>
            <w:r w:rsidRPr="00202821">
              <w:rPr>
                <w:rFonts w:cs="Tahoma"/>
                <w:sz w:val="18"/>
                <w:szCs w:val="20"/>
                <w:lang w:val="de-AT" w:eastAsia="de-AT"/>
              </w:rPr>
              <w:t>Anteil von Nicht-ÖsterreicherInnen in der Hausgemeinschaft</w:t>
            </w:r>
          </w:p>
        </w:tc>
        <w:tc>
          <w:tcPr>
            <w:tcW w:w="1496" w:type="dxa"/>
          </w:tcPr>
          <w:p w:rsidR="005F5B63" w:rsidRPr="00BB3DC4" w:rsidRDefault="005F5B63" w:rsidP="00142A4B">
            <w:pPr>
              <w:spacing w:before="60" w:after="60" w:line="240" w:lineRule="auto"/>
              <w:ind w:right="254"/>
              <w:jc w:val="right"/>
              <w:rPr>
                <w:sz w:val="18"/>
              </w:rPr>
            </w:pPr>
            <w:r>
              <w:rPr>
                <w:sz w:val="18"/>
              </w:rPr>
              <w:t>31%</w:t>
            </w:r>
          </w:p>
        </w:tc>
        <w:tc>
          <w:tcPr>
            <w:tcW w:w="1496" w:type="dxa"/>
            <w:shd w:val="clear" w:color="auto" w:fill="C2D69B" w:themeFill="accent3" w:themeFillTint="99"/>
          </w:tcPr>
          <w:p w:rsidR="005F5B63" w:rsidRPr="00BB3DC4" w:rsidRDefault="005F5B63" w:rsidP="00142A4B">
            <w:pPr>
              <w:spacing w:before="60" w:after="60" w:line="240" w:lineRule="auto"/>
              <w:ind w:right="254"/>
              <w:jc w:val="right"/>
              <w:rPr>
                <w:sz w:val="18"/>
              </w:rPr>
            </w:pPr>
            <w:r>
              <w:rPr>
                <w:sz w:val="18"/>
              </w:rPr>
              <w:t>34%</w:t>
            </w:r>
          </w:p>
        </w:tc>
        <w:tc>
          <w:tcPr>
            <w:tcW w:w="1496" w:type="dxa"/>
          </w:tcPr>
          <w:p w:rsidR="005F5B63" w:rsidRPr="00BB3DC4" w:rsidRDefault="005F5B63" w:rsidP="00142A4B">
            <w:pPr>
              <w:spacing w:before="60" w:after="60" w:line="240" w:lineRule="auto"/>
              <w:ind w:right="254"/>
              <w:jc w:val="right"/>
              <w:rPr>
                <w:sz w:val="18"/>
              </w:rPr>
            </w:pPr>
            <w:r>
              <w:rPr>
                <w:sz w:val="18"/>
              </w:rPr>
              <w:t>11%</w:t>
            </w:r>
          </w:p>
        </w:tc>
        <w:tc>
          <w:tcPr>
            <w:tcW w:w="1497" w:type="dxa"/>
          </w:tcPr>
          <w:p w:rsidR="005F5B63" w:rsidRPr="00BB3DC4" w:rsidRDefault="005F5B63" w:rsidP="00142A4B">
            <w:pPr>
              <w:spacing w:before="60" w:after="60" w:line="240" w:lineRule="auto"/>
              <w:ind w:right="254"/>
              <w:jc w:val="right"/>
              <w:rPr>
                <w:sz w:val="18"/>
              </w:rPr>
            </w:pPr>
            <w:r>
              <w:rPr>
                <w:sz w:val="18"/>
              </w:rPr>
              <w:t>27%</w:t>
            </w:r>
          </w:p>
        </w:tc>
      </w:tr>
      <w:tr w:rsidR="005F5B63" w:rsidTr="00142A4B">
        <w:tc>
          <w:tcPr>
            <w:tcW w:w="3227" w:type="dxa"/>
            <w:vAlign w:val="bottom"/>
          </w:tcPr>
          <w:p w:rsidR="005F5B63" w:rsidRPr="00202821" w:rsidRDefault="005F5B63" w:rsidP="00142A4B">
            <w:pPr>
              <w:spacing w:before="60" w:after="60" w:line="240" w:lineRule="auto"/>
              <w:rPr>
                <w:rFonts w:cs="Tahoma"/>
                <w:sz w:val="18"/>
                <w:szCs w:val="20"/>
                <w:lang w:val="de-AT" w:eastAsia="de-AT"/>
              </w:rPr>
            </w:pPr>
            <w:r w:rsidRPr="00202821">
              <w:rPr>
                <w:rFonts w:cs="Tahoma"/>
                <w:sz w:val="18"/>
                <w:szCs w:val="20"/>
                <w:lang w:val="de-AT" w:eastAsia="de-AT"/>
              </w:rPr>
              <w:t>Beratungs-/Betreuungsangebote im Wohnumfeld</w:t>
            </w:r>
          </w:p>
        </w:tc>
        <w:tc>
          <w:tcPr>
            <w:tcW w:w="1496" w:type="dxa"/>
          </w:tcPr>
          <w:p w:rsidR="005F5B63" w:rsidRPr="00BB3DC4" w:rsidRDefault="005F5B63" w:rsidP="00142A4B">
            <w:pPr>
              <w:spacing w:before="60" w:after="60" w:line="240" w:lineRule="auto"/>
              <w:ind w:right="254"/>
              <w:jc w:val="right"/>
              <w:rPr>
                <w:sz w:val="18"/>
              </w:rPr>
            </w:pPr>
            <w:r>
              <w:rPr>
                <w:sz w:val="18"/>
              </w:rPr>
              <w:t>20%</w:t>
            </w:r>
          </w:p>
        </w:tc>
        <w:tc>
          <w:tcPr>
            <w:tcW w:w="1496" w:type="dxa"/>
          </w:tcPr>
          <w:p w:rsidR="005F5B63" w:rsidRPr="00BB3DC4" w:rsidRDefault="005F5B63" w:rsidP="00142A4B">
            <w:pPr>
              <w:spacing w:before="60" w:after="60" w:line="240" w:lineRule="auto"/>
              <w:ind w:right="254"/>
              <w:jc w:val="right"/>
              <w:rPr>
                <w:sz w:val="18"/>
              </w:rPr>
            </w:pPr>
            <w:r>
              <w:rPr>
                <w:sz w:val="18"/>
              </w:rPr>
              <w:t>17%</w:t>
            </w:r>
          </w:p>
        </w:tc>
        <w:tc>
          <w:tcPr>
            <w:tcW w:w="1496" w:type="dxa"/>
            <w:shd w:val="clear" w:color="auto" w:fill="C2D69B" w:themeFill="accent3" w:themeFillTint="99"/>
          </w:tcPr>
          <w:p w:rsidR="005F5B63" w:rsidRPr="00BB3DC4" w:rsidRDefault="005F5B63" w:rsidP="00142A4B">
            <w:pPr>
              <w:spacing w:before="60" w:after="60" w:line="240" w:lineRule="auto"/>
              <w:ind w:right="254"/>
              <w:jc w:val="right"/>
              <w:rPr>
                <w:sz w:val="18"/>
              </w:rPr>
            </w:pPr>
            <w:r>
              <w:rPr>
                <w:sz w:val="18"/>
              </w:rPr>
              <w:t>26%</w:t>
            </w:r>
          </w:p>
        </w:tc>
        <w:tc>
          <w:tcPr>
            <w:tcW w:w="1497" w:type="dxa"/>
          </w:tcPr>
          <w:p w:rsidR="005F5B63" w:rsidRPr="00BB3DC4" w:rsidRDefault="005F5B63" w:rsidP="00142A4B">
            <w:pPr>
              <w:spacing w:before="60" w:after="60" w:line="240" w:lineRule="auto"/>
              <w:ind w:right="254"/>
              <w:jc w:val="right"/>
              <w:rPr>
                <w:sz w:val="18"/>
              </w:rPr>
            </w:pPr>
            <w:r>
              <w:rPr>
                <w:sz w:val="18"/>
              </w:rPr>
              <w:t>18%</w:t>
            </w:r>
          </w:p>
        </w:tc>
      </w:tr>
    </w:tbl>
    <w:p w:rsidR="005F5B63" w:rsidRDefault="005F5B63" w:rsidP="005F5B63">
      <w:pPr>
        <w:tabs>
          <w:tab w:val="left" w:pos="1134"/>
        </w:tabs>
      </w:pPr>
    </w:p>
    <w:p w:rsidR="005F5B63" w:rsidRDefault="005F5B63" w:rsidP="005F5B63">
      <w:pPr>
        <w:spacing w:after="200" w:line="276" w:lineRule="auto"/>
        <w:rPr>
          <w:rFonts w:eastAsiaTheme="majorEastAsia" w:cstheme="majorBidi"/>
          <w:i/>
          <w:iCs/>
          <w:color w:val="365F91" w:themeColor="accent1" w:themeShade="BF"/>
          <w:spacing w:val="15"/>
        </w:rPr>
      </w:pPr>
      <w:r>
        <w:br w:type="page"/>
      </w:r>
    </w:p>
    <w:p w:rsidR="005F5B63" w:rsidRDefault="005F5B63" w:rsidP="00FF2B86">
      <w:pPr>
        <w:pStyle w:val="Untertitel"/>
      </w:pPr>
      <w:r>
        <w:lastRenderedPageBreak/>
        <w:t>Tab: 17:</w:t>
      </w:r>
      <w:r>
        <w:tab/>
        <w:t>Spezielle Vorsorgen für nicht-österreichische WohnungswerberInnen (n=178)</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686"/>
        <w:gridCol w:w="909"/>
        <w:gridCol w:w="909"/>
        <w:gridCol w:w="910"/>
        <w:gridCol w:w="909"/>
        <w:gridCol w:w="909"/>
        <w:gridCol w:w="910"/>
      </w:tblGrid>
      <w:tr w:rsidR="005F5B63" w:rsidRPr="00AC722A" w:rsidTr="00142A4B">
        <w:trPr>
          <w:trHeight w:val="600"/>
        </w:trPr>
        <w:tc>
          <w:tcPr>
            <w:tcW w:w="3686" w:type="dxa"/>
            <w:vMerge w:val="restart"/>
            <w:tcBorders>
              <w:top w:val="nil"/>
              <w:left w:val="nil"/>
            </w:tcBorders>
            <w:shd w:val="clear" w:color="auto" w:fill="FFFFFF" w:themeFill="background1"/>
            <w:vAlign w:val="center"/>
            <w:hideMark/>
          </w:tcPr>
          <w:p w:rsidR="005F5B63" w:rsidRPr="00AC722A" w:rsidRDefault="005F5B63" w:rsidP="00142A4B">
            <w:pPr>
              <w:spacing w:before="60" w:after="60" w:line="240" w:lineRule="auto"/>
              <w:rPr>
                <w:rFonts w:ascii="Microsoft Sans Serif" w:hAnsi="Microsoft Sans Serif" w:cs="Microsoft Sans Serif"/>
                <w:bCs/>
                <w:color w:val="000000"/>
                <w:sz w:val="20"/>
                <w:szCs w:val="20"/>
                <w:lang w:val="de-AT" w:eastAsia="de-AT"/>
              </w:rPr>
            </w:pPr>
          </w:p>
        </w:tc>
        <w:tc>
          <w:tcPr>
            <w:tcW w:w="1818" w:type="dxa"/>
            <w:gridSpan w:val="2"/>
            <w:shd w:val="clear" w:color="auto" w:fill="D6E3BC" w:themeFill="accent3" w:themeFillTint="66"/>
            <w:vAlign w:val="center"/>
            <w:hideMark/>
          </w:tcPr>
          <w:p w:rsidR="005F5B63" w:rsidRPr="00AC722A" w:rsidRDefault="005F5B63" w:rsidP="00142A4B">
            <w:pPr>
              <w:spacing w:before="60" w:after="60" w:line="240" w:lineRule="auto"/>
              <w:rPr>
                <w:rFonts w:ascii="Microsoft Sans Serif" w:hAnsi="Microsoft Sans Serif" w:cs="Microsoft Sans Serif"/>
                <w:bCs/>
                <w:color w:val="000000"/>
                <w:sz w:val="20"/>
                <w:szCs w:val="20"/>
                <w:lang w:val="de-AT" w:eastAsia="de-AT"/>
              </w:rPr>
            </w:pPr>
            <w:r w:rsidRPr="00AC722A">
              <w:rPr>
                <w:rFonts w:ascii="Microsoft Sans Serif" w:hAnsi="Microsoft Sans Serif" w:cs="Microsoft Sans Serif"/>
                <w:bCs/>
                <w:color w:val="000000"/>
                <w:sz w:val="20"/>
                <w:szCs w:val="20"/>
                <w:lang w:val="de-AT" w:eastAsia="de-AT"/>
              </w:rPr>
              <w:t>trifft zu</w:t>
            </w:r>
          </w:p>
        </w:tc>
        <w:tc>
          <w:tcPr>
            <w:tcW w:w="1819" w:type="dxa"/>
            <w:gridSpan w:val="2"/>
            <w:shd w:val="clear" w:color="auto" w:fill="D6E3BC" w:themeFill="accent3" w:themeFillTint="66"/>
            <w:vAlign w:val="center"/>
            <w:hideMark/>
          </w:tcPr>
          <w:p w:rsidR="005F5B63" w:rsidRPr="00AC722A" w:rsidRDefault="005F5B63" w:rsidP="00142A4B">
            <w:pPr>
              <w:spacing w:before="60" w:after="60" w:line="240" w:lineRule="auto"/>
              <w:rPr>
                <w:rFonts w:ascii="Microsoft Sans Serif" w:hAnsi="Microsoft Sans Serif" w:cs="Microsoft Sans Serif"/>
                <w:bCs/>
                <w:color w:val="000000"/>
                <w:sz w:val="20"/>
                <w:szCs w:val="20"/>
                <w:lang w:val="de-AT" w:eastAsia="de-AT"/>
              </w:rPr>
            </w:pPr>
            <w:r w:rsidRPr="00AC722A">
              <w:rPr>
                <w:rFonts w:ascii="Microsoft Sans Serif" w:hAnsi="Microsoft Sans Serif" w:cs="Microsoft Sans Serif"/>
                <w:bCs/>
                <w:color w:val="000000"/>
                <w:sz w:val="20"/>
                <w:szCs w:val="20"/>
                <w:lang w:val="de-AT" w:eastAsia="de-AT"/>
              </w:rPr>
              <w:t xml:space="preserve">trifft </w:t>
            </w:r>
            <w:r>
              <w:rPr>
                <w:rFonts w:ascii="Microsoft Sans Serif" w:hAnsi="Microsoft Sans Serif" w:cs="Microsoft Sans Serif"/>
                <w:bCs/>
                <w:color w:val="000000"/>
                <w:sz w:val="20"/>
                <w:szCs w:val="20"/>
                <w:lang w:val="de-AT" w:eastAsia="de-AT"/>
              </w:rPr>
              <w:t>nicht</w:t>
            </w:r>
            <w:r w:rsidRPr="00AC722A">
              <w:rPr>
                <w:rFonts w:ascii="Microsoft Sans Serif" w:hAnsi="Microsoft Sans Serif" w:cs="Microsoft Sans Serif"/>
                <w:bCs/>
                <w:color w:val="000000"/>
                <w:sz w:val="20"/>
                <w:szCs w:val="20"/>
                <w:lang w:val="de-AT" w:eastAsia="de-AT"/>
              </w:rPr>
              <w:t xml:space="preserve"> zu</w:t>
            </w:r>
          </w:p>
        </w:tc>
        <w:tc>
          <w:tcPr>
            <w:tcW w:w="1819" w:type="dxa"/>
            <w:gridSpan w:val="2"/>
            <w:shd w:val="clear" w:color="auto" w:fill="D6E3BC" w:themeFill="accent3" w:themeFillTint="66"/>
            <w:vAlign w:val="center"/>
          </w:tcPr>
          <w:p w:rsidR="005F5B63" w:rsidRPr="00AC722A" w:rsidRDefault="005F5B63" w:rsidP="00142A4B">
            <w:pPr>
              <w:spacing w:before="60" w:after="60" w:line="240" w:lineRule="auto"/>
              <w:rPr>
                <w:rFonts w:ascii="Microsoft Sans Serif" w:hAnsi="Microsoft Sans Serif" w:cs="Microsoft Sans Serif"/>
                <w:bCs/>
                <w:color w:val="000000"/>
                <w:sz w:val="20"/>
                <w:szCs w:val="20"/>
                <w:lang w:val="de-AT" w:eastAsia="de-AT"/>
              </w:rPr>
            </w:pPr>
            <w:r>
              <w:rPr>
                <w:rFonts w:ascii="Microsoft Sans Serif" w:hAnsi="Microsoft Sans Serif" w:cs="Microsoft Sans Serif"/>
                <w:bCs/>
                <w:color w:val="000000"/>
                <w:sz w:val="20"/>
                <w:szCs w:val="20"/>
                <w:lang w:val="de-AT" w:eastAsia="de-AT"/>
              </w:rPr>
              <w:t>weiß nicht</w:t>
            </w:r>
          </w:p>
        </w:tc>
      </w:tr>
      <w:tr w:rsidR="005F5B63" w:rsidRPr="00D87038" w:rsidTr="00142A4B">
        <w:trPr>
          <w:trHeight w:val="255"/>
        </w:trPr>
        <w:tc>
          <w:tcPr>
            <w:tcW w:w="3686" w:type="dxa"/>
            <w:vMerge/>
            <w:tcBorders>
              <w:left w:val="nil"/>
            </w:tcBorders>
            <w:shd w:val="clear" w:color="auto" w:fill="FFFFFF" w:themeFill="background1"/>
            <w:vAlign w:val="bottom"/>
            <w:hideMark/>
          </w:tcPr>
          <w:p w:rsidR="005F5B63" w:rsidRPr="00D87038" w:rsidRDefault="005F5B63" w:rsidP="00142A4B">
            <w:pPr>
              <w:spacing w:before="60" w:after="60" w:line="240" w:lineRule="auto"/>
              <w:rPr>
                <w:rFonts w:ascii="Microsoft Sans Serif" w:hAnsi="Microsoft Sans Serif" w:cs="Microsoft Sans Serif"/>
                <w:sz w:val="20"/>
                <w:szCs w:val="20"/>
                <w:lang w:val="de-AT" w:eastAsia="de-AT"/>
              </w:rPr>
            </w:pPr>
          </w:p>
        </w:tc>
        <w:tc>
          <w:tcPr>
            <w:tcW w:w="909" w:type="dxa"/>
            <w:shd w:val="clear" w:color="auto" w:fill="D6E3BC" w:themeFill="accent3" w:themeFillTint="66"/>
            <w:noWrap/>
            <w:vAlign w:val="center"/>
            <w:hideMark/>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abs.</w:t>
            </w:r>
          </w:p>
        </w:tc>
        <w:tc>
          <w:tcPr>
            <w:tcW w:w="909" w:type="dxa"/>
            <w:shd w:val="clear" w:color="auto" w:fill="D6E3BC" w:themeFill="accent3" w:themeFillTint="66"/>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in %</w:t>
            </w:r>
          </w:p>
        </w:tc>
        <w:tc>
          <w:tcPr>
            <w:tcW w:w="910" w:type="dxa"/>
            <w:shd w:val="clear" w:color="auto" w:fill="D6E3BC" w:themeFill="accent3" w:themeFillTint="66"/>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abs.</w:t>
            </w:r>
          </w:p>
        </w:tc>
        <w:tc>
          <w:tcPr>
            <w:tcW w:w="909" w:type="dxa"/>
            <w:shd w:val="clear" w:color="auto" w:fill="D6E3BC" w:themeFill="accent3" w:themeFillTint="66"/>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in %</w:t>
            </w:r>
          </w:p>
        </w:tc>
        <w:tc>
          <w:tcPr>
            <w:tcW w:w="909" w:type="dxa"/>
            <w:shd w:val="clear" w:color="auto" w:fill="D6E3BC" w:themeFill="accent3" w:themeFillTint="66"/>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abs.</w:t>
            </w:r>
          </w:p>
        </w:tc>
        <w:tc>
          <w:tcPr>
            <w:tcW w:w="910" w:type="dxa"/>
            <w:shd w:val="clear" w:color="auto" w:fill="D6E3BC" w:themeFill="accent3" w:themeFillTint="66"/>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in %</w:t>
            </w:r>
          </w:p>
        </w:tc>
      </w:tr>
      <w:tr w:rsidR="005F5B63" w:rsidRPr="00D87038" w:rsidTr="00142A4B">
        <w:trPr>
          <w:trHeight w:val="255"/>
        </w:trPr>
        <w:tc>
          <w:tcPr>
            <w:tcW w:w="3686" w:type="dxa"/>
            <w:shd w:val="clear" w:color="auto" w:fill="FFFFFF" w:themeFill="background1"/>
            <w:vAlign w:val="bottom"/>
            <w:hideMark/>
          </w:tcPr>
          <w:p w:rsidR="005F5B63" w:rsidRPr="00D87038" w:rsidRDefault="005F5B63" w:rsidP="00142A4B">
            <w:pPr>
              <w:spacing w:before="60" w:after="60" w:line="240" w:lineRule="auto"/>
              <w:rPr>
                <w:rFonts w:ascii="Microsoft Sans Serif" w:hAnsi="Microsoft Sans Serif" w:cs="Microsoft Sans Serif"/>
                <w:sz w:val="20"/>
                <w:szCs w:val="20"/>
                <w:lang w:val="de-AT" w:eastAsia="de-AT"/>
              </w:rPr>
            </w:pPr>
            <w:r w:rsidRPr="00D87038">
              <w:rPr>
                <w:rFonts w:ascii="Microsoft Sans Serif" w:hAnsi="Microsoft Sans Serif" w:cs="Microsoft Sans Serif"/>
                <w:sz w:val="20"/>
                <w:szCs w:val="20"/>
                <w:lang w:val="de-AT" w:eastAsia="de-AT"/>
              </w:rPr>
              <w:t>Kooperation mit externen Beratungs-</w:t>
            </w:r>
            <w:r>
              <w:rPr>
                <w:rFonts w:ascii="Microsoft Sans Serif" w:hAnsi="Microsoft Sans Serif" w:cs="Microsoft Sans Serif"/>
                <w:sz w:val="20"/>
                <w:szCs w:val="20"/>
                <w:lang w:val="de-AT" w:eastAsia="de-AT"/>
              </w:rPr>
              <w:t xml:space="preserve"> </w:t>
            </w:r>
            <w:r w:rsidRPr="00D87038">
              <w:rPr>
                <w:rFonts w:ascii="Microsoft Sans Serif" w:hAnsi="Microsoft Sans Serif" w:cs="Microsoft Sans Serif"/>
                <w:sz w:val="20"/>
                <w:szCs w:val="20"/>
                <w:lang w:val="de-AT" w:eastAsia="de-AT"/>
              </w:rPr>
              <w:t>/</w:t>
            </w:r>
            <w:r>
              <w:rPr>
                <w:rFonts w:ascii="Microsoft Sans Serif" w:hAnsi="Microsoft Sans Serif" w:cs="Microsoft Sans Serif"/>
                <w:sz w:val="20"/>
                <w:szCs w:val="20"/>
                <w:lang w:val="de-AT" w:eastAsia="de-AT"/>
              </w:rPr>
              <w:t xml:space="preserve"> </w:t>
            </w:r>
            <w:r w:rsidRPr="00D87038">
              <w:rPr>
                <w:rFonts w:ascii="Microsoft Sans Serif" w:hAnsi="Microsoft Sans Serif" w:cs="Microsoft Sans Serif"/>
                <w:sz w:val="20"/>
                <w:szCs w:val="20"/>
                <w:lang w:val="de-AT" w:eastAsia="de-AT"/>
              </w:rPr>
              <w:t>Vertretungseinrichtungen</w:t>
            </w:r>
          </w:p>
        </w:tc>
        <w:tc>
          <w:tcPr>
            <w:tcW w:w="909" w:type="dxa"/>
            <w:shd w:val="clear" w:color="auto" w:fill="FFFFFF" w:themeFill="background1"/>
            <w:noWrap/>
            <w:vAlign w:val="center"/>
            <w:hideMark/>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114</w:t>
            </w:r>
          </w:p>
        </w:tc>
        <w:tc>
          <w:tcPr>
            <w:tcW w:w="909" w:type="dxa"/>
            <w:shd w:val="clear" w:color="auto" w:fill="FFFFFF" w:themeFill="background1"/>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65%</w:t>
            </w:r>
          </w:p>
        </w:tc>
        <w:tc>
          <w:tcPr>
            <w:tcW w:w="910" w:type="dxa"/>
            <w:shd w:val="clear" w:color="auto" w:fill="FFFFFF" w:themeFill="background1"/>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51</w:t>
            </w:r>
          </w:p>
        </w:tc>
        <w:tc>
          <w:tcPr>
            <w:tcW w:w="909" w:type="dxa"/>
            <w:shd w:val="clear" w:color="auto" w:fill="FFFFFF" w:themeFill="background1"/>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29%</w:t>
            </w:r>
          </w:p>
        </w:tc>
        <w:tc>
          <w:tcPr>
            <w:tcW w:w="909" w:type="dxa"/>
            <w:shd w:val="clear" w:color="auto" w:fill="FFFFFF" w:themeFill="background1"/>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10</w:t>
            </w:r>
          </w:p>
        </w:tc>
        <w:tc>
          <w:tcPr>
            <w:tcW w:w="910" w:type="dxa"/>
            <w:shd w:val="clear" w:color="auto" w:fill="FFFFFF" w:themeFill="background1"/>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6%</w:t>
            </w:r>
          </w:p>
        </w:tc>
      </w:tr>
      <w:tr w:rsidR="005F5B63" w:rsidRPr="00D87038" w:rsidTr="00142A4B">
        <w:trPr>
          <w:trHeight w:val="255"/>
        </w:trPr>
        <w:tc>
          <w:tcPr>
            <w:tcW w:w="3686" w:type="dxa"/>
            <w:shd w:val="clear" w:color="auto" w:fill="FFFFFF" w:themeFill="background1"/>
            <w:vAlign w:val="bottom"/>
            <w:hideMark/>
          </w:tcPr>
          <w:p w:rsidR="005F5B63" w:rsidRPr="00D87038" w:rsidRDefault="005F5B63" w:rsidP="00142A4B">
            <w:pPr>
              <w:spacing w:before="60" w:after="60" w:line="240" w:lineRule="auto"/>
              <w:rPr>
                <w:rFonts w:ascii="Microsoft Sans Serif" w:hAnsi="Microsoft Sans Serif" w:cs="Microsoft Sans Serif"/>
                <w:sz w:val="20"/>
                <w:szCs w:val="20"/>
                <w:lang w:val="de-AT" w:eastAsia="de-AT"/>
              </w:rPr>
            </w:pPr>
            <w:r w:rsidRPr="00D87038">
              <w:rPr>
                <w:rFonts w:ascii="Microsoft Sans Serif" w:hAnsi="Microsoft Sans Serif" w:cs="Microsoft Sans Serif"/>
                <w:sz w:val="20"/>
                <w:szCs w:val="20"/>
                <w:lang w:val="de-AT" w:eastAsia="de-AT"/>
              </w:rPr>
              <w:t>fremdsprachiges Informationsmaterial</w:t>
            </w:r>
          </w:p>
        </w:tc>
        <w:tc>
          <w:tcPr>
            <w:tcW w:w="909" w:type="dxa"/>
            <w:shd w:val="clear" w:color="auto" w:fill="FFFFFF" w:themeFill="background1"/>
            <w:noWrap/>
            <w:vAlign w:val="center"/>
            <w:hideMark/>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60</w:t>
            </w:r>
          </w:p>
        </w:tc>
        <w:tc>
          <w:tcPr>
            <w:tcW w:w="909" w:type="dxa"/>
            <w:shd w:val="clear" w:color="auto" w:fill="FFFFFF" w:themeFill="background1"/>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25%</w:t>
            </w:r>
          </w:p>
        </w:tc>
        <w:tc>
          <w:tcPr>
            <w:tcW w:w="910" w:type="dxa"/>
            <w:shd w:val="clear" w:color="auto" w:fill="FFFFFF" w:themeFill="background1"/>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106</w:t>
            </w:r>
          </w:p>
        </w:tc>
        <w:tc>
          <w:tcPr>
            <w:tcW w:w="909" w:type="dxa"/>
            <w:shd w:val="clear" w:color="auto" w:fill="FFFFFF" w:themeFill="background1"/>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60%</w:t>
            </w:r>
          </w:p>
        </w:tc>
        <w:tc>
          <w:tcPr>
            <w:tcW w:w="909" w:type="dxa"/>
            <w:shd w:val="clear" w:color="auto" w:fill="FFFFFF" w:themeFill="background1"/>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9</w:t>
            </w:r>
          </w:p>
        </w:tc>
        <w:tc>
          <w:tcPr>
            <w:tcW w:w="910" w:type="dxa"/>
            <w:shd w:val="clear" w:color="auto" w:fill="FFFFFF" w:themeFill="background1"/>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5%</w:t>
            </w:r>
          </w:p>
        </w:tc>
      </w:tr>
      <w:tr w:rsidR="005F5B63" w:rsidRPr="00D87038" w:rsidTr="00142A4B">
        <w:trPr>
          <w:trHeight w:val="255"/>
        </w:trPr>
        <w:tc>
          <w:tcPr>
            <w:tcW w:w="3686" w:type="dxa"/>
            <w:shd w:val="clear" w:color="auto" w:fill="FFFFFF" w:themeFill="background1"/>
            <w:vAlign w:val="bottom"/>
            <w:hideMark/>
          </w:tcPr>
          <w:p w:rsidR="005F5B63" w:rsidRPr="00D87038" w:rsidRDefault="005F5B63" w:rsidP="00142A4B">
            <w:pPr>
              <w:spacing w:before="60" w:after="60" w:line="240" w:lineRule="auto"/>
              <w:rPr>
                <w:rFonts w:ascii="Microsoft Sans Serif" w:hAnsi="Microsoft Sans Serif" w:cs="Microsoft Sans Serif"/>
                <w:sz w:val="20"/>
                <w:szCs w:val="20"/>
                <w:lang w:val="de-AT" w:eastAsia="de-AT"/>
              </w:rPr>
            </w:pPr>
            <w:r w:rsidRPr="00D87038">
              <w:rPr>
                <w:rFonts w:ascii="Microsoft Sans Serif" w:hAnsi="Microsoft Sans Serif" w:cs="Microsoft Sans Serif"/>
                <w:sz w:val="20"/>
                <w:szCs w:val="20"/>
                <w:lang w:val="de-AT" w:eastAsia="de-AT"/>
              </w:rPr>
              <w:t>fremdsprachiges Personal</w:t>
            </w:r>
          </w:p>
        </w:tc>
        <w:tc>
          <w:tcPr>
            <w:tcW w:w="909" w:type="dxa"/>
            <w:shd w:val="clear" w:color="auto" w:fill="FFFFFF" w:themeFill="background1"/>
            <w:noWrap/>
            <w:vAlign w:val="center"/>
            <w:hideMark/>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49</w:t>
            </w:r>
          </w:p>
        </w:tc>
        <w:tc>
          <w:tcPr>
            <w:tcW w:w="909" w:type="dxa"/>
            <w:shd w:val="clear" w:color="auto" w:fill="FFFFFF" w:themeFill="background1"/>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29%</w:t>
            </w:r>
          </w:p>
        </w:tc>
        <w:tc>
          <w:tcPr>
            <w:tcW w:w="910" w:type="dxa"/>
            <w:shd w:val="clear" w:color="auto" w:fill="FFFFFF" w:themeFill="background1"/>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118</w:t>
            </w:r>
          </w:p>
        </w:tc>
        <w:tc>
          <w:tcPr>
            <w:tcW w:w="909" w:type="dxa"/>
            <w:shd w:val="clear" w:color="auto" w:fill="FFFFFF" w:themeFill="background1"/>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67%</w:t>
            </w:r>
          </w:p>
        </w:tc>
        <w:tc>
          <w:tcPr>
            <w:tcW w:w="909" w:type="dxa"/>
            <w:shd w:val="clear" w:color="auto" w:fill="FFFFFF" w:themeFill="background1"/>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8</w:t>
            </w:r>
          </w:p>
        </w:tc>
        <w:tc>
          <w:tcPr>
            <w:tcW w:w="910" w:type="dxa"/>
            <w:shd w:val="clear" w:color="auto" w:fill="FFFFFF" w:themeFill="background1"/>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5%</w:t>
            </w:r>
          </w:p>
        </w:tc>
      </w:tr>
      <w:tr w:rsidR="005F5B63" w:rsidRPr="00D87038" w:rsidTr="00142A4B">
        <w:trPr>
          <w:trHeight w:val="255"/>
        </w:trPr>
        <w:tc>
          <w:tcPr>
            <w:tcW w:w="3686" w:type="dxa"/>
            <w:shd w:val="clear" w:color="auto" w:fill="FFFFFF" w:themeFill="background1"/>
            <w:vAlign w:val="bottom"/>
            <w:hideMark/>
          </w:tcPr>
          <w:p w:rsidR="005F5B63" w:rsidRPr="00D87038" w:rsidRDefault="005F5B63" w:rsidP="00142A4B">
            <w:pPr>
              <w:spacing w:before="60" w:after="60" w:line="240" w:lineRule="auto"/>
              <w:rPr>
                <w:rFonts w:ascii="Microsoft Sans Serif" w:hAnsi="Microsoft Sans Serif" w:cs="Microsoft Sans Serif"/>
                <w:sz w:val="20"/>
                <w:szCs w:val="20"/>
                <w:lang w:val="de-AT" w:eastAsia="de-AT"/>
              </w:rPr>
            </w:pPr>
            <w:r w:rsidRPr="00D87038">
              <w:rPr>
                <w:rFonts w:ascii="Microsoft Sans Serif" w:hAnsi="Microsoft Sans Serif" w:cs="Microsoft Sans Serif"/>
                <w:sz w:val="20"/>
                <w:szCs w:val="20"/>
                <w:lang w:val="de-AT" w:eastAsia="de-AT"/>
              </w:rPr>
              <w:t>spezifische Förderangebote, z.B. Sprachförderung</w:t>
            </w:r>
          </w:p>
        </w:tc>
        <w:tc>
          <w:tcPr>
            <w:tcW w:w="909" w:type="dxa"/>
            <w:shd w:val="clear" w:color="auto" w:fill="FFFFFF" w:themeFill="background1"/>
            <w:noWrap/>
            <w:vAlign w:val="center"/>
            <w:hideMark/>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40</w:t>
            </w:r>
          </w:p>
        </w:tc>
        <w:tc>
          <w:tcPr>
            <w:tcW w:w="909" w:type="dxa"/>
            <w:shd w:val="clear" w:color="auto" w:fill="FFFFFF" w:themeFill="background1"/>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23%</w:t>
            </w:r>
          </w:p>
        </w:tc>
        <w:tc>
          <w:tcPr>
            <w:tcW w:w="910" w:type="dxa"/>
            <w:shd w:val="clear" w:color="auto" w:fill="FFFFFF" w:themeFill="background1"/>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126</w:t>
            </w:r>
          </w:p>
        </w:tc>
        <w:tc>
          <w:tcPr>
            <w:tcW w:w="909" w:type="dxa"/>
            <w:shd w:val="clear" w:color="auto" w:fill="FFFFFF" w:themeFill="background1"/>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72%</w:t>
            </w:r>
          </w:p>
        </w:tc>
        <w:tc>
          <w:tcPr>
            <w:tcW w:w="909" w:type="dxa"/>
            <w:shd w:val="clear" w:color="auto" w:fill="FFFFFF" w:themeFill="background1"/>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10</w:t>
            </w:r>
          </w:p>
        </w:tc>
        <w:tc>
          <w:tcPr>
            <w:tcW w:w="910" w:type="dxa"/>
            <w:shd w:val="clear" w:color="auto" w:fill="FFFFFF" w:themeFill="background1"/>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6%</w:t>
            </w:r>
          </w:p>
        </w:tc>
      </w:tr>
    </w:tbl>
    <w:p w:rsidR="005F5B63" w:rsidRDefault="005F5B63" w:rsidP="005F5B63"/>
    <w:p w:rsidR="005F5B63" w:rsidRDefault="005F5B63" w:rsidP="00FF2B86">
      <w:pPr>
        <w:pStyle w:val="Untertitel"/>
      </w:pPr>
      <w:r>
        <w:t>Tab. 18:</w:t>
      </w:r>
      <w:r>
        <w:tab/>
        <w:t>Vorsorgen für nicht-österreichische WohnungswerberInnen nach Art der Einrichtung</w:t>
      </w:r>
    </w:p>
    <w:tbl>
      <w:tblPr>
        <w:tblStyle w:val="Tabellengitternetz"/>
        <w:tblW w:w="0" w:type="auto"/>
        <w:tblLook w:val="04A0"/>
      </w:tblPr>
      <w:tblGrid>
        <w:gridCol w:w="3227"/>
        <w:gridCol w:w="1496"/>
        <w:gridCol w:w="1496"/>
        <w:gridCol w:w="1496"/>
        <w:gridCol w:w="1497"/>
      </w:tblGrid>
      <w:tr w:rsidR="005F5B63" w:rsidRPr="005B6361" w:rsidTr="00142A4B">
        <w:tc>
          <w:tcPr>
            <w:tcW w:w="3227" w:type="dxa"/>
            <w:shd w:val="clear" w:color="auto" w:fill="D6E3BC" w:themeFill="accent3" w:themeFillTint="66"/>
            <w:vAlign w:val="center"/>
          </w:tcPr>
          <w:p w:rsidR="005F5B63" w:rsidRPr="005B6361" w:rsidRDefault="005F5B63" w:rsidP="00142A4B">
            <w:pPr>
              <w:tabs>
                <w:tab w:val="left" w:pos="1134"/>
              </w:tabs>
              <w:spacing w:before="60" w:after="60" w:line="240" w:lineRule="auto"/>
              <w:rPr>
                <w:sz w:val="18"/>
              </w:rPr>
            </w:pPr>
          </w:p>
        </w:tc>
        <w:tc>
          <w:tcPr>
            <w:tcW w:w="1496" w:type="dxa"/>
            <w:shd w:val="clear" w:color="auto" w:fill="D6E3BC" w:themeFill="accent3" w:themeFillTint="66"/>
            <w:vAlign w:val="center"/>
          </w:tcPr>
          <w:p w:rsidR="005F5B63" w:rsidRPr="005B6361" w:rsidRDefault="005F5B63" w:rsidP="00142A4B">
            <w:pPr>
              <w:tabs>
                <w:tab w:val="left" w:pos="1134"/>
              </w:tabs>
              <w:spacing w:before="60" w:after="60" w:line="240" w:lineRule="auto"/>
              <w:rPr>
                <w:sz w:val="18"/>
              </w:rPr>
            </w:pPr>
            <w:r w:rsidRPr="005B6361">
              <w:rPr>
                <w:sz w:val="18"/>
              </w:rPr>
              <w:t>Wohnungsamt</w:t>
            </w:r>
          </w:p>
        </w:tc>
        <w:tc>
          <w:tcPr>
            <w:tcW w:w="1496" w:type="dxa"/>
            <w:shd w:val="clear" w:color="auto" w:fill="D6E3BC" w:themeFill="accent3" w:themeFillTint="66"/>
            <w:vAlign w:val="center"/>
          </w:tcPr>
          <w:p w:rsidR="005F5B63" w:rsidRPr="005B6361" w:rsidRDefault="005F5B63" w:rsidP="00142A4B">
            <w:pPr>
              <w:tabs>
                <w:tab w:val="left" w:pos="1134"/>
              </w:tabs>
              <w:spacing w:before="60" w:after="60" w:line="240" w:lineRule="auto"/>
              <w:rPr>
                <w:sz w:val="18"/>
              </w:rPr>
            </w:pPr>
            <w:r w:rsidRPr="005B6361">
              <w:rPr>
                <w:sz w:val="18"/>
              </w:rPr>
              <w:t>gem</w:t>
            </w:r>
            <w:r>
              <w:rPr>
                <w:sz w:val="18"/>
              </w:rPr>
              <w:t>einnütziger</w:t>
            </w:r>
            <w:r w:rsidRPr="005B6361">
              <w:rPr>
                <w:sz w:val="18"/>
              </w:rPr>
              <w:t xml:space="preserve"> Bautr</w:t>
            </w:r>
            <w:r>
              <w:rPr>
                <w:sz w:val="18"/>
              </w:rPr>
              <w:t>äger</w:t>
            </w:r>
          </w:p>
        </w:tc>
        <w:tc>
          <w:tcPr>
            <w:tcW w:w="1496" w:type="dxa"/>
            <w:shd w:val="clear" w:color="auto" w:fill="D6E3BC" w:themeFill="accent3" w:themeFillTint="66"/>
            <w:vAlign w:val="center"/>
          </w:tcPr>
          <w:p w:rsidR="005F5B63" w:rsidRPr="005B6361" w:rsidRDefault="005F5B63" w:rsidP="00142A4B">
            <w:pPr>
              <w:tabs>
                <w:tab w:val="left" w:pos="1134"/>
              </w:tabs>
              <w:spacing w:before="60" w:after="60" w:line="240" w:lineRule="auto"/>
              <w:rPr>
                <w:sz w:val="18"/>
              </w:rPr>
            </w:pPr>
            <w:r w:rsidRPr="005B6361">
              <w:rPr>
                <w:sz w:val="18"/>
              </w:rPr>
              <w:t>priv</w:t>
            </w:r>
            <w:r>
              <w:rPr>
                <w:sz w:val="18"/>
              </w:rPr>
              <w:t>ater</w:t>
            </w:r>
            <w:r w:rsidRPr="005B6361">
              <w:rPr>
                <w:sz w:val="18"/>
              </w:rPr>
              <w:t xml:space="preserve"> Ba</w:t>
            </w:r>
            <w:r w:rsidRPr="005B6361">
              <w:rPr>
                <w:sz w:val="18"/>
              </w:rPr>
              <w:t>u</w:t>
            </w:r>
            <w:r w:rsidRPr="005B6361">
              <w:rPr>
                <w:sz w:val="18"/>
              </w:rPr>
              <w:t>tr</w:t>
            </w:r>
            <w:r>
              <w:rPr>
                <w:sz w:val="18"/>
              </w:rPr>
              <w:t>äger</w:t>
            </w:r>
          </w:p>
        </w:tc>
        <w:tc>
          <w:tcPr>
            <w:tcW w:w="1497" w:type="dxa"/>
            <w:shd w:val="clear" w:color="auto" w:fill="D6E3BC" w:themeFill="accent3" w:themeFillTint="66"/>
            <w:vAlign w:val="center"/>
          </w:tcPr>
          <w:p w:rsidR="005F5B63" w:rsidRPr="005B6361" w:rsidRDefault="005F5B63" w:rsidP="00142A4B">
            <w:pPr>
              <w:tabs>
                <w:tab w:val="left" w:pos="1134"/>
              </w:tabs>
              <w:spacing w:before="60" w:after="60" w:line="240" w:lineRule="auto"/>
              <w:rPr>
                <w:sz w:val="18"/>
              </w:rPr>
            </w:pPr>
            <w:r w:rsidRPr="005B6361">
              <w:rPr>
                <w:sz w:val="18"/>
              </w:rPr>
              <w:t>Beratungs</w:t>
            </w:r>
            <w:r>
              <w:rPr>
                <w:sz w:val="18"/>
              </w:rPr>
              <w:softHyphen/>
            </w:r>
            <w:r w:rsidRPr="005B6361">
              <w:rPr>
                <w:sz w:val="18"/>
              </w:rPr>
              <w:t>einr</w:t>
            </w:r>
            <w:r>
              <w:rPr>
                <w:sz w:val="18"/>
              </w:rPr>
              <w:t>ichtung</w:t>
            </w:r>
          </w:p>
        </w:tc>
      </w:tr>
      <w:tr w:rsidR="005F5B63" w:rsidRPr="005B6361" w:rsidTr="00142A4B">
        <w:tc>
          <w:tcPr>
            <w:tcW w:w="3227" w:type="dxa"/>
            <w:vAlign w:val="bottom"/>
          </w:tcPr>
          <w:p w:rsidR="005F5B63" w:rsidRPr="005B6361" w:rsidRDefault="005F5B63" w:rsidP="00142A4B">
            <w:pPr>
              <w:spacing w:before="60" w:after="60" w:line="240" w:lineRule="auto"/>
              <w:rPr>
                <w:rFonts w:ascii="Microsoft Sans Serif" w:hAnsi="Microsoft Sans Serif" w:cs="Microsoft Sans Serif"/>
                <w:sz w:val="18"/>
                <w:szCs w:val="20"/>
                <w:lang w:val="de-AT" w:eastAsia="de-AT"/>
              </w:rPr>
            </w:pPr>
            <w:r w:rsidRPr="005B6361">
              <w:rPr>
                <w:rFonts w:ascii="Microsoft Sans Serif" w:hAnsi="Microsoft Sans Serif" w:cs="Microsoft Sans Serif"/>
                <w:sz w:val="18"/>
                <w:szCs w:val="20"/>
                <w:lang w:val="de-AT" w:eastAsia="de-AT"/>
              </w:rPr>
              <w:t>Kooperation mit externen Beratungs- / Vertretungseinrichtungen</w:t>
            </w:r>
          </w:p>
        </w:tc>
        <w:tc>
          <w:tcPr>
            <w:tcW w:w="1496" w:type="dxa"/>
            <w:shd w:val="clear" w:color="auto" w:fill="FFFFFF" w:themeFill="background1"/>
          </w:tcPr>
          <w:p w:rsidR="005F5B63" w:rsidRPr="005B6361" w:rsidRDefault="005F5B63" w:rsidP="00142A4B">
            <w:pPr>
              <w:spacing w:before="60" w:after="60" w:line="240" w:lineRule="auto"/>
              <w:ind w:right="254"/>
              <w:jc w:val="right"/>
              <w:rPr>
                <w:sz w:val="18"/>
              </w:rPr>
            </w:pPr>
            <w:r>
              <w:rPr>
                <w:sz w:val="18"/>
              </w:rPr>
              <w:t>51%</w:t>
            </w:r>
          </w:p>
        </w:tc>
        <w:tc>
          <w:tcPr>
            <w:tcW w:w="1496" w:type="dxa"/>
          </w:tcPr>
          <w:p w:rsidR="005F5B63" w:rsidRPr="005B6361" w:rsidRDefault="005F5B63" w:rsidP="00142A4B">
            <w:pPr>
              <w:spacing w:before="60" w:after="60" w:line="240" w:lineRule="auto"/>
              <w:ind w:right="254"/>
              <w:jc w:val="right"/>
              <w:rPr>
                <w:sz w:val="18"/>
              </w:rPr>
            </w:pPr>
            <w:r>
              <w:rPr>
                <w:sz w:val="18"/>
              </w:rPr>
              <w:t>43%</w:t>
            </w:r>
          </w:p>
        </w:tc>
        <w:tc>
          <w:tcPr>
            <w:tcW w:w="1496" w:type="dxa"/>
          </w:tcPr>
          <w:p w:rsidR="005F5B63" w:rsidRPr="005B6361" w:rsidRDefault="005F5B63" w:rsidP="00142A4B">
            <w:pPr>
              <w:spacing w:before="60" w:after="60" w:line="240" w:lineRule="auto"/>
              <w:ind w:right="254"/>
              <w:jc w:val="right"/>
              <w:rPr>
                <w:sz w:val="18"/>
              </w:rPr>
            </w:pPr>
            <w:r>
              <w:rPr>
                <w:sz w:val="18"/>
              </w:rPr>
              <w:t>37%</w:t>
            </w:r>
          </w:p>
        </w:tc>
        <w:tc>
          <w:tcPr>
            <w:tcW w:w="1497" w:type="dxa"/>
            <w:shd w:val="clear" w:color="auto" w:fill="C2D69B" w:themeFill="accent3" w:themeFillTint="99"/>
          </w:tcPr>
          <w:p w:rsidR="005F5B63" w:rsidRPr="005B6361" w:rsidRDefault="005F5B63" w:rsidP="00142A4B">
            <w:pPr>
              <w:spacing w:before="60" w:after="60" w:line="240" w:lineRule="auto"/>
              <w:ind w:right="254"/>
              <w:jc w:val="right"/>
              <w:rPr>
                <w:sz w:val="18"/>
              </w:rPr>
            </w:pPr>
            <w:r>
              <w:rPr>
                <w:sz w:val="18"/>
              </w:rPr>
              <w:t>81%</w:t>
            </w:r>
          </w:p>
        </w:tc>
      </w:tr>
      <w:tr w:rsidR="005F5B63" w:rsidRPr="005B6361" w:rsidTr="00142A4B">
        <w:tc>
          <w:tcPr>
            <w:tcW w:w="3227" w:type="dxa"/>
            <w:vAlign w:val="bottom"/>
          </w:tcPr>
          <w:p w:rsidR="005F5B63" w:rsidRPr="005B6361" w:rsidRDefault="005F5B63" w:rsidP="00142A4B">
            <w:pPr>
              <w:spacing w:before="60" w:after="60" w:line="240" w:lineRule="auto"/>
              <w:rPr>
                <w:rFonts w:ascii="Microsoft Sans Serif" w:hAnsi="Microsoft Sans Serif" w:cs="Microsoft Sans Serif"/>
                <w:sz w:val="18"/>
                <w:szCs w:val="20"/>
                <w:lang w:val="de-AT" w:eastAsia="de-AT"/>
              </w:rPr>
            </w:pPr>
            <w:r w:rsidRPr="005B6361">
              <w:rPr>
                <w:rFonts w:ascii="Microsoft Sans Serif" w:hAnsi="Microsoft Sans Serif" w:cs="Microsoft Sans Serif"/>
                <w:sz w:val="18"/>
                <w:szCs w:val="20"/>
                <w:lang w:val="de-AT" w:eastAsia="de-AT"/>
              </w:rPr>
              <w:t>fremdsprachiges Informationsmater</w:t>
            </w:r>
            <w:r w:rsidRPr="005B6361">
              <w:rPr>
                <w:rFonts w:ascii="Microsoft Sans Serif" w:hAnsi="Microsoft Sans Serif" w:cs="Microsoft Sans Serif"/>
                <w:sz w:val="18"/>
                <w:szCs w:val="20"/>
                <w:lang w:val="de-AT" w:eastAsia="de-AT"/>
              </w:rPr>
              <w:t>i</w:t>
            </w:r>
            <w:r w:rsidRPr="005B6361">
              <w:rPr>
                <w:rFonts w:ascii="Microsoft Sans Serif" w:hAnsi="Microsoft Sans Serif" w:cs="Microsoft Sans Serif"/>
                <w:sz w:val="18"/>
                <w:szCs w:val="20"/>
                <w:lang w:val="de-AT" w:eastAsia="de-AT"/>
              </w:rPr>
              <w:t>al</w:t>
            </w:r>
          </w:p>
        </w:tc>
        <w:tc>
          <w:tcPr>
            <w:tcW w:w="1496" w:type="dxa"/>
          </w:tcPr>
          <w:p w:rsidR="005F5B63" w:rsidRPr="005B6361" w:rsidRDefault="005F5B63" w:rsidP="00142A4B">
            <w:pPr>
              <w:spacing w:before="60" w:after="60" w:line="240" w:lineRule="auto"/>
              <w:ind w:right="254"/>
              <w:jc w:val="right"/>
              <w:rPr>
                <w:sz w:val="18"/>
              </w:rPr>
            </w:pPr>
            <w:r>
              <w:rPr>
                <w:sz w:val="18"/>
              </w:rPr>
              <w:t>22%</w:t>
            </w:r>
          </w:p>
        </w:tc>
        <w:tc>
          <w:tcPr>
            <w:tcW w:w="1496" w:type="dxa"/>
          </w:tcPr>
          <w:p w:rsidR="005F5B63" w:rsidRPr="005B6361" w:rsidRDefault="005F5B63" w:rsidP="00142A4B">
            <w:pPr>
              <w:spacing w:before="60" w:after="60" w:line="240" w:lineRule="auto"/>
              <w:ind w:right="254"/>
              <w:jc w:val="right"/>
              <w:rPr>
                <w:sz w:val="18"/>
              </w:rPr>
            </w:pPr>
            <w:r>
              <w:rPr>
                <w:sz w:val="18"/>
              </w:rPr>
              <w:t>23%</w:t>
            </w:r>
          </w:p>
        </w:tc>
        <w:tc>
          <w:tcPr>
            <w:tcW w:w="1496" w:type="dxa"/>
          </w:tcPr>
          <w:p w:rsidR="005F5B63" w:rsidRPr="005B6361" w:rsidRDefault="005F5B63" w:rsidP="00142A4B">
            <w:pPr>
              <w:spacing w:before="60" w:after="60" w:line="240" w:lineRule="auto"/>
              <w:ind w:right="254"/>
              <w:jc w:val="right"/>
              <w:rPr>
                <w:sz w:val="18"/>
              </w:rPr>
            </w:pPr>
            <w:r>
              <w:rPr>
                <w:sz w:val="18"/>
              </w:rPr>
              <w:t>26%</w:t>
            </w:r>
          </w:p>
        </w:tc>
        <w:tc>
          <w:tcPr>
            <w:tcW w:w="1497" w:type="dxa"/>
            <w:shd w:val="clear" w:color="auto" w:fill="C2D69B" w:themeFill="accent3" w:themeFillTint="99"/>
          </w:tcPr>
          <w:p w:rsidR="005F5B63" w:rsidRPr="005B6361" w:rsidRDefault="005F5B63" w:rsidP="00142A4B">
            <w:pPr>
              <w:spacing w:before="60" w:after="60" w:line="240" w:lineRule="auto"/>
              <w:ind w:right="254"/>
              <w:jc w:val="right"/>
              <w:rPr>
                <w:sz w:val="18"/>
              </w:rPr>
            </w:pPr>
            <w:r>
              <w:rPr>
                <w:sz w:val="18"/>
              </w:rPr>
              <w:t>47%</w:t>
            </w:r>
          </w:p>
        </w:tc>
      </w:tr>
      <w:tr w:rsidR="005F5B63" w:rsidRPr="005B6361" w:rsidTr="00142A4B">
        <w:tc>
          <w:tcPr>
            <w:tcW w:w="3227" w:type="dxa"/>
            <w:vAlign w:val="bottom"/>
          </w:tcPr>
          <w:p w:rsidR="005F5B63" w:rsidRPr="005B6361" w:rsidRDefault="005F5B63" w:rsidP="00142A4B">
            <w:pPr>
              <w:spacing w:before="60" w:after="60" w:line="240" w:lineRule="auto"/>
              <w:rPr>
                <w:rFonts w:ascii="Microsoft Sans Serif" w:hAnsi="Microsoft Sans Serif" w:cs="Microsoft Sans Serif"/>
                <w:sz w:val="18"/>
                <w:szCs w:val="20"/>
                <w:lang w:val="de-AT" w:eastAsia="de-AT"/>
              </w:rPr>
            </w:pPr>
            <w:r w:rsidRPr="005B6361">
              <w:rPr>
                <w:rFonts w:ascii="Microsoft Sans Serif" w:hAnsi="Microsoft Sans Serif" w:cs="Microsoft Sans Serif"/>
                <w:sz w:val="18"/>
                <w:szCs w:val="20"/>
                <w:lang w:val="de-AT" w:eastAsia="de-AT"/>
              </w:rPr>
              <w:t>fremdsprachiges Personal</w:t>
            </w:r>
          </w:p>
        </w:tc>
        <w:tc>
          <w:tcPr>
            <w:tcW w:w="1496" w:type="dxa"/>
          </w:tcPr>
          <w:p w:rsidR="005F5B63" w:rsidRPr="005B6361" w:rsidRDefault="005F5B63" w:rsidP="00142A4B">
            <w:pPr>
              <w:spacing w:before="60" w:after="60" w:line="240" w:lineRule="auto"/>
              <w:ind w:right="254"/>
              <w:jc w:val="right"/>
              <w:rPr>
                <w:sz w:val="18"/>
              </w:rPr>
            </w:pPr>
            <w:r>
              <w:rPr>
                <w:sz w:val="18"/>
              </w:rPr>
              <w:t>16%</w:t>
            </w:r>
          </w:p>
        </w:tc>
        <w:tc>
          <w:tcPr>
            <w:tcW w:w="1496" w:type="dxa"/>
          </w:tcPr>
          <w:p w:rsidR="005F5B63" w:rsidRPr="005B6361" w:rsidRDefault="005F5B63" w:rsidP="00142A4B">
            <w:pPr>
              <w:spacing w:before="60" w:after="60" w:line="240" w:lineRule="auto"/>
              <w:ind w:right="254"/>
              <w:jc w:val="right"/>
              <w:rPr>
                <w:sz w:val="18"/>
              </w:rPr>
            </w:pPr>
            <w:r>
              <w:rPr>
                <w:sz w:val="18"/>
              </w:rPr>
              <w:t>23%</w:t>
            </w:r>
          </w:p>
        </w:tc>
        <w:tc>
          <w:tcPr>
            <w:tcW w:w="1496" w:type="dxa"/>
            <w:shd w:val="clear" w:color="auto" w:fill="FFFFFF" w:themeFill="background1"/>
          </w:tcPr>
          <w:p w:rsidR="005F5B63" w:rsidRPr="005B6361" w:rsidRDefault="005F5B63" w:rsidP="00142A4B">
            <w:pPr>
              <w:spacing w:before="60" w:after="60" w:line="240" w:lineRule="auto"/>
              <w:ind w:right="254"/>
              <w:jc w:val="right"/>
              <w:rPr>
                <w:sz w:val="18"/>
              </w:rPr>
            </w:pPr>
            <w:r>
              <w:rPr>
                <w:sz w:val="18"/>
              </w:rPr>
              <w:t>21%</w:t>
            </w:r>
          </w:p>
        </w:tc>
        <w:tc>
          <w:tcPr>
            <w:tcW w:w="1497" w:type="dxa"/>
            <w:shd w:val="clear" w:color="auto" w:fill="C2D69B" w:themeFill="accent3" w:themeFillTint="99"/>
          </w:tcPr>
          <w:p w:rsidR="005F5B63" w:rsidRPr="005B6361" w:rsidRDefault="005F5B63" w:rsidP="00142A4B">
            <w:pPr>
              <w:spacing w:before="60" w:after="60" w:line="240" w:lineRule="auto"/>
              <w:ind w:right="254"/>
              <w:jc w:val="right"/>
              <w:rPr>
                <w:sz w:val="18"/>
              </w:rPr>
            </w:pPr>
            <w:r>
              <w:rPr>
                <w:sz w:val="18"/>
              </w:rPr>
              <w:t>39%</w:t>
            </w:r>
          </w:p>
        </w:tc>
      </w:tr>
      <w:tr w:rsidR="005F5B63" w:rsidRPr="005B6361" w:rsidTr="00142A4B">
        <w:tc>
          <w:tcPr>
            <w:tcW w:w="3227" w:type="dxa"/>
            <w:vAlign w:val="bottom"/>
          </w:tcPr>
          <w:p w:rsidR="005F5B63" w:rsidRPr="005B6361" w:rsidRDefault="005F5B63" w:rsidP="00142A4B">
            <w:pPr>
              <w:spacing w:before="60" w:after="60" w:line="240" w:lineRule="auto"/>
              <w:rPr>
                <w:rFonts w:ascii="Microsoft Sans Serif" w:hAnsi="Microsoft Sans Serif" w:cs="Microsoft Sans Serif"/>
                <w:sz w:val="18"/>
                <w:szCs w:val="20"/>
                <w:lang w:val="de-AT" w:eastAsia="de-AT"/>
              </w:rPr>
            </w:pPr>
            <w:r w:rsidRPr="005B6361">
              <w:rPr>
                <w:rFonts w:ascii="Microsoft Sans Serif" w:hAnsi="Microsoft Sans Serif" w:cs="Microsoft Sans Serif"/>
                <w:sz w:val="18"/>
                <w:szCs w:val="20"/>
                <w:lang w:val="de-AT" w:eastAsia="de-AT"/>
              </w:rPr>
              <w:t>spezifische Förderangebote, z.B. Sprachförderung</w:t>
            </w:r>
          </w:p>
        </w:tc>
        <w:tc>
          <w:tcPr>
            <w:tcW w:w="1496" w:type="dxa"/>
          </w:tcPr>
          <w:p w:rsidR="005F5B63" w:rsidRPr="005B6361" w:rsidRDefault="005F5B63" w:rsidP="00142A4B">
            <w:pPr>
              <w:spacing w:before="60" w:after="60" w:line="240" w:lineRule="auto"/>
              <w:ind w:right="254"/>
              <w:jc w:val="right"/>
              <w:rPr>
                <w:sz w:val="18"/>
              </w:rPr>
            </w:pPr>
            <w:r>
              <w:rPr>
                <w:sz w:val="18"/>
              </w:rPr>
              <w:t>27%</w:t>
            </w:r>
          </w:p>
        </w:tc>
        <w:tc>
          <w:tcPr>
            <w:tcW w:w="1496" w:type="dxa"/>
          </w:tcPr>
          <w:p w:rsidR="005F5B63" w:rsidRPr="005B6361" w:rsidRDefault="005F5B63" w:rsidP="00142A4B">
            <w:pPr>
              <w:spacing w:before="60" w:after="60" w:line="240" w:lineRule="auto"/>
              <w:ind w:right="254"/>
              <w:jc w:val="right"/>
              <w:rPr>
                <w:sz w:val="18"/>
              </w:rPr>
            </w:pPr>
            <w:r>
              <w:rPr>
                <w:sz w:val="18"/>
              </w:rPr>
              <w:t>19%</w:t>
            </w:r>
          </w:p>
        </w:tc>
        <w:tc>
          <w:tcPr>
            <w:tcW w:w="1496" w:type="dxa"/>
          </w:tcPr>
          <w:p w:rsidR="005F5B63" w:rsidRPr="005B6361" w:rsidRDefault="005F5B63" w:rsidP="00142A4B">
            <w:pPr>
              <w:spacing w:before="60" w:after="60" w:line="240" w:lineRule="auto"/>
              <w:ind w:right="254"/>
              <w:jc w:val="right"/>
              <w:rPr>
                <w:sz w:val="18"/>
              </w:rPr>
            </w:pPr>
            <w:r>
              <w:rPr>
                <w:sz w:val="18"/>
              </w:rPr>
              <w:t>26%</w:t>
            </w:r>
          </w:p>
        </w:tc>
        <w:tc>
          <w:tcPr>
            <w:tcW w:w="1497" w:type="dxa"/>
            <w:shd w:val="clear" w:color="auto" w:fill="C2D69B" w:themeFill="accent3" w:themeFillTint="99"/>
          </w:tcPr>
          <w:p w:rsidR="005F5B63" w:rsidRPr="005B6361" w:rsidRDefault="005F5B63" w:rsidP="00142A4B">
            <w:pPr>
              <w:spacing w:before="60" w:after="60" w:line="240" w:lineRule="auto"/>
              <w:ind w:right="254"/>
              <w:jc w:val="right"/>
              <w:rPr>
                <w:sz w:val="18"/>
              </w:rPr>
            </w:pPr>
            <w:r>
              <w:rPr>
                <w:sz w:val="18"/>
              </w:rPr>
              <w:t>29%</w:t>
            </w:r>
          </w:p>
        </w:tc>
      </w:tr>
    </w:tbl>
    <w:p w:rsidR="005F5B63" w:rsidRDefault="005F5B63" w:rsidP="005F5B63"/>
    <w:p w:rsidR="005F5B63" w:rsidRDefault="005F5B63" w:rsidP="00FF2B86">
      <w:pPr>
        <w:pStyle w:val="Untertitel"/>
      </w:pPr>
      <w:r>
        <w:t>Tab. 19:</w:t>
      </w:r>
      <w:r>
        <w:tab/>
        <w:t>Berücksichtigung der aktuellen Wohn-/Lebenssituation, n=173</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686"/>
        <w:gridCol w:w="909"/>
        <w:gridCol w:w="909"/>
        <w:gridCol w:w="910"/>
        <w:gridCol w:w="909"/>
        <w:gridCol w:w="909"/>
        <w:gridCol w:w="910"/>
      </w:tblGrid>
      <w:tr w:rsidR="005F5B63" w:rsidRPr="00AC722A" w:rsidTr="00142A4B">
        <w:trPr>
          <w:trHeight w:val="600"/>
        </w:trPr>
        <w:tc>
          <w:tcPr>
            <w:tcW w:w="3686" w:type="dxa"/>
            <w:vMerge w:val="restart"/>
            <w:tcBorders>
              <w:top w:val="nil"/>
              <w:left w:val="nil"/>
            </w:tcBorders>
            <w:shd w:val="clear" w:color="auto" w:fill="FFFFFF" w:themeFill="background1"/>
            <w:vAlign w:val="center"/>
            <w:hideMark/>
          </w:tcPr>
          <w:p w:rsidR="005F5B63" w:rsidRPr="00AC722A" w:rsidRDefault="005F5B63" w:rsidP="00142A4B">
            <w:pPr>
              <w:spacing w:before="60" w:after="60" w:line="240" w:lineRule="auto"/>
              <w:rPr>
                <w:rFonts w:ascii="Microsoft Sans Serif" w:hAnsi="Microsoft Sans Serif" w:cs="Microsoft Sans Serif"/>
                <w:bCs/>
                <w:color w:val="000000"/>
                <w:sz w:val="20"/>
                <w:szCs w:val="20"/>
                <w:lang w:val="de-AT" w:eastAsia="de-AT"/>
              </w:rPr>
            </w:pPr>
          </w:p>
        </w:tc>
        <w:tc>
          <w:tcPr>
            <w:tcW w:w="1818" w:type="dxa"/>
            <w:gridSpan w:val="2"/>
            <w:shd w:val="clear" w:color="auto" w:fill="D6E3BC" w:themeFill="accent3" w:themeFillTint="66"/>
            <w:vAlign w:val="center"/>
            <w:hideMark/>
          </w:tcPr>
          <w:p w:rsidR="005F5B63" w:rsidRPr="00AC722A" w:rsidRDefault="005F5B63" w:rsidP="00142A4B">
            <w:pPr>
              <w:spacing w:before="60" w:after="60" w:line="240" w:lineRule="auto"/>
              <w:rPr>
                <w:rFonts w:ascii="Microsoft Sans Serif" w:hAnsi="Microsoft Sans Serif" w:cs="Microsoft Sans Serif"/>
                <w:bCs/>
                <w:color w:val="000000"/>
                <w:sz w:val="20"/>
                <w:szCs w:val="20"/>
                <w:lang w:val="de-AT" w:eastAsia="de-AT"/>
              </w:rPr>
            </w:pPr>
            <w:r w:rsidRPr="00AC722A">
              <w:rPr>
                <w:rFonts w:ascii="Microsoft Sans Serif" w:hAnsi="Microsoft Sans Serif" w:cs="Microsoft Sans Serif"/>
                <w:bCs/>
                <w:color w:val="000000"/>
                <w:sz w:val="20"/>
                <w:szCs w:val="20"/>
                <w:lang w:val="de-AT" w:eastAsia="de-AT"/>
              </w:rPr>
              <w:t>trifft zu</w:t>
            </w:r>
          </w:p>
        </w:tc>
        <w:tc>
          <w:tcPr>
            <w:tcW w:w="1819" w:type="dxa"/>
            <w:gridSpan w:val="2"/>
            <w:shd w:val="clear" w:color="auto" w:fill="D6E3BC" w:themeFill="accent3" w:themeFillTint="66"/>
            <w:vAlign w:val="center"/>
            <w:hideMark/>
          </w:tcPr>
          <w:p w:rsidR="005F5B63" w:rsidRPr="00AC722A" w:rsidRDefault="005F5B63" w:rsidP="00142A4B">
            <w:pPr>
              <w:spacing w:before="60" w:after="60" w:line="240" w:lineRule="auto"/>
              <w:rPr>
                <w:rFonts w:ascii="Microsoft Sans Serif" w:hAnsi="Microsoft Sans Serif" w:cs="Microsoft Sans Serif"/>
                <w:bCs/>
                <w:color w:val="000000"/>
                <w:sz w:val="20"/>
                <w:szCs w:val="20"/>
                <w:lang w:val="de-AT" w:eastAsia="de-AT"/>
              </w:rPr>
            </w:pPr>
            <w:r w:rsidRPr="00AC722A">
              <w:rPr>
                <w:rFonts w:ascii="Microsoft Sans Serif" w:hAnsi="Microsoft Sans Serif" w:cs="Microsoft Sans Serif"/>
                <w:bCs/>
                <w:color w:val="000000"/>
                <w:sz w:val="20"/>
                <w:szCs w:val="20"/>
                <w:lang w:val="de-AT" w:eastAsia="de-AT"/>
              </w:rPr>
              <w:t xml:space="preserve">trifft </w:t>
            </w:r>
            <w:r>
              <w:rPr>
                <w:rFonts w:ascii="Microsoft Sans Serif" w:hAnsi="Microsoft Sans Serif" w:cs="Microsoft Sans Serif"/>
                <w:bCs/>
                <w:color w:val="000000"/>
                <w:sz w:val="20"/>
                <w:szCs w:val="20"/>
                <w:lang w:val="de-AT" w:eastAsia="de-AT"/>
              </w:rPr>
              <w:t>nicht</w:t>
            </w:r>
            <w:r w:rsidRPr="00AC722A">
              <w:rPr>
                <w:rFonts w:ascii="Microsoft Sans Serif" w:hAnsi="Microsoft Sans Serif" w:cs="Microsoft Sans Serif"/>
                <w:bCs/>
                <w:color w:val="000000"/>
                <w:sz w:val="20"/>
                <w:szCs w:val="20"/>
                <w:lang w:val="de-AT" w:eastAsia="de-AT"/>
              </w:rPr>
              <w:t xml:space="preserve"> zu</w:t>
            </w:r>
          </w:p>
        </w:tc>
        <w:tc>
          <w:tcPr>
            <w:tcW w:w="1819" w:type="dxa"/>
            <w:gridSpan w:val="2"/>
            <w:shd w:val="clear" w:color="auto" w:fill="D6E3BC" w:themeFill="accent3" w:themeFillTint="66"/>
            <w:vAlign w:val="center"/>
          </w:tcPr>
          <w:p w:rsidR="005F5B63" w:rsidRPr="00AC722A" w:rsidRDefault="005F5B63" w:rsidP="00142A4B">
            <w:pPr>
              <w:spacing w:before="60" w:after="60" w:line="240" w:lineRule="auto"/>
              <w:rPr>
                <w:rFonts w:ascii="Microsoft Sans Serif" w:hAnsi="Microsoft Sans Serif" w:cs="Microsoft Sans Serif"/>
                <w:bCs/>
                <w:color w:val="000000"/>
                <w:sz w:val="20"/>
                <w:szCs w:val="20"/>
                <w:lang w:val="de-AT" w:eastAsia="de-AT"/>
              </w:rPr>
            </w:pPr>
            <w:r>
              <w:rPr>
                <w:rFonts w:ascii="Microsoft Sans Serif" w:hAnsi="Microsoft Sans Serif" w:cs="Microsoft Sans Serif"/>
                <w:bCs/>
                <w:color w:val="000000"/>
                <w:sz w:val="20"/>
                <w:szCs w:val="20"/>
                <w:lang w:val="de-AT" w:eastAsia="de-AT"/>
              </w:rPr>
              <w:t>weiß nicht</w:t>
            </w:r>
          </w:p>
        </w:tc>
      </w:tr>
      <w:tr w:rsidR="005F5B63" w:rsidRPr="00D87038" w:rsidTr="00142A4B">
        <w:trPr>
          <w:trHeight w:val="255"/>
        </w:trPr>
        <w:tc>
          <w:tcPr>
            <w:tcW w:w="3686" w:type="dxa"/>
            <w:vMerge/>
            <w:tcBorders>
              <w:left w:val="nil"/>
            </w:tcBorders>
            <w:shd w:val="clear" w:color="auto" w:fill="FFFFFF" w:themeFill="background1"/>
            <w:vAlign w:val="bottom"/>
            <w:hideMark/>
          </w:tcPr>
          <w:p w:rsidR="005F5B63" w:rsidRPr="00D87038" w:rsidRDefault="005F5B63" w:rsidP="00142A4B">
            <w:pPr>
              <w:spacing w:before="60" w:after="60" w:line="240" w:lineRule="auto"/>
              <w:rPr>
                <w:rFonts w:ascii="Microsoft Sans Serif" w:hAnsi="Microsoft Sans Serif" w:cs="Microsoft Sans Serif"/>
                <w:sz w:val="20"/>
                <w:szCs w:val="20"/>
                <w:lang w:val="de-AT" w:eastAsia="de-AT"/>
              </w:rPr>
            </w:pPr>
          </w:p>
        </w:tc>
        <w:tc>
          <w:tcPr>
            <w:tcW w:w="909" w:type="dxa"/>
            <w:shd w:val="clear" w:color="auto" w:fill="D6E3BC" w:themeFill="accent3" w:themeFillTint="66"/>
            <w:noWrap/>
            <w:vAlign w:val="center"/>
            <w:hideMark/>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abs.</w:t>
            </w:r>
          </w:p>
        </w:tc>
        <w:tc>
          <w:tcPr>
            <w:tcW w:w="909" w:type="dxa"/>
            <w:shd w:val="clear" w:color="auto" w:fill="D6E3BC" w:themeFill="accent3" w:themeFillTint="66"/>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in %</w:t>
            </w:r>
          </w:p>
        </w:tc>
        <w:tc>
          <w:tcPr>
            <w:tcW w:w="910" w:type="dxa"/>
            <w:shd w:val="clear" w:color="auto" w:fill="D6E3BC" w:themeFill="accent3" w:themeFillTint="66"/>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abs.</w:t>
            </w:r>
          </w:p>
        </w:tc>
        <w:tc>
          <w:tcPr>
            <w:tcW w:w="909" w:type="dxa"/>
            <w:shd w:val="clear" w:color="auto" w:fill="D6E3BC" w:themeFill="accent3" w:themeFillTint="66"/>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in %</w:t>
            </w:r>
          </w:p>
        </w:tc>
        <w:tc>
          <w:tcPr>
            <w:tcW w:w="909" w:type="dxa"/>
            <w:shd w:val="clear" w:color="auto" w:fill="D6E3BC" w:themeFill="accent3" w:themeFillTint="66"/>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abs.</w:t>
            </w:r>
          </w:p>
        </w:tc>
        <w:tc>
          <w:tcPr>
            <w:tcW w:w="910" w:type="dxa"/>
            <w:shd w:val="clear" w:color="auto" w:fill="D6E3BC" w:themeFill="accent3" w:themeFillTint="66"/>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in %</w:t>
            </w:r>
          </w:p>
        </w:tc>
      </w:tr>
      <w:tr w:rsidR="005F5B63" w:rsidRPr="00D87038" w:rsidTr="00142A4B">
        <w:trPr>
          <w:trHeight w:val="255"/>
        </w:trPr>
        <w:tc>
          <w:tcPr>
            <w:tcW w:w="3686" w:type="dxa"/>
            <w:shd w:val="clear" w:color="auto" w:fill="FFFFFF" w:themeFill="background1"/>
            <w:vAlign w:val="bottom"/>
            <w:hideMark/>
          </w:tcPr>
          <w:p w:rsidR="005F5B63" w:rsidRPr="00D87038" w:rsidRDefault="005F5B63" w:rsidP="00142A4B">
            <w:pPr>
              <w:spacing w:before="60" w:after="60" w:line="240" w:lineRule="auto"/>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gesundheitsgefährdender Substandard</w:t>
            </w:r>
          </w:p>
        </w:tc>
        <w:tc>
          <w:tcPr>
            <w:tcW w:w="909" w:type="dxa"/>
            <w:shd w:val="clear" w:color="auto" w:fill="FFFFFF" w:themeFill="background1"/>
            <w:noWrap/>
            <w:vAlign w:val="center"/>
            <w:hideMark/>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108</w:t>
            </w:r>
          </w:p>
        </w:tc>
        <w:tc>
          <w:tcPr>
            <w:tcW w:w="909" w:type="dxa"/>
            <w:shd w:val="clear" w:color="auto" w:fill="FFFFFF" w:themeFill="background1"/>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63%</w:t>
            </w:r>
          </w:p>
        </w:tc>
        <w:tc>
          <w:tcPr>
            <w:tcW w:w="910" w:type="dxa"/>
            <w:shd w:val="clear" w:color="auto" w:fill="FFFFFF" w:themeFill="background1"/>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38</w:t>
            </w:r>
          </w:p>
        </w:tc>
        <w:tc>
          <w:tcPr>
            <w:tcW w:w="909" w:type="dxa"/>
            <w:shd w:val="clear" w:color="auto" w:fill="FFFFFF" w:themeFill="background1"/>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22%</w:t>
            </w:r>
          </w:p>
        </w:tc>
        <w:tc>
          <w:tcPr>
            <w:tcW w:w="909" w:type="dxa"/>
            <w:shd w:val="clear" w:color="auto" w:fill="FFFFFF" w:themeFill="background1"/>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27</w:t>
            </w:r>
          </w:p>
        </w:tc>
        <w:tc>
          <w:tcPr>
            <w:tcW w:w="910" w:type="dxa"/>
            <w:shd w:val="clear" w:color="auto" w:fill="FFFFFF" w:themeFill="background1"/>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16%</w:t>
            </w:r>
          </w:p>
        </w:tc>
      </w:tr>
      <w:tr w:rsidR="005F5B63" w:rsidRPr="00D87038" w:rsidTr="00142A4B">
        <w:trPr>
          <w:trHeight w:val="255"/>
        </w:trPr>
        <w:tc>
          <w:tcPr>
            <w:tcW w:w="3686" w:type="dxa"/>
            <w:shd w:val="clear" w:color="auto" w:fill="FFFFFF" w:themeFill="background1"/>
            <w:vAlign w:val="bottom"/>
            <w:hideMark/>
          </w:tcPr>
          <w:p w:rsidR="005F5B63" w:rsidRPr="00D87038" w:rsidRDefault="005F5B63" w:rsidP="00142A4B">
            <w:pPr>
              <w:spacing w:before="60" w:after="60" w:line="240" w:lineRule="auto"/>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Überbelag / Wohnung ist zu klein</w:t>
            </w:r>
          </w:p>
        </w:tc>
        <w:tc>
          <w:tcPr>
            <w:tcW w:w="909" w:type="dxa"/>
            <w:shd w:val="clear" w:color="auto" w:fill="FFFFFF" w:themeFill="background1"/>
            <w:noWrap/>
            <w:vAlign w:val="center"/>
            <w:hideMark/>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109</w:t>
            </w:r>
          </w:p>
        </w:tc>
        <w:tc>
          <w:tcPr>
            <w:tcW w:w="909" w:type="dxa"/>
            <w:shd w:val="clear" w:color="auto" w:fill="FFFFFF" w:themeFill="background1"/>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63%</w:t>
            </w:r>
          </w:p>
        </w:tc>
        <w:tc>
          <w:tcPr>
            <w:tcW w:w="910" w:type="dxa"/>
            <w:shd w:val="clear" w:color="auto" w:fill="FFFFFF" w:themeFill="background1"/>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38</w:t>
            </w:r>
          </w:p>
        </w:tc>
        <w:tc>
          <w:tcPr>
            <w:tcW w:w="909" w:type="dxa"/>
            <w:shd w:val="clear" w:color="auto" w:fill="FFFFFF" w:themeFill="background1"/>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22%</w:t>
            </w:r>
          </w:p>
        </w:tc>
        <w:tc>
          <w:tcPr>
            <w:tcW w:w="909" w:type="dxa"/>
            <w:shd w:val="clear" w:color="auto" w:fill="FFFFFF" w:themeFill="background1"/>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26</w:t>
            </w:r>
          </w:p>
        </w:tc>
        <w:tc>
          <w:tcPr>
            <w:tcW w:w="910" w:type="dxa"/>
            <w:shd w:val="clear" w:color="auto" w:fill="FFFFFF" w:themeFill="background1"/>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15%</w:t>
            </w:r>
          </w:p>
        </w:tc>
      </w:tr>
      <w:tr w:rsidR="005F5B63" w:rsidRPr="00D87038" w:rsidTr="00142A4B">
        <w:trPr>
          <w:trHeight w:val="255"/>
        </w:trPr>
        <w:tc>
          <w:tcPr>
            <w:tcW w:w="3686" w:type="dxa"/>
            <w:shd w:val="clear" w:color="auto" w:fill="FFFFFF" w:themeFill="background1"/>
            <w:vAlign w:val="bottom"/>
            <w:hideMark/>
          </w:tcPr>
          <w:p w:rsidR="005F5B63" w:rsidRPr="00A97CA9" w:rsidRDefault="005F5B63" w:rsidP="00142A4B">
            <w:pPr>
              <w:spacing w:before="60" w:after="60" w:line="240" w:lineRule="auto"/>
              <w:rPr>
                <w:rFonts w:ascii="Microsoft Sans Serif" w:hAnsi="Microsoft Sans Serif" w:cs="Microsoft Sans Serif"/>
                <w:sz w:val="20"/>
                <w:szCs w:val="20"/>
                <w:lang w:eastAsia="de-AT"/>
              </w:rPr>
            </w:pPr>
            <w:r>
              <w:rPr>
                <w:rFonts w:ascii="Microsoft Sans Serif" w:hAnsi="Microsoft Sans Serif" w:cs="Microsoft Sans Serif"/>
                <w:sz w:val="20"/>
                <w:szCs w:val="20"/>
                <w:lang w:eastAsia="de-AT"/>
              </w:rPr>
              <w:t>überhöhte Mietkosten</w:t>
            </w:r>
          </w:p>
        </w:tc>
        <w:tc>
          <w:tcPr>
            <w:tcW w:w="909" w:type="dxa"/>
            <w:shd w:val="clear" w:color="auto" w:fill="FFFFFF" w:themeFill="background1"/>
            <w:noWrap/>
            <w:vAlign w:val="center"/>
            <w:hideMark/>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63</w:t>
            </w:r>
          </w:p>
        </w:tc>
        <w:tc>
          <w:tcPr>
            <w:tcW w:w="909" w:type="dxa"/>
            <w:shd w:val="clear" w:color="auto" w:fill="FFFFFF" w:themeFill="background1"/>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37%</w:t>
            </w:r>
          </w:p>
        </w:tc>
        <w:tc>
          <w:tcPr>
            <w:tcW w:w="910" w:type="dxa"/>
            <w:shd w:val="clear" w:color="auto" w:fill="FFFFFF" w:themeFill="background1"/>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77</w:t>
            </w:r>
          </w:p>
        </w:tc>
        <w:tc>
          <w:tcPr>
            <w:tcW w:w="909" w:type="dxa"/>
            <w:shd w:val="clear" w:color="auto" w:fill="FFFFFF" w:themeFill="background1"/>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45%</w:t>
            </w:r>
          </w:p>
        </w:tc>
        <w:tc>
          <w:tcPr>
            <w:tcW w:w="909" w:type="dxa"/>
            <w:shd w:val="clear" w:color="auto" w:fill="FFFFFF" w:themeFill="background1"/>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33</w:t>
            </w:r>
          </w:p>
        </w:tc>
        <w:tc>
          <w:tcPr>
            <w:tcW w:w="910" w:type="dxa"/>
            <w:shd w:val="clear" w:color="auto" w:fill="FFFFFF" w:themeFill="background1"/>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19%</w:t>
            </w:r>
          </w:p>
        </w:tc>
      </w:tr>
      <w:tr w:rsidR="005F5B63" w:rsidRPr="00D87038" w:rsidTr="00142A4B">
        <w:trPr>
          <w:trHeight w:val="255"/>
        </w:trPr>
        <w:tc>
          <w:tcPr>
            <w:tcW w:w="3686" w:type="dxa"/>
            <w:shd w:val="clear" w:color="auto" w:fill="FFFFFF" w:themeFill="background1"/>
            <w:vAlign w:val="bottom"/>
            <w:hideMark/>
          </w:tcPr>
          <w:p w:rsidR="005F5B63" w:rsidRPr="00D87038" w:rsidRDefault="005F5B63" w:rsidP="00142A4B">
            <w:pPr>
              <w:spacing w:before="60" w:after="60" w:line="240" w:lineRule="auto"/>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niedriges Haushaltseinkommen</w:t>
            </w:r>
          </w:p>
        </w:tc>
        <w:tc>
          <w:tcPr>
            <w:tcW w:w="909" w:type="dxa"/>
            <w:shd w:val="clear" w:color="auto" w:fill="FFFFFF" w:themeFill="background1"/>
            <w:noWrap/>
            <w:vAlign w:val="center"/>
            <w:hideMark/>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104</w:t>
            </w:r>
          </w:p>
        </w:tc>
        <w:tc>
          <w:tcPr>
            <w:tcW w:w="909" w:type="dxa"/>
            <w:shd w:val="clear" w:color="auto" w:fill="FFFFFF" w:themeFill="background1"/>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60%</w:t>
            </w:r>
          </w:p>
        </w:tc>
        <w:tc>
          <w:tcPr>
            <w:tcW w:w="910" w:type="dxa"/>
            <w:shd w:val="clear" w:color="auto" w:fill="FFFFFF" w:themeFill="background1"/>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41</w:t>
            </w:r>
          </w:p>
        </w:tc>
        <w:tc>
          <w:tcPr>
            <w:tcW w:w="909" w:type="dxa"/>
            <w:shd w:val="clear" w:color="auto" w:fill="FFFFFF" w:themeFill="background1"/>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24%</w:t>
            </w:r>
          </w:p>
        </w:tc>
        <w:tc>
          <w:tcPr>
            <w:tcW w:w="909" w:type="dxa"/>
            <w:shd w:val="clear" w:color="auto" w:fill="FFFFFF" w:themeFill="background1"/>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28</w:t>
            </w:r>
          </w:p>
        </w:tc>
        <w:tc>
          <w:tcPr>
            <w:tcW w:w="910" w:type="dxa"/>
            <w:shd w:val="clear" w:color="auto" w:fill="FFFFFF" w:themeFill="background1"/>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16%</w:t>
            </w:r>
          </w:p>
        </w:tc>
      </w:tr>
      <w:tr w:rsidR="005F5B63" w:rsidRPr="00D87038" w:rsidTr="00142A4B">
        <w:trPr>
          <w:trHeight w:val="255"/>
        </w:trPr>
        <w:tc>
          <w:tcPr>
            <w:tcW w:w="3686" w:type="dxa"/>
            <w:shd w:val="clear" w:color="auto" w:fill="FFFFFF" w:themeFill="background1"/>
            <w:vAlign w:val="bottom"/>
          </w:tcPr>
          <w:p w:rsidR="005F5B63" w:rsidRDefault="005F5B63" w:rsidP="00142A4B">
            <w:pPr>
              <w:spacing w:before="60" w:after="60" w:line="240" w:lineRule="auto"/>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drohende Wohnungslosigkeit, z.B. D</w:t>
            </w:r>
            <w:r>
              <w:rPr>
                <w:rFonts w:ascii="Microsoft Sans Serif" w:hAnsi="Microsoft Sans Serif" w:cs="Microsoft Sans Serif"/>
                <w:sz w:val="20"/>
                <w:szCs w:val="20"/>
                <w:lang w:val="de-AT" w:eastAsia="de-AT"/>
              </w:rPr>
              <w:t>e</w:t>
            </w:r>
            <w:r>
              <w:rPr>
                <w:rFonts w:ascii="Microsoft Sans Serif" w:hAnsi="Microsoft Sans Serif" w:cs="Microsoft Sans Serif"/>
                <w:sz w:val="20"/>
                <w:szCs w:val="20"/>
                <w:lang w:val="de-AT" w:eastAsia="de-AT"/>
              </w:rPr>
              <w:t>logierungsverfahren</w:t>
            </w:r>
          </w:p>
        </w:tc>
        <w:tc>
          <w:tcPr>
            <w:tcW w:w="909" w:type="dxa"/>
            <w:shd w:val="clear" w:color="auto" w:fill="FFFFFF" w:themeFill="background1"/>
            <w:noWrap/>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105</w:t>
            </w:r>
          </w:p>
        </w:tc>
        <w:tc>
          <w:tcPr>
            <w:tcW w:w="909" w:type="dxa"/>
            <w:shd w:val="clear" w:color="auto" w:fill="FFFFFF" w:themeFill="background1"/>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61%</w:t>
            </w:r>
          </w:p>
        </w:tc>
        <w:tc>
          <w:tcPr>
            <w:tcW w:w="910" w:type="dxa"/>
            <w:shd w:val="clear" w:color="auto" w:fill="FFFFFF" w:themeFill="background1"/>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41</w:t>
            </w:r>
          </w:p>
        </w:tc>
        <w:tc>
          <w:tcPr>
            <w:tcW w:w="909" w:type="dxa"/>
            <w:shd w:val="clear" w:color="auto" w:fill="FFFFFF" w:themeFill="background1"/>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24%</w:t>
            </w:r>
          </w:p>
        </w:tc>
        <w:tc>
          <w:tcPr>
            <w:tcW w:w="909" w:type="dxa"/>
            <w:shd w:val="clear" w:color="auto" w:fill="FFFFFF" w:themeFill="background1"/>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26</w:t>
            </w:r>
          </w:p>
        </w:tc>
        <w:tc>
          <w:tcPr>
            <w:tcW w:w="910" w:type="dxa"/>
            <w:shd w:val="clear" w:color="auto" w:fill="FFFFFF" w:themeFill="background1"/>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15%</w:t>
            </w:r>
          </w:p>
        </w:tc>
      </w:tr>
      <w:tr w:rsidR="005F5B63" w:rsidRPr="00D87038" w:rsidTr="00142A4B">
        <w:trPr>
          <w:trHeight w:val="255"/>
        </w:trPr>
        <w:tc>
          <w:tcPr>
            <w:tcW w:w="3686" w:type="dxa"/>
            <w:shd w:val="clear" w:color="auto" w:fill="FFFFFF" w:themeFill="background1"/>
            <w:vAlign w:val="bottom"/>
          </w:tcPr>
          <w:p w:rsidR="005F5B63" w:rsidRDefault="005F5B63" w:rsidP="00142A4B">
            <w:pPr>
              <w:spacing w:before="60" w:after="60" w:line="240" w:lineRule="auto"/>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akute Wohnungslosigkeit / Obdachl</w:t>
            </w:r>
            <w:r>
              <w:rPr>
                <w:rFonts w:ascii="Microsoft Sans Serif" w:hAnsi="Microsoft Sans Serif" w:cs="Microsoft Sans Serif"/>
                <w:sz w:val="20"/>
                <w:szCs w:val="20"/>
                <w:lang w:val="de-AT" w:eastAsia="de-AT"/>
              </w:rPr>
              <w:t>o</w:t>
            </w:r>
            <w:r>
              <w:rPr>
                <w:rFonts w:ascii="Microsoft Sans Serif" w:hAnsi="Microsoft Sans Serif" w:cs="Microsoft Sans Serif"/>
                <w:sz w:val="20"/>
                <w:szCs w:val="20"/>
                <w:lang w:val="de-AT" w:eastAsia="de-AT"/>
              </w:rPr>
              <w:t>sigkeit</w:t>
            </w:r>
          </w:p>
        </w:tc>
        <w:tc>
          <w:tcPr>
            <w:tcW w:w="909" w:type="dxa"/>
            <w:shd w:val="clear" w:color="auto" w:fill="FFFFFF" w:themeFill="background1"/>
            <w:noWrap/>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113</w:t>
            </w:r>
          </w:p>
        </w:tc>
        <w:tc>
          <w:tcPr>
            <w:tcW w:w="909" w:type="dxa"/>
            <w:shd w:val="clear" w:color="auto" w:fill="FFFFFF" w:themeFill="background1"/>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65%</w:t>
            </w:r>
          </w:p>
        </w:tc>
        <w:tc>
          <w:tcPr>
            <w:tcW w:w="910" w:type="dxa"/>
            <w:shd w:val="clear" w:color="auto" w:fill="FFFFFF" w:themeFill="background1"/>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31</w:t>
            </w:r>
          </w:p>
        </w:tc>
        <w:tc>
          <w:tcPr>
            <w:tcW w:w="909" w:type="dxa"/>
            <w:shd w:val="clear" w:color="auto" w:fill="FFFFFF" w:themeFill="background1"/>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18%</w:t>
            </w:r>
          </w:p>
        </w:tc>
        <w:tc>
          <w:tcPr>
            <w:tcW w:w="909" w:type="dxa"/>
            <w:shd w:val="clear" w:color="auto" w:fill="FFFFFF" w:themeFill="background1"/>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29</w:t>
            </w:r>
          </w:p>
        </w:tc>
        <w:tc>
          <w:tcPr>
            <w:tcW w:w="910" w:type="dxa"/>
            <w:shd w:val="clear" w:color="auto" w:fill="FFFFFF" w:themeFill="background1"/>
            <w:vAlign w:val="center"/>
          </w:tcPr>
          <w:p w:rsidR="005F5B63" w:rsidRPr="00D8703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17%</w:t>
            </w:r>
          </w:p>
        </w:tc>
      </w:tr>
    </w:tbl>
    <w:p w:rsidR="005F5B63" w:rsidRDefault="005F5B63" w:rsidP="005F5B63"/>
    <w:p w:rsidR="005F5B63" w:rsidRDefault="005F5B63" w:rsidP="005F5B63">
      <w:pPr>
        <w:spacing w:after="200" w:line="276" w:lineRule="auto"/>
        <w:rPr>
          <w:rFonts w:eastAsiaTheme="majorEastAsia" w:cstheme="majorBidi"/>
          <w:i/>
          <w:iCs/>
          <w:color w:val="365F91" w:themeColor="accent1" w:themeShade="BF"/>
          <w:spacing w:val="6"/>
        </w:rPr>
      </w:pPr>
      <w:r>
        <w:br w:type="page"/>
      </w:r>
    </w:p>
    <w:p w:rsidR="005F5B63" w:rsidRDefault="005F5B63" w:rsidP="00FF2B86">
      <w:pPr>
        <w:pStyle w:val="Untertitel"/>
      </w:pPr>
      <w:r>
        <w:lastRenderedPageBreak/>
        <w:t>Tab. 20:</w:t>
      </w:r>
      <w:r>
        <w:tab/>
        <w:t>Berücksichtigung der aktuellen Wohn- und Lebenssituation, nach Ei</w:t>
      </w:r>
      <w:r>
        <w:t>n</w:t>
      </w:r>
      <w:r>
        <w:t>richtungsart</w:t>
      </w:r>
    </w:p>
    <w:tbl>
      <w:tblPr>
        <w:tblStyle w:val="Tabellengitternetz"/>
        <w:tblW w:w="0" w:type="auto"/>
        <w:tblLook w:val="04A0"/>
      </w:tblPr>
      <w:tblGrid>
        <w:gridCol w:w="3227"/>
        <w:gridCol w:w="1496"/>
        <w:gridCol w:w="1496"/>
        <w:gridCol w:w="1496"/>
        <w:gridCol w:w="1497"/>
      </w:tblGrid>
      <w:tr w:rsidR="005F5B63" w:rsidRPr="005B6361" w:rsidTr="00142A4B">
        <w:tc>
          <w:tcPr>
            <w:tcW w:w="3227" w:type="dxa"/>
            <w:tcBorders>
              <w:top w:val="nil"/>
              <w:left w:val="nil"/>
            </w:tcBorders>
            <w:shd w:val="clear" w:color="auto" w:fill="auto"/>
            <w:vAlign w:val="center"/>
          </w:tcPr>
          <w:p w:rsidR="005F5B63" w:rsidRPr="005B6361" w:rsidRDefault="005F5B63" w:rsidP="00142A4B">
            <w:pPr>
              <w:tabs>
                <w:tab w:val="left" w:pos="1134"/>
              </w:tabs>
              <w:spacing w:before="60" w:after="60" w:line="240" w:lineRule="auto"/>
              <w:rPr>
                <w:sz w:val="18"/>
              </w:rPr>
            </w:pPr>
          </w:p>
        </w:tc>
        <w:tc>
          <w:tcPr>
            <w:tcW w:w="1496" w:type="dxa"/>
            <w:shd w:val="clear" w:color="auto" w:fill="D6E3BC" w:themeFill="accent3" w:themeFillTint="66"/>
            <w:vAlign w:val="center"/>
          </w:tcPr>
          <w:p w:rsidR="005F5B63" w:rsidRPr="005B6361" w:rsidRDefault="005F5B63" w:rsidP="00142A4B">
            <w:pPr>
              <w:tabs>
                <w:tab w:val="left" w:pos="1134"/>
              </w:tabs>
              <w:spacing w:before="60" w:after="60" w:line="240" w:lineRule="auto"/>
              <w:rPr>
                <w:sz w:val="18"/>
              </w:rPr>
            </w:pPr>
            <w:r w:rsidRPr="005B6361">
              <w:rPr>
                <w:sz w:val="18"/>
              </w:rPr>
              <w:t>Wohnungsamt</w:t>
            </w:r>
          </w:p>
        </w:tc>
        <w:tc>
          <w:tcPr>
            <w:tcW w:w="1496" w:type="dxa"/>
            <w:shd w:val="clear" w:color="auto" w:fill="D6E3BC" w:themeFill="accent3" w:themeFillTint="66"/>
            <w:vAlign w:val="center"/>
          </w:tcPr>
          <w:p w:rsidR="005F5B63" w:rsidRPr="005B6361" w:rsidRDefault="005F5B63" w:rsidP="00142A4B">
            <w:pPr>
              <w:tabs>
                <w:tab w:val="left" w:pos="1134"/>
              </w:tabs>
              <w:spacing w:before="60" w:after="60" w:line="240" w:lineRule="auto"/>
              <w:rPr>
                <w:sz w:val="18"/>
              </w:rPr>
            </w:pPr>
            <w:r w:rsidRPr="005B6361">
              <w:rPr>
                <w:sz w:val="18"/>
              </w:rPr>
              <w:t>gem</w:t>
            </w:r>
            <w:r>
              <w:rPr>
                <w:sz w:val="18"/>
              </w:rPr>
              <w:t>einnütziger</w:t>
            </w:r>
            <w:r w:rsidRPr="005B6361">
              <w:rPr>
                <w:sz w:val="18"/>
              </w:rPr>
              <w:t xml:space="preserve"> Bautr</w:t>
            </w:r>
            <w:r>
              <w:rPr>
                <w:sz w:val="18"/>
              </w:rPr>
              <w:t>äger</w:t>
            </w:r>
          </w:p>
        </w:tc>
        <w:tc>
          <w:tcPr>
            <w:tcW w:w="1496" w:type="dxa"/>
            <w:shd w:val="clear" w:color="auto" w:fill="D6E3BC" w:themeFill="accent3" w:themeFillTint="66"/>
            <w:vAlign w:val="center"/>
          </w:tcPr>
          <w:p w:rsidR="005F5B63" w:rsidRPr="005B6361" w:rsidRDefault="005F5B63" w:rsidP="00142A4B">
            <w:pPr>
              <w:tabs>
                <w:tab w:val="left" w:pos="1134"/>
              </w:tabs>
              <w:spacing w:before="60" w:after="60" w:line="240" w:lineRule="auto"/>
              <w:rPr>
                <w:sz w:val="18"/>
              </w:rPr>
            </w:pPr>
            <w:r w:rsidRPr="005B6361">
              <w:rPr>
                <w:sz w:val="18"/>
              </w:rPr>
              <w:t>priv</w:t>
            </w:r>
            <w:r>
              <w:rPr>
                <w:sz w:val="18"/>
              </w:rPr>
              <w:t>ater</w:t>
            </w:r>
            <w:r w:rsidRPr="005B6361">
              <w:rPr>
                <w:sz w:val="18"/>
              </w:rPr>
              <w:t xml:space="preserve"> Ba</w:t>
            </w:r>
            <w:r w:rsidRPr="005B6361">
              <w:rPr>
                <w:sz w:val="18"/>
              </w:rPr>
              <w:t>u</w:t>
            </w:r>
            <w:r w:rsidRPr="005B6361">
              <w:rPr>
                <w:sz w:val="18"/>
              </w:rPr>
              <w:t>tr</w:t>
            </w:r>
            <w:r>
              <w:rPr>
                <w:sz w:val="18"/>
              </w:rPr>
              <w:t>äger</w:t>
            </w:r>
          </w:p>
        </w:tc>
        <w:tc>
          <w:tcPr>
            <w:tcW w:w="1497" w:type="dxa"/>
            <w:shd w:val="clear" w:color="auto" w:fill="D6E3BC" w:themeFill="accent3" w:themeFillTint="66"/>
            <w:vAlign w:val="center"/>
          </w:tcPr>
          <w:p w:rsidR="005F5B63" w:rsidRPr="005B6361" w:rsidRDefault="005F5B63" w:rsidP="00142A4B">
            <w:pPr>
              <w:tabs>
                <w:tab w:val="left" w:pos="1134"/>
              </w:tabs>
              <w:spacing w:before="60" w:after="60" w:line="240" w:lineRule="auto"/>
              <w:rPr>
                <w:sz w:val="18"/>
              </w:rPr>
            </w:pPr>
            <w:r w:rsidRPr="005B6361">
              <w:rPr>
                <w:sz w:val="18"/>
              </w:rPr>
              <w:t>Beratungs</w:t>
            </w:r>
            <w:r>
              <w:rPr>
                <w:sz w:val="18"/>
              </w:rPr>
              <w:softHyphen/>
            </w:r>
            <w:r w:rsidRPr="005B6361">
              <w:rPr>
                <w:sz w:val="18"/>
              </w:rPr>
              <w:t>einr</w:t>
            </w:r>
            <w:r>
              <w:rPr>
                <w:sz w:val="18"/>
              </w:rPr>
              <w:t>ichtung</w:t>
            </w:r>
          </w:p>
        </w:tc>
      </w:tr>
      <w:tr w:rsidR="005F5B63" w:rsidRPr="005B6361" w:rsidTr="00142A4B">
        <w:tc>
          <w:tcPr>
            <w:tcW w:w="3227" w:type="dxa"/>
            <w:vAlign w:val="bottom"/>
          </w:tcPr>
          <w:p w:rsidR="005F5B63" w:rsidRPr="00D87038" w:rsidRDefault="005F5B63" w:rsidP="00142A4B">
            <w:pPr>
              <w:spacing w:before="60" w:after="60" w:line="240" w:lineRule="auto"/>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gesundheitsgefährdender Su</w:t>
            </w:r>
            <w:r>
              <w:rPr>
                <w:rFonts w:ascii="Microsoft Sans Serif" w:hAnsi="Microsoft Sans Serif" w:cs="Microsoft Sans Serif"/>
                <w:sz w:val="20"/>
                <w:szCs w:val="20"/>
                <w:lang w:val="de-AT" w:eastAsia="de-AT"/>
              </w:rPr>
              <w:t>b</w:t>
            </w:r>
            <w:r>
              <w:rPr>
                <w:rFonts w:ascii="Microsoft Sans Serif" w:hAnsi="Microsoft Sans Serif" w:cs="Microsoft Sans Serif"/>
                <w:sz w:val="20"/>
                <w:szCs w:val="20"/>
                <w:lang w:val="de-AT" w:eastAsia="de-AT"/>
              </w:rPr>
              <w:t>standard</w:t>
            </w:r>
          </w:p>
        </w:tc>
        <w:tc>
          <w:tcPr>
            <w:tcW w:w="1496" w:type="dxa"/>
            <w:shd w:val="clear" w:color="auto" w:fill="FFFFFF" w:themeFill="background1"/>
            <w:vAlign w:val="center"/>
          </w:tcPr>
          <w:p w:rsidR="005F5B63" w:rsidRPr="005B6361" w:rsidRDefault="005F5B63" w:rsidP="00142A4B">
            <w:pPr>
              <w:spacing w:before="60" w:after="60" w:line="240" w:lineRule="auto"/>
              <w:ind w:right="254"/>
              <w:jc w:val="right"/>
              <w:rPr>
                <w:sz w:val="18"/>
              </w:rPr>
            </w:pPr>
            <w:r>
              <w:rPr>
                <w:sz w:val="18"/>
              </w:rPr>
              <w:t>85%</w:t>
            </w:r>
          </w:p>
        </w:tc>
        <w:tc>
          <w:tcPr>
            <w:tcW w:w="1496" w:type="dxa"/>
            <w:vAlign w:val="center"/>
          </w:tcPr>
          <w:p w:rsidR="005F5B63" w:rsidRPr="005B6361" w:rsidRDefault="005F5B63" w:rsidP="00142A4B">
            <w:pPr>
              <w:spacing w:before="60" w:after="60" w:line="240" w:lineRule="auto"/>
              <w:ind w:right="254"/>
              <w:jc w:val="right"/>
              <w:rPr>
                <w:sz w:val="18"/>
              </w:rPr>
            </w:pPr>
            <w:r>
              <w:rPr>
                <w:sz w:val="18"/>
              </w:rPr>
              <w:t>72%</w:t>
            </w:r>
          </w:p>
        </w:tc>
        <w:tc>
          <w:tcPr>
            <w:tcW w:w="1496" w:type="dxa"/>
            <w:vAlign w:val="center"/>
          </w:tcPr>
          <w:p w:rsidR="005F5B63" w:rsidRPr="005B6361" w:rsidRDefault="005F5B63" w:rsidP="00142A4B">
            <w:pPr>
              <w:spacing w:before="60" w:after="60" w:line="240" w:lineRule="auto"/>
              <w:ind w:right="254"/>
              <w:jc w:val="right"/>
              <w:rPr>
                <w:sz w:val="18"/>
              </w:rPr>
            </w:pPr>
            <w:r>
              <w:rPr>
                <w:sz w:val="18"/>
              </w:rPr>
              <w:t>53%</w:t>
            </w:r>
          </w:p>
        </w:tc>
        <w:tc>
          <w:tcPr>
            <w:tcW w:w="1497" w:type="dxa"/>
            <w:shd w:val="clear" w:color="auto" w:fill="auto"/>
            <w:vAlign w:val="center"/>
          </w:tcPr>
          <w:p w:rsidR="005F5B63" w:rsidRPr="005B6361" w:rsidRDefault="005F5B63" w:rsidP="00142A4B">
            <w:pPr>
              <w:spacing w:before="60" w:after="60" w:line="240" w:lineRule="auto"/>
              <w:ind w:right="254"/>
              <w:jc w:val="right"/>
              <w:rPr>
                <w:sz w:val="18"/>
              </w:rPr>
            </w:pPr>
            <w:r>
              <w:rPr>
                <w:sz w:val="18"/>
              </w:rPr>
              <w:t>63%</w:t>
            </w:r>
          </w:p>
        </w:tc>
      </w:tr>
      <w:tr w:rsidR="005F5B63" w:rsidRPr="005B6361" w:rsidTr="00142A4B">
        <w:tc>
          <w:tcPr>
            <w:tcW w:w="3227" w:type="dxa"/>
            <w:vAlign w:val="bottom"/>
          </w:tcPr>
          <w:p w:rsidR="005F5B63" w:rsidRPr="00D87038" w:rsidRDefault="005F5B63" w:rsidP="00142A4B">
            <w:pPr>
              <w:spacing w:before="60" w:after="60" w:line="240" w:lineRule="auto"/>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Überbelag / Wohnung ist zu klein</w:t>
            </w:r>
          </w:p>
        </w:tc>
        <w:tc>
          <w:tcPr>
            <w:tcW w:w="1496" w:type="dxa"/>
            <w:vAlign w:val="center"/>
          </w:tcPr>
          <w:p w:rsidR="005F5B63" w:rsidRPr="005B6361" w:rsidRDefault="005F5B63" w:rsidP="00142A4B">
            <w:pPr>
              <w:spacing w:before="60" w:after="60" w:line="240" w:lineRule="auto"/>
              <w:ind w:right="254"/>
              <w:jc w:val="right"/>
              <w:rPr>
                <w:sz w:val="18"/>
              </w:rPr>
            </w:pPr>
            <w:r>
              <w:rPr>
                <w:sz w:val="18"/>
              </w:rPr>
              <w:t>91%</w:t>
            </w:r>
          </w:p>
        </w:tc>
        <w:tc>
          <w:tcPr>
            <w:tcW w:w="1496" w:type="dxa"/>
            <w:vAlign w:val="center"/>
          </w:tcPr>
          <w:p w:rsidR="005F5B63" w:rsidRPr="005B6361" w:rsidRDefault="005F5B63" w:rsidP="00142A4B">
            <w:pPr>
              <w:spacing w:before="60" w:after="60" w:line="240" w:lineRule="auto"/>
              <w:ind w:right="254"/>
              <w:jc w:val="right"/>
              <w:rPr>
                <w:sz w:val="18"/>
              </w:rPr>
            </w:pPr>
            <w:r>
              <w:rPr>
                <w:sz w:val="18"/>
              </w:rPr>
              <w:t>77%</w:t>
            </w:r>
          </w:p>
        </w:tc>
        <w:tc>
          <w:tcPr>
            <w:tcW w:w="1496" w:type="dxa"/>
            <w:vAlign w:val="center"/>
          </w:tcPr>
          <w:p w:rsidR="005F5B63" w:rsidRPr="005B6361" w:rsidRDefault="005F5B63" w:rsidP="00142A4B">
            <w:pPr>
              <w:spacing w:before="60" w:after="60" w:line="240" w:lineRule="auto"/>
              <w:ind w:right="254"/>
              <w:jc w:val="right"/>
              <w:rPr>
                <w:sz w:val="18"/>
              </w:rPr>
            </w:pPr>
            <w:r>
              <w:rPr>
                <w:sz w:val="18"/>
              </w:rPr>
              <w:t>63%</w:t>
            </w:r>
          </w:p>
        </w:tc>
        <w:tc>
          <w:tcPr>
            <w:tcW w:w="1497" w:type="dxa"/>
            <w:shd w:val="clear" w:color="auto" w:fill="auto"/>
            <w:vAlign w:val="center"/>
          </w:tcPr>
          <w:p w:rsidR="005F5B63" w:rsidRPr="005B6361" w:rsidRDefault="005F5B63" w:rsidP="00142A4B">
            <w:pPr>
              <w:spacing w:before="60" w:after="60" w:line="240" w:lineRule="auto"/>
              <w:ind w:right="254"/>
              <w:jc w:val="right"/>
              <w:rPr>
                <w:sz w:val="18"/>
              </w:rPr>
            </w:pPr>
            <w:r>
              <w:rPr>
                <w:sz w:val="18"/>
              </w:rPr>
              <w:t>63%</w:t>
            </w:r>
          </w:p>
        </w:tc>
      </w:tr>
      <w:tr w:rsidR="005F5B63" w:rsidRPr="005B6361" w:rsidTr="00142A4B">
        <w:tc>
          <w:tcPr>
            <w:tcW w:w="3227" w:type="dxa"/>
            <w:vAlign w:val="bottom"/>
          </w:tcPr>
          <w:p w:rsidR="005F5B63" w:rsidRPr="00A97CA9" w:rsidRDefault="005F5B63" w:rsidP="00142A4B">
            <w:pPr>
              <w:spacing w:before="60" w:after="60" w:line="240" w:lineRule="auto"/>
              <w:rPr>
                <w:rFonts w:ascii="Microsoft Sans Serif" w:hAnsi="Microsoft Sans Serif" w:cs="Microsoft Sans Serif"/>
                <w:sz w:val="20"/>
                <w:szCs w:val="20"/>
                <w:lang w:eastAsia="de-AT"/>
              </w:rPr>
            </w:pPr>
            <w:r>
              <w:rPr>
                <w:rFonts w:ascii="Microsoft Sans Serif" w:hAnsi="Microsoft Sans Serif" w:cs="Microsoft Sans Serif"/>
                <w:sz w:val="20"/>
                <w:szCs w:val="20"/>
                <w:lang w:eastAsia="de-AT"/>
              </w:rPr>
              <w:t>überhöhte Mietkosten</w:t>
            </w:r>
          </w:p>
        </w:tc>
        <w:tc>
          <w:tcPr>
            <w:tcW w:w="1496" w:type="dxa"/>
            <w:vAlign w:val="center"/>
          </w:tcPr>
          <w:p w:rsidR="005F5B63" w:rsidRPr="005B6361" w:rsidRDefault="005F5B63" w:rsidP="00142A4B">
            <w:pPr>
              <w:spacing w:before="60" w:after="60" w:line="240" w:lineRule="auto"/>
              <w:ind w:right="254"/>
              <w:jc w:val="right"/>
              <w:rPr>
                <w:sz w:val="18"/>
              </w:rPr>
            </w:pPr>
            <w:r>
              <w:rPr>
                <w:sz w:val="18"/>
              </w:rPr>
              <w:t>53%</w:t>
            </w:r>
          </w:p>
        </w:tc>
        <w:tc>
          <w:tcPr>
            <w:tcW w:w="1496" w:type="dxa"/>
            <w:vAlign w:val="center"/>
          </w:tcPr>
          <w:p w:rsidR="005F5B63" w:rsidRPr="005B6361" w:rsidRDefault="005F5B63" w:rsidP="00142A4B">
            <w:pPr>
              <w:spacing w:before="60" w:after="60" w:line="240" w:lineRule="auto"/>
              <w:ind w:right="254"/>
              <w:jc w:val="right"/>
              <w:rPr>
                <w:sz w:val="18"/>
              </w:rPr>
            </w:pPr>
            <w:r>
              <w:rPr>
                <w:sz w:val="18"/>
              </w:rPr>
              <w:t>57%</w:t>
            </w:r>
          </w:p>
        </w:tc>
        <w:tc>
          <w:tcPr>
            <w:tcW w:w="1496" w:type="dxa"/>
            <w:shd w:val="clear" w:color="auto" w:fill="FFFFFF" w:themeFill="background1"/>
            <w:vAlign w:val="center"/>
          </w:tcPr>
          <w:p w:rsidR="005F5B63" w:rsidRPr="005B6361" w:rsidRDefault="005F5B63" w:rsidP="00142A4B">
            <w:pPr>
              <w:spacing w:before="60" w:after="60" w:line="240" w:lineRule="auto"/>
              <w:ind w:right="254"/>
              <w:jc w:val="right"/>
              <w:rPr>
                <w:sz w:val="18"/>
              </w:rPr>
            </w:pPr>
            <w:r>
              <w:rPr>
                <w:sz w:val="18"/>
              </w:rPr>
              <w:t>42%</w:t>
            </w:r>
          </w:p>
        </w:tc>
        <w:tc>
          <w:tcPr>
            <w:tcW w:w="1497" w:type="dxa"/>
            <w:shd w:val="clear" w:color="auto" w:fill="auto"/>
            <w:vAlign w:val="center"/>
          </w:tcPr>
          <w:p w:rsidR="005F5B63" w:rsidRPr="005B6361" w:rsidRDefault="005F5B63" w:rsidP="00142A4B">
            <w:pPr>
              <w:spacing w:before="60" w:after="60" w:line="240" w:lineRule="auto"/>
              <w:ind w:right="254"/>
              <w:jc w:val="right"/>
              <w:rPr>
                <w:sz w:val="18"/>
              </w:rPr>
            </w:pPr>
            <w:r>
              <w:rPr>
                <w:sz w:val="18"/>
              </w:rPr>
              <w:t>37%</w:t>
            </w:r>
          </w:p>
        </w:tc>
      </w:tr>
      <w:tr w:rsidR="005F5B63" w:rsidRPr="005B6361" w:rsidTr="00142A4B">
        <w:tc>
          <w:tcPr>
            <w:tcW w:w="3227" w:type="dxa"/>
            <w:vAlign w:val="bottom"/>
          </w:tcPr>
          <w:p w:rsidR="005F5B63" w:rsidRPr="00D87038" w:rsidRDefault="005F5B63" w:rsidP="00142A4B">
            <w:pPr>
              <w:spacing w:before="60" w:after="60" w:line="240" w:lineRule="auto"/>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niedriges Haushaltseinkommen</w:t>
            </w:r>
          </w:p>
        </w:tc>
        <w:tc>
          <w:tcPr>
            <w:tcW w:w="1496" w:type="dxa"/>
            <w:vAlign w:val="center"/>
          </w:tcPr>
          <w:p w:rsidR="005F5B63" w:rsidRPr="005B6361" w:rsidRDefault="005F5B63" w:rsidP="00142A4B">
            <w:pPr>
              <w:spacing w:before="60" w:after="60" w:line="240" w:lineRule="auto"/>
              <w:ind w:right="254"/>
              <w:jc w:val="right"/>
              <w:rPr>
                <w:sz w:val="18"/>
              </w:rPr>
            </w:pPr>
            <w:r>
              <w:rPr>
                <w:sz w:val="18"/>
              </w:rPr>
              <w:t>78%</w:t>
            </w:r>
          </w:p>
        </w:tc>
        <w:tc>
          <w:tcPr>
            <w:tcW w:w="1496" w:type="dxa"/>
            <w:vAlign w:val="center"/>
          </w:tcPr>
          <w:p w:rsidR="005F5B63" w:rsidRPr="005B6361" w:rsidRDefault="005F5B63" w:rsidP="00142A4B">
            <w:pPr>
              <w:spacing w:before="60" w:after="60" w:line="240" w:lineRule="auto"/>
              <w:ind w:right="254"/>
              <w:jc w:val="right"/>
              <w:rPr>
                <w:sz w:val="18"/>
              </w:rPr>
            </w:pPr>
            <w:r>
              <w:rPr>
                <w:sz w:val="18"/>
              </w:rPr>
              <w:t>71%</w:t>
            </w:r>
          </w:p>
        </w:tc>
        <w:tc>
          <w:tcPr>
            <w:tcW w:w="1496" w:type="dxa"/>
            <w:vAlign w:val="center"/>
          </w:tcPr>
          <w:p w:rsidR="005F5B63" w:rsidRPr="005B6361" w:rsidRDefault="005F5B63" w:rsidP="00142A4B">
            <w:pPr>
              <w:spacing w:before="60" w:after="60" w:line="240" w:lineRule="auto"/>
              <w:ind w:right="254"/>
              <w:jc w:val="right"/>
              <w:rPr>
                <w:sz w:val="18"/>
              </w:rPr>
            </w:pPr>
            <w:r>
              <w:rPr>
                <w:sz w:val="18"/>
              </w:rPr>
              <w:t>47%</w:t>
            </w:r>
          </w:p>
        </w:tc>
        <w:tc>
          <w:tcPr>
            <w:tcW w:w="1497" w:type="dxa"/>
            <w:shd w:val="clear" w:color="auto" w:fill="auto"/>
            <w:vAlign w:val="center"/>
          </w:tcPr>
          <w:p w:rsidR="005F5B63" w:rsidRPr="005B6361" w:rsidRDefault="005F5B63" w:rsidP="00142A4B">
            <w:pPr>
              <w:spacing w:before="60" w:after="60" w:line="240" w:lineRule="auto"/>
              <w:ind w:right="254"/>
              <w:jc w:val="right"/>
              <w:rPr>
                <w:sz w:val="18"/>
              </w:rPr>
            </w:pPr>
            <w:r>
              <w:rPr>
                <w:sz w:val="18"/>
              </w:rPr>
              <w:t>60%</w:t>
            </w:r>
          </w:p>
        </w:tc>
      </w:tr>
      <w:tr w:rsidR="005F5B63" w:rsidRPr="005B6361" w:rsidTr="00142A4B">
        <w:tc>
          <w:tcPr>
            <w:tcW w:w="3227" w:type="dxa"/>
            <w:vAlign w:val="bottom"/>
          </w:tcPr>
          <w:p w:rsidR="005F5B63" w:rsidRDefault="005F5B63" w:rsidP="00142A4B">
            <w:pPr>
              <w:spacing w:before="60" w:after="60" w:line="240" w:lineRule="auto"/>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drohende Wohnungslosigkeit, z.B. Delogierungsverfahren</w:t>
            </w:r>
          </w:p>
        </w:tc>
        <w:tc>
          <w:tcPr>
            <w:tcW w:w="1496" w:type="dxa"/>
            <w:vAlign w:val="center"/>
          </w:tcPr>
          <w:p w:rsidR="005F5B63" w:rsidRPr="005B6361" w:rsidRDefault="005F5B63" w:rsidP="00142A4B">
            <w:pPr>
              <w:spacing w:before="60" w:after="60" w:line="240" w:lineRule="auto"/>
              <w:ind w:right="254"/>
              <w:jc w:val="right"/>
              <w:rPr>
                <w:sz w:val="18"/>
              </w:rPr>
            </w:pPr>
            <w:r>
              <w:rPr>
                <w:sz w:val="18"/>
              </w:rPr>
              <w:t>82%</w:t>
            </w:r>
          </w:p>
        </w:tc>
        <w:tc>
          <w:tcPr>
            <w:tcW w:w="1496" w:type="dxa"/>
            <w:vAlign w:val="center"/>
          </w:tcPr>
          <w:p w:rsidR="005F5B63" w:rsidRPr="005B6361" w:rsidRDefault="005F5B63" w:rsidP="00142A4B">
            <w:pPr>
              <w:spacing w:before="60" w:after="60" w:line="240" w:lineRule="auto"/>
              <w:ind w:right="254"/>
              <w:jc w:val="right"/>
              <w:rPr>
                <w:sz w:val="18"/>
              </w:rPr>
            </w:pPr>
            <w:r>
              <w:rPr>
                <w:sz w:val="18"/>
              </w:rPr>
              <w:t>57%</w:t>
            </w:r>
          </w:p>
        </w:tc>
        <w:tc>
          <w:tcPr>
            <w:tcW w:w="1496" w:type="dxa"/>
            <w:vAlign w:val="center"/>
          </w:tcPr>
          <w:p w:rsidR="005F5B63" w:rsidRPr="005B6361" w:rsidRDefault="005F5B63" w:rsidP="00142A4B">
            <w:pPr>
              <w:spacing w:before="60" w:after="60" w:line="240" w:lineRule="auto"/>
              <w:ind w:right="254"/>
              <w:jc w:val="right"/>
              <w:rPr>
                <w:sz w:val="18"/>
              </w:rPr>
            </w:pPr>
            <w:r>
              <w:rPr>
                <w:sz w:val="18"/>
              </w:rPr>
              <w:t>53%</w:t>
            </w:r>
          </w:p>
        </w:tc>
        <w:tc>
          <w:tcPr>
            <w:tcW w:w="1497" w:type="dxa"/>
            <w:shd w:val="clear" w:color="auto" w:fill="auto"/>
            <w:vAlign w:val="center"/>
          </w:tcPr>
          <w:p w:rsidR="005F5B63" w:rsidRPr="005B6361" w:rsidRDefault="005F5B63" w:rsidP="00142A4B">
            <w:pPr>
              <w:spacing w:before="60" w:after="60" w:line="240" w:lineRule="auto"/>
              <w:ind w:right="254"/>
              <w:jc w:val="right"/>
              <w:rPr>
                <w:sz w:val="18"/>
              </w:rPr>
            </w:pPr>
            <w:r>
              <w:rPr>
                <w:sz w:val="18"/>
              </w:rPr>
              <w:t>61%</w:t>
            </w:r>
          </w:p>
        </w:tc>
      </w:tr>
      <w:tr w:rsidR="005F5B63" w:rsidRPr="005B6361" w:rsidTr="00142A4B">
        <w:tc>
          <w:tcPr>
            <w:tcW w:w="3227" w:type="dxa"/>
            <w:vAlign w:val="bottom"/>
          </w:tcPr>
          <w:p w:rsidR="005F5B63" w:rsidRDefault="005F5B63" w:rsidP="00142A4B">
            <w:pPr>
              <w:spacing w:before="60" w:after="60" w:line="240" w:lineRule="auto"/>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akute Wohnungslosigkeit / O</w:t>
            </w:r>
            <w:r>
              <w:rPr>
                <w:rFonts w:ascii="Microsoft Sans Serif" w:hAnsi="Microsoft Sans Serif" w:cs="Microsoft Sans Serif"/>
                <w:sz w:val="20"/>
                <w:szCs w:val="20"/>
                <w:lang w:val="de-AT" w:eastAsia="de-AT"/>
              </w:rPr>
              <w:t>b</w:t>
            </w:r>
            <w:r>
              <w:rPr>
                <w:rFonts w:ascii="Microsoft Sans Serif" w:hAnsi="Microsoft Sans Serif" w:cs="Microsoft Sans Serif"/>
                <w:sz w:val="20"/>
                <w:szCs w:val="20"/>
                <w:lang w:val="de-AT" w:eastAsia="de-AT"/>
              </w:rPr>
              <w:t>dachlosigkeit</w:t>
            </w:r>
          </w:p>
        </w:tc>
        <w:tc>
          <w:tcPr>
            <w:tcW w:w="1496" w:type="dxa"/>
            <w:vAlign w:val="center"/>
          </w:tcPr>
          <w:p w:rsidR="005F5B63" w:rsidRPr="005B6361" w:rsidRDefault="005F5B63" w:rsidP="00142A4B">
            <w:pPr>
              <w:spacing w:before="60" w:after="60" w:line="240" w:lineRule="auto"/>
              <w:ind w:right="254"/>
              <w:jc w:val="right"/>
              <w:rPr>
                <w:sz w:val="18"/>
              </w:rPr>
            </w:pPr>
            <w:r>
              <w:rPr>
                <w:sz w:val="18"/>
              </w:rPr>
              <w:t>87%</w:t>
            </w:r>
          </w:p>
        </w:tc>
        <w:tc>
          <w:tcPr>
            <w:tcW w:w="1496" w:type="dxa"/>
            <w:vAlign w:val="center"/>
          </w:tcPr>
          <w:p w:rsidR="005F5B63" w:rsidRPr="005B6361" w:rsidRDefault="005F5B63" w:rsidP="00142A4B">
            <w:pPr>
              <w:spacing w:before="60" w:after="60" w:line="240" w:lineRule="auto"/>
              <w:ind w:right="254"/>
              <w:jc w:val="right"/>
              <w:rPr>
                <w:sz w:val="18"/>
              </w:rPr>
            </w:pPr>
            <w:r>
              <w:rPr>
                <w:sz w:val="18"/>
              </w:rPr>
              <w:t>60%</w:t>
            </w:r>
          </w:p>
        </w:tc>
        <w:tc>
          <w:tcPr>
            <w:tcW w:w="1496" w:type="dxa"/>
            <w:vAlign w:val="center"/>
          </w:tcPr>
          <w:p w:rsidR="005F5B63" w:rsidRPr="005B6361" w:rsidRDefault="005F5B63" w:rsidP="00142A4B">
            <w:pPr>
              <w:spacing w:before="60" w:after="60" w:line="240" w:lineRule="auto"/>
              <w:ind w:right="254"/>
              <w:jc w:val="right"/>
              <w:rPr>
                <w:sz w:val="18"/>
              </w:rPr>
            </w:pPr>
            <w:r>
              <w:rPr>
                <w:sz w:val="18"/>
              </w:rPr>
              <w:t>53%</w:t>
            </w:r>
          </w:p>
        </w:tc>
        <w:tc>
          <w:tcPr>
            <w:tcW w:w="1497" w:type="dxa"/>
            <w:shd w:val="clear" w:color="auto" w:fill="auto"/>
            <w:vAlign w:val="center"/>
          </w:tcPr>
          <w:p w:rsidR="005F5B63" w:rsidRPr="005B6361" w:rsidRDefault="005F5B63" w:rsidP="00142A4B">
            <w:pPr>
              <w:spacing w:before="60" w:after="60" w:line="240" w:lineRule="auto"/>
              <w:ind w:right="254"/>
              <w:jc w:val="right"/>
              <w:rPr>
                <w:sz w:val="18"/>
              </w:rPr>
            </w:pPr>
            <w:r>
              <w:rPr>
                <w:sz w:val="18"/>
              </w:rPr>
              <w:t>65%</w:t>
            </w:r>
          </w:p>
        </w:tc>
      </w:tr>
    </w:tbl>
    <w:p w:rsidR="005F5B63" w:rsidRDefault="005F5B63" w:rsidP="005F5B63"/>
    <w:p w:rsidR="005F5B63" w:rsidRDefault="005F5B63" w:rsidP="005F5B63"/>
    <w:p w:rsidR="005F5B63" w:rsidRDefault="005F5B63" w:rsidP="00FF2B86">
      <w:pPr>
        <w:pStyle w:val="Untertitel"/>
      </w:pPr>
      <w:r>
        <w:t>Tab. 21:</w:t>
      </w:r>
      <w:r>
        <w:tab/>
        <w:t>Gültigkeit der Vergabekriterien für unterschiedliche Segmente des Wo</w:t>
      </w:r>
      <w:r>
        <w:t>h</w:t>
      </w:r>
      <w:r>
        <w:t>nungsmarktes (n = 168)</w:t>
      </w:r>
    </w:p>
    <w:tbl>
      <w:tblPr>
        <w:tblW w:w="87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tblPr>
      <w:tblGrid>
        <w:gridCol w:w="4536"/>
        <w:gridCol w:w="708"/>
        <w:gridCol w:w="709"/>
        <w:gridCol w:w="708"/>
        <w:gridCol w:w="709"/>
        <w:gridCol w:w="709"/>
        <w:gridCol w:w="709"/>
      </w:tblGrid>
      <w:tr w:rsidR="005F5B63" w:rsidRPr="00B13FAB" w:rsidTr="00142A4B">
        <w:trPr>
          <w:trHeight w:val="600"/>
        </w:trPr>
        <w:tc>
          <w:tcPr>
            <w:tcW w:w="4536" w:type="dxa"/>
            <w:tcBorders>
              <w:top w:val="nil"/>
              <w:left w:val="nil"/>
            </w:tcBorders>
            <w:shd w:val="clear" w:color="auto" w:fill="FFFFFF" w:themeFill="background1"/>
            <w:vAlign w:val="center"/>
            <w:hideMark/>
          </w:tcPr>
          <w:p w:rsidR="005F5B63" w:rsidRPr="00A65CF8" w:rsidRDefault="005F5B63" w:rsidP="00142A4B">
            <w:pPr>
              <w:spacing w:before="60" w:after="60" w:line="240" w:lineRule="auto"/>
              <w:rPr>
                <w:rFonts w:ascii="Microsoft Sans Serif" w:hAnsi="Microsoft Sans Serif" w:cs="Microsoft Sans Serif"/>
                <w:bCs/>
                <w:color w:val="000000"/>
                <w:sz w:val="20"/>
                <w:szCs w:val="20"/>
                <w:lang w:val="de-AT" w:eastAsia="de-AT"/>
              </w:rPr>
            </w:pPr>
          </w:p>
        </w:tc>
        <w:tc>
          <w:tcPr>
            <w:tcW w:w="1417" w:type="dxa"/>
            <w:gridSpan w:val="2"/>
            <w:shd w:val="clear" w:color="auto" w:fill="D6E3BC" w:themeFill="accent3" w:themeFillTint="66"/>
            <w:vAlign w:val="center"/>
          </w:tcPr>
          <w:p w:rsidR="005F5B63" w:rsidRPr="00B13FAB" w:rsidRDefault="005F5B63" w:rsidP="00142A4B">
            <w:pPr>
              <w:spacing w:before="60" w:after="60" w:line="240" w:lineRule="auto"/>
              <w:rPr>
                <w:rFonts w:ascii="Microsoft Sans Serif" w:hAnsi="Microsoft Sans Serif" w:cs="Microsoft Sans Serif"/>
                <w:bCs/>
                <w:color w:val="000000"/>
                <w:sz w:val="20"/>
                <w:szCs w:val="20"/>
                <w:lang w:val="de-AT" w:eastAsia="de-AT"/>
              </w:rPr>
            </w:pPr>
            <w:r w:rsidRPr="00B13FAB">
              <w:rPr>
                <w:rFonts w:ascii="Microsoft Sans Serif" w:hAnsi="Microsoft Sans Serif" w:cs="Microsoft Sans Serif"/>
                <w:bCs/>
                <w:color w:val="000000"/>
                <w:sz w:val="20"/>
                <w:szCs w:val="20"/>
                <w:lang w:val="de-AT" w:eastAsia="de-AT"/>
              </w:rPr>
              <w:t>Trifft zu</w:t>
            </w:r>
          </w:p>
        </w:tc>
        <w:tc>
          <w:tcPr>
            <w:tcW w:w="1417" w:type="dxa"/>
            <w:gridSpan w:val="2"/>
            <w:shd w:val="clear" w:color="auto" w:fill="D6E3BC" w:themeFill="accent3" w:themeFillTint="66"/>
            <w:vAlign w:val="center"/>
          </w:tcPr>
          <w:p w:rsidR="005F5B63" w:rsidRPr="00B13FAB" w:rsidRDefault="005F5B63" w:rsidP="00142A4B">
            <w:pPr>
              <w:spacing w:before="60" w:after="60" w:line="240" w:lineRule="auto"/>
              <w:rPr>
                <w:rFonts w:ascii="Microsoft Sans Serif" w:hAnsi="Microsoft Sans Serif" w:cs="Microsoft Sans Serif"/>
                <w:bCs/>
                <w:color w:val="000000"/>
                <w:sz w:val="20"/>
                <w:szCs w:val="20"/>
                <w:lang w:val="de-AT" w:eastAsia="de-AT"/>
              </w:rPr>
            </w:pPr>
            <w:r w:rsidRPr="00B13FAB">
              <w:rPr>
                <w:rFonts w:ascii="Microsoft Sans Serif" w:hAnsi="Microsoft Sans Serif" w:cs="Microsoft Sans Serif"/>
                <w:bCs/>
                <w:color w:val="000000"/>
                <w:sz w:val="20"/>
                <w:szCs w:val="20"/>
                <w:lang w:val="de-AT" w:eastAsia="de-AT"/>
              </w:rPr>
              <w:t>Trifft nicht zu</w:t>
            </w:r>
          </w:p>
        </w:tc>
        <w:tc>
          <w:tcPr>
            <w:tcW w:w="1418" w:type="dxa"/>
            <w:gridSpan w:val="2"/>
            <w:shd w:val="clear" w:color="auto" w:fill="D6E3BC" w:themeFill="accent3" w:themeFillTint="66"/>
            <w:vAlign w:val="center"/>
          </w:tcPr>
          <w:p w:rsidR="005F5B63" w:rsidRPr="00B13FAB" w:rsidRDefault="005F5B63" w:rsidP="00142A4B">
            <w:pPr>
              <w:spacing w:before="60" w:after="60" w:line="240" w:lineRule="auto"/>
              <w:rPr>
                <w:rFonts w:ascii="Microsoft Sans Serif" w:hAnsi="Microsoft Sans Serif" w:cs="Microsoft Sans Serif"/>
                <w:bCs/>
                <w:color w:val="000000"/>
                <w:sz w:val="20"/>
                <w:szCs w:val="20"/>
                <w:lang w:val="de-AT" w:eastAsia="de-AT"/>
              </w:rPr>
            </w:pPr>
            <w:r w:rsidRPr="00B13FAB">
              <w:rPr>
                <w:rFonts w:ascii="Microsoft Sans Serif" w:hAnsi="Microsoft Sans Serif" w:cs="Microsoft Sans Serif"/>
                <w:bCs/>
                <w:color w:val="000000"/>
                <w:sz w:val="20"/>
                <w:szCs w:val="20"/>
                <w:lang w:val="de-AT" w:eastAsia="de-AT"/>
              </w:rPr>
              <w:t>Weiß nicht</w:t>
            </w:r>
          </w:p>
        </w:tc>
      </w:tr>
      <w:tr w:rsidR="005F5B63" w:rsidRPr="00A65CF8" w:rsidTr="00142A4B">
        <w:trPr>
          <w:trHeight w:val="255"/>
        </w:trPr>
        <w:tc>
          <w:tcPr>
            <w:tcW w:w="4536" w:type="dxa"/>
            <w:shd w:val="clear" w:color="auto" w:fill="FFFFFF" w:themeFill="background1"/>
            <w:vAlign w:val="bottom"/>
            <w:hideMark/>
          </w:tcPr>
          <w:p w:rsidR="005F5B63" w:rsidRPr="00A65CF8" w:rsidRDefault="005F5B63" w:rsidP="00142A4B">
            <w:pPr>
              <w:spacing w:before="60" w:after="60" w:line="240" w:lineRule="auto"/>
              <w:rPr>
                <w:rFonts w:ascii="Microsoft Sans Serif" w:hAnsi="Microsoft Sans Serif" w:cs="Microsoft Sans Serif"/>
                <w:sz w:val="20"/>
                <w:szCs w:val="20"/>
                <w:lang w:val="de-AT" w:eastAsia="de-AT"/>
              </w:rPr>
            </w:pPr>
            <w:r w:rsidRPr="00B13FAB">
              <w:rPr>
                <w:rFonts w:ascii="Microsoft Sans Serif" w:hAnsi="Microsoft Sans Serif" w:cs="Microsoft Sans Serif"/>
                <w:sz w:val="20"/>
                <w:szCs w:val="20"/>
                <w:lang w:val="de-AT" w:eastAsia="de-AT"/>
              </w:rPr>
              <w:t>sanierte/standardverbesserte Wohnungen</w:t>
            </w:r>
          </w:p>
        </w:tc>
        <w:tc>
          <w:tcPr>
            <w:tcW w:w="708" w:type="dxa"/>
            <w:shd w:val="clear" w:color="auto" w:fill="FFFFFF" w:themeFill="background1"/>
            <w:vAlign w:val="center"/>
          </w:tcPr>
          <w:p w:rsidR="005F5B63" w:rsidRPr="0084134B" w:rsidRDefault="005F5B63" w:rsidP="00142A4B">
            <w:pPr>
              <w:spacing w:before="60" w:after="60" w:line="240" w:lineRule="auto"/>
              <w:jc w:val="right"/>
              <w:rPr>
                <w:rFonts w:ascii="Microsoft Sans Serif" w:hAnsi="Microsoft Sans Serif" w:cs="Microsoft Sans Serif"/>
                <w:sz w:val="20"/>
                <w:szCs w:val="20"/>
                <w:lang w:val="de-AT" w:eastAsia="de-AT"/>
              </w:rPr>
            </w:pPr>
            <w:r w:rsidRPr="0084134B">
              <w:rPr>
                <w:rFonts w:ascii="Microsoft Sans Serif" w:hAnsi="Microsoft Sans Serif" w:cs="Microsoft Sans Serif"/>
                <w:sz w:val="20"/>
                <w:szCs w:val="20"/>
                <w:lang w:val="de-AT" w:eastAsia="de-AT"/>
              </w:rPr>
              <w:t>87</w:t>
            </w:r>
          </w:p>
        </w:tc>
        <w:tc>
          <w:tcPr>
            <w:tcW w:w="709" w:type="dxa"/>
            <w:shd w:val="clear" w:color="auto" w:fill="FFFFFF" w:themeFill="background1"/>
            <w:vAlign w:val="center"/>
          </w:tcPr>
          <w:p w:rsidR="005F5B63" w:rsidRPr="00A65CF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52%</w:t>
            </w:r>
          </w:p>
        </w:tc>
        <w:tc>
          <w:tcPr>
            <w:tcW w:w="708" w:type="dxa"/>
            <w:shd w:val="clear" w:color="auto" w:fill="FFFFFF" w:themeFill="background1"/>
            <w:vAlign w:val="center"/>
          </w:tcPr>
          <w:p w:rsidR="005F5B63" w:rsidRPr="0084134B" w:rsidRDefault="005F5B63" w:rsidP="00142A4B">
            <w:pPr>
              <w:spacing w:before="60" w:after="60" w:line="240" w:lineRule="auto"/>
              <w:jc w:val="right"/>
              <w:rPr>
                <w:rFonts w:ascii="Microsoft Sans Serif" w:hAnsi="Microsoft Sans Serif" w:cs="Microsoft Sans Serif"/>
                <w:sz w:val="20"/>
                <w:szCs w:val="20"/>
                <w:lang w:val="de-AT" w:eastAsia="de-AT"/>
              </w:rPr>
            </w:pPr>
            <w:r w:rsidRPr="0084134B">
              <w:rPr>
                <w:rFonts w:ascii="Microsoft Sans Serif" w:hAnsi="Microsoft Sans Serif" w:cs="Microsoft Sans Serif"/>
                <w:sz w:val="20"/>
                <w:szCs w:val="20"/>
                <w:lang w:val="de-AT" w:eastAsia="de-AT"/>
              </w:rPr>
              <w:t>21</w:t>
            </w:r>
          </w:p>
        </w:tc>
        <w:tc>
          <w:tcPr>
            <w:tcW w:w="709" w:type="dxa"/>
            <w:shd w:val="clear" w:color="auto" w:fill="FFFFFF" w:themeFill="background1"/>
            <w:vAlign w:val="center"/>
          </w:tcPr>
          <w:p w:rsidR="005F5B63" w:rsidRPr="00A65CF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13%</w:t>
            </w:r>
          </w:p>
        </w:tc>
        <w:tc>
          <w:tcPr>
            <w:tcW w:w="709" w:type="dxa"/>
            <w:shd w:val="clear" w:color="auto" w:fill="FFFFFF" w:themeFill="background1"/>
            <w:vAlign w:val="center"/>
          </w:tcPr>
          <w:p w:rsidR="005F5B63" w:rsidRPr="0084134B" w:rsidRDefault="005F5B63" w:rsidP="00142A4B">
            <w:pPr>
              <w:spacing w:before="60" w:after="60" w:line="240" w:lineRule="auto"/>
              <w:jc w:val="right"/>
              <w:rPr>
                <w:rFonts w:ascii="Microsoft Sans Serif" w:hAnsi="Microsoft Sans Serif" w:cs="Microsoft Sans Serif"/>
                <w:sz w:val="20"/>
                <w:szCs w:val="20"/>
                <w:lang w:val="de-AT" w:eastAsia="de-AT"/>
              </w:rPr>
            </w:pPr>
            <w:r w:rsidRPr="0084134B">
              <w:rPr>
                <w:rFonts w:ascii="Microsoft Sans Serif" w:hAnsi="Microsoft Sans Serif" w:cs="Microsoft Sans Serif"/>
                <w:sz w:val="20"/>
                <w:szCs w:val="20"/>
                <w:lang w:val="de-AT" w:eastAsia="de-AT"/>
              </w:rPr>
              <w:t>59</w:t>
            </w:r>
          </w:p>
        </w:tc>
        <w:tc>
          <w:tcPr>
            <w:tcW w:w="709" w:type="dxa"/>
            <w:shd w:val="clear" w:color="auto" w:fill="FFFFFF" w:themeFill="background1"/>
            <w:vAlign w:val="center"/>
          </w:tcPr>
          <w:p w:rsidR="005F5B63" w:rsidRPr="00A65CF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35%</w:t>
            </w:r>
          </w:p>
        </w:tc>
      </w:tr>
      <w:tr w:rsidR="005F5B63" w:rsidRPr="00A65CF8" w:rsidTr="00142A4B">
        <w:trPr>
          <w:trHeight w:val="255"/>
        </w:trPr>
        <w:tc>
          <w:tcPr>
            <w:tcW w:w="4536" w:type="dxa"/>
            <w:shd w:val="clear" w:color="auto" w:fill="FFFFFF" w:themeFill="background1"/>
            <w:vAlign w:val="bottom"/>
            <w:hideMark/>
          </w:tcPr>
          <w:p w:rsidR="005F5B63" w:rsidRPr="00A65CF8" w:rsidRDefault="005F5B63" w:rsidP="00142A4B">
            <w:pPr>
              <w:spacing w:before="60" w:after="60" w:line="240" w:lineRule="auto"/>
              <w:rPr>
                <w:rFonts w:ascii="Microsoft Sans Serif" w:hAnsi="Microsoft Sans Serif" w:cs="Microsoft Sans Serif"/>
                <w:sz w:val="20"/>
                <w:szCs w:val="20"/>
                <w:lang w:val="de-AT" w:eastAsia="de-AT"/>
              </w:rPr>
            </w:pPr>
            <w:r w:rsidRPr="00B13FAB">
              <w:rPr>
                <w:rFonts w:ascii="Microsoft Sans Serif" w:hAnsi="Microsoft Sans Serif" w:cs="Microsoft Sans Serif"/>
                <w:sz w:val="20"/>
                <w:szCs w:val="20"/>
                <w:lang w:val="de-AT" w:eastAsia="de-AT"/>
              </w:rPr>
              <w:t>ausfinanzierte Wohnungen</w:t>
            </w:r>
          </w:p>
        </w:tc>
        <w:tc>
          <w:tcPr>
            <w:tcW w:w="708" w:type="dxa"/>
            <w:shd w:val="clear" w:color="auto" w:fill="FFFFFF" w:themeFill="background1"/>
            <w:vAlign w:val="center"/>
          </w:tcPr>
          <w:p w:rsidR="005F5B63" w:rsidRPr="0084134B" w:rsidRDefault="005F5B63" w:rsidP="00142A4B">
            <w:pPr>
              <w:spacing w:before="60" w:after="60" w:line="240" w:lineRule="auto"/>
              <w:jc w:val="right"/>
              <w:rPr>
                <w:rFonts w:ascii="Microsoft Sans Serif" w:hAnsi="Microsoft Sans Serif" w:cs="Microsoft Sans Serif"/>
                <w:sz w:val="20"/>
                <w:szCs w:val="20"/>
                <w:lang w:val="de-AT" w:eastAsia="de-AT"/>
              </w:rPr>
            </w:pPr>
            <w:r w:rsidRPr="0084134B">
              <w:rPr>
                <w:rFonts w:ascii="Microsoft Sans Serif" w:hAnsi="Microsoft Sans Serif" w:cs="Microsoft Sans Serif"/>
                <w:sz w:val="20"/>
                <w:szCs w:val="20"/>
                <w:lang w:val="de-AT" w:eastAsia="de-AT"/>
              </w:rPr>
              <w:t>69</w:t>
            </w:r>
          </w:p>
        </w:tc>
        <w:tc>
          <w:tcPr>
            <w:tcW w:w="709" w:type="dxa"/>
            <w:shd w:val="clear" w:color="auto" w:fill="FFFFFF" w:themeFill="background1"/>
            <w:vAlign w:val="center"/>
          </w:tcPr>
          <w:p w:rsidR="005F5B63" w:rsidRPr="00A65CF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41%</w:t>
            </w:r>
          </w:p>
        </w:tc>
        <w:tc>
          <w:tcPr>
            <w:tcW w:w="708" w:type="dxa"/>
            <w:shd w:val="clear" w:color="auto" w:fill="FFFFFF" w:themeFill="background1"/>
            <w:vAlign w:val="center"/>
          </w:tcPr>
          <w:p w:rsidR="005F5B63" w:rsidRPr="0084134B" w:rsidRDefault="005F5B63" w:rsidP="00142A4B">
            <w:pPr>
              <w:spacing w:before="60" w:after="60" w:line="240" w:lineRule="auto"/>
              <w:jc w:val="right"/>
              <w:rPr>
                <w:rFonts w:ascii="Microsoft Sans Serif" w:hAnsi="Microsoft Sans Serif" w:cs="Microsoft Sans Serif"/>
                <w:sz w:val="20"/>
                <w:szCs w:val="20"/>
                <w:lang w:val="de-AT" w:eastAsia="de-AT"/>
              </w:rPr>
            </w:pPr>
            <w:r w:rsidRPr="0084134B">
              <w:rPr>
                <w:rFonts w:ascii="Microsoft Sans Serif" w:hAnsi="Microsoft Sans Serif" w:cs="Microsoft Sans Serif"/>
                <w:sz w:val="20"/>
                <w:szCs w:val="20"/>
                <w:lang w:val="de-AT" w:eastAsia="de-AT"/>
              </w:rPr>
              <w:t>35</w:t>
            </w:r>
          </w:p>
        </w:tc>
        <w:tc>
          <w:tcPr>
            <w:tcW w:w="709" w:type="dxa"/>
            <w:shd w:val="clear" w:color="auto" w:fill="FFFFFF" w:themeFill="background1"/>
            <w:vAlign w:val="center"/>
          </w:tcPr>
          <w:p w:rsidR="005F5B63" w:rsidRPr="00A65CF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21%</w:t>
            </w:r>
          </w:p>
        </w:tc>
        <w:tc>
          <w:tcPr>
            <w:tcW w:w="709" w:type="dxa"/>
            <w:shd w:val="clear" w:color="auto" w:fill="FFFFFF" w:themeFill="background1"/>
            <w:vAlign w:val="center"/>
          </w:tcPr>
          <w:p w:rsidR="005F5B63" w:rsidRPr="0084134B" w:rsidRDefault="005F5B63" w:rsidP="00142A4B">
            <w:pPr>
              <w:spacing w:before="60" w:after="60" w:line="240" w:lineRule="auto"/>
              <w:jc w:val="right"/>
              <w:rPr>
                <w:rFonts w:ascii="Microsoft Sans Serif" w:hAnsi="Microsoft Sans Serif" w:cs="Microsoft Sans Serif"/>
                <w:sz w:val="20"/>
                <w:szCs w:val="20"/>
                <w:lang w:val="de-AT" w:eastAsia="de-AT"/>
              </w:rPr>
            </w:pPr>
            <w:r w:rsidRPr="0084134B">
              <w:rPr>
                <w:rFonts w:ascii="Microsoft Sans Serif" w:hAnsi="Microsoft Sans Serif" w:cs="Microsoft Sans Serif"/>
                <w:sz w:val="20"/>
                <w:szCs w:val="20"/>
                <w:lang w:val="de-AT" w:eastAsia="de-AT"/>
              </w:rPr>
              <w:t>63</w:t>
            </w:r>
          </w:p>
        </w:tc>
        <w:tc>
          <w:tcPr>
            <w:tcW w:w="709" w:type="dxa"/>
            <w:shd w:val="clear" w:color="auto" w:fill="FFFFFF" w:themeFill="background1"/>
            <w:vAlign w:val="center"/>
          </w:tcPr>
          <w:p w:rsidR="005F5B63" w:rsidRPr="00A65CF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38%</w:t>
            </w:r>
          </w:p>
        </w:tc>
      </w:tr>
      <w:tr w:rsidR="005F5B63" w:rsidRPr="00A65CF8" w:rsidTr="00142A4B">
        <w:trPr>
          <w:trHeight w:val="255"/>
        </w:trPr>
        <w:tc>
          <w:tcPr>
            <w:tcW w:w="4536" w:type="dxa"/>
            <w:shd w:val="clear" w:color="auto" w:fill="FFFFFF" w:themeFill="background1"/>
            <w:vAlign w:val="bottom"/>
            <w:hideMark/>
          </w:tcPr>
          <w:p w:rsidR="005F5B63" w:rsidRPr="00A65CF8" w:rsidRDefault="005F5B63" w:rsidP="00142A4B">
            <w:pPr>
              <w:spacing w:before="60" w:after="60" w:line="240" w:lineRule="auto"/>
              <w:rPr>
                <w:rFonts w:ascii="Microsoft Sans Serif" w:hAnsi="Microsoft Sans Serif" w:cs="Microsoft Sans Serif"/>
                <w:sz w:val="20"/>
                <w:szCs w:val="20"/>
                <w:lang w:val="de-AT" w:eastAsia="de-AT"/>
              </w:rPr>
            </w:pPr>
            <w:r w:rsidRPr="00B13FAB">
              <w:rPr>
                <w:rFonts w:ascii="Microsoft Sans Serif" w:hAnsi="Microsoft Sans Serif" w:cs="Microsoft Sans Serif"/>
                <w:sz w:val="20"/>
                <w:szCs w:val="20"/>
                <w:lang w:val="de-AT" w:eastAsia="de-AT"/>
              </w:rPr>
              <w:t>Substandardwohnungen</w:t>
            </w:r>
          </w:p>
        </w:tc>
        <w:tc>
          <w:tcPr>
            <w:tcW w:w="708" w:type="dxa"/>
            <w:shd w:val="clear" w:color="auto" w:fill="FFFFFF" w:themeFill="background1"/>
            <w:vAlign w:val="center"/>
          </w:tcPr>
          <w:p w:rsidR="005F5B63" w:rsidRPr="0084134B" w:rsidRDefault="005F5B63" w:rsidP="00142A4B">
            <w:pPr>
              <w:spacing w:before="60" w:after="60" w:line="240" w:lineRule="auto"/>
              <w:jc w:val="right"/>
              <w:rPr>
                <w:rFonts w:ascii="Microsoft Sans Serif" w:hAnsi="Microsoft Sans Serif" w:cs="Microsoft Sans Serif"/>
                <w:sz w:val="20"/>
                <w:szCs w:val="20"/>
                <w:lang w:val="de-AT" w:eastAsia="de-AT"/>
              </w:rPr>
            </w:pPr>
            <w:r w:rsidRPr="0084134B">
              <w:rPr>
                <w:rFonts w:ascii="Microsoft Sans Serif" w:hAnsi="Microsoft Sans Serif" w:cs="Microsoft Sans Serif"/>
                <w:sz w:val="20"/>
                <w:szCs w:val="20"/>
                <w:lang w:val="de-AT" w:eastAsia="de-AT"/>
              </w:rPr>
              <w:t>56</w:t>
            </w:r>
          </w:p>
        </w:tc>
        <w:tc>
          <w:tcPr>
            <w:tcW w:w="709" w:type="dxa"/>
            <w:shd w:val="clear" w:color="auto" w:fill="FFFFFF" w:themeFill="background1"/>
            <w:vAlign w:val="center"/>
          </w:tcPr>
          <w:p w:rsidR="005F5B63" w:rsidRPr="00A65CF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34%</w:t>
            </w:r>
          </w:p>
        </w:tc>
        <w:tc>
          <w:tcPr>
            <w:tcW w:w="708" w:type="dxa"/>
            <w:shd w:val="clear" w:color="auto" w:fill="FFFFFF" w:themeFill="background1"/>
            <w:vAlign w:val="center"/>
          </w:tcPr>
          <w:p w:rsidR="005F5B63" w:rsidRPr="0084134B" w:rsidRDefault="005F5B63" w:rsidP="00142A4B">
            <w:pPr>
              <w:spacing w:before="60" w:after="60" w:line="240" w:lineRule="auto"/>
              <w:jc w:val="right"/>
              <w:rPr>
                <w:rFonts w:ascii="Microsoft Sans Serif" w:hAnsi="Microsoft Sans Serif" w:cs="Microsoft Sans Serif"/>
                <w:sz w:val="20"/>
                <w:szCs w:val="20"/>
                <w:lang w:val="de-AT" w:eastAsia="de-AT"/>
              </w:rPr>
            </w:pPr>
            <w:r w:rsidRPr="0084134B">
              <w:rPr>
                <w:rFonts w:ascii="Microsoft Sans Serif" w:hAnsi="Microsoft Sans Serif" w:cs="Microsoft Sans Serif"/>
                <w:sz w:val="20"/>
                <w:szCs w:val="20"/>
                <w:lang w:val="de-AT" w:eastAsia="de-AT"/>
              </w:rPr>
              <w:t>44</w:t>
            </w:r>
          </w:p>
        </w:tc>
        <w:tc>
          <w:tcPr>
            <w:tcW w:w="709" w:type="dxa"/>
            <w:shd w:val="clear" w:color="auto" w:fill="FFFFFF" w:themeFill="background1"/>
            <w:vAlign w:val="center"/>
          </w:tcPr>
          <w:p w:rsidR="005F5B63" w:rsidRPr="00A65CF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26%</w:t>
            </w:r>
          </w:p>
        </w:tc>
        <w:tc>
          <w:tcPr>
            <w:tcW w:w="709" w:type="dxa"/>
            <w:shd w:val="clear" w:color="auto" w:fill="FFFFFF" w:themeFill="background1"/>
            <w:vAlign w:val="center"/>
          </w:tcPr>
          <w:p w:rsidR="005F5B63" w:rsidRPr="0084134B" w:rsidRDefault="005F5B63" w:rsidP="00142A4B">
            <w:pPr>
              <w:spacing w:before="60" w:after="60" w:line="240" w:lineRule="auto"/>
              <w:jc w:val="right"/>
              <w:rPr>
                <w:rFonts w:ascii="Microsoft Sans Serif" w:hAnsi="Microsoft Sans Serif" w:cs="Microsoft Sans Serif"/>
                <w:sz w:val="20"/>
                <w:szCs w:val="20"/>
                <w:lang w:val="de-AT" w:eastAsia="de-AT"/>
              </w:rPr>
            </w:pPr>
            <w:r w:rsidRPr="0084134B">
              <w:rPr>
                <w:rFonts w:ascii="Microsoft Sans Serif" w:hAnsi="Microsoft Sans Serif" w:cs="Microsoft Sans Serif"/>
                <w:sz w:val="20"/>
                <w:szCs w:val="20"/>
                <w:lang w:val="de-AT" w:eastAsia="de-AT"/>
              </w:rPr>
              <w:t>67</w:t>
            </w:r>
          </w:p>
        </w:tc>
        <w:tc>
          <w:tcPr>
            <w:tcW w:w="709" w:type="dxa"/>
            <w:shd w:val="clear" w:color="auto" w:fill="FFFFFF" w:themeFill="background1"/>
            <w:vAlign w:val="center"/>
          </w:tcPr>
          <w:p w:rsidR="005F5B63" w:rsidRPr="00A65CF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40%</w:t>
            </w:r>
          </w:p>
        </w:tc>
      </w:tr>
      <w:tr w:rsidR="005F5B63" w:rsidRPr="00A65CF8" w:rsidTr="00142A4B">
        <w:trPr>
          <w:trHeight w:val="255"/>
        </w:trPr>
        <w:tc>
          <w:tcPr>
            <w:tcW w:w="4536" w:type="dxa"/>
            <w:shd w:val="clear" w:color="auto" w:fill="FFFFFF" w:themeFill="background1"/>
            <w:vAlign w:val="bottom"/>
            <w:hideMark/>
          </w:tcPr>
          <w:p w:rsidR="005F5B63" w:rsidRPr="00A65CF8" w:rsidRDefault="005F5B63" w:rsidP="00142A4B">
            <w:pPr>
              <w:spacing w:before="60" w:after="60" w:line="240" w:lineRule="auto"/>
              <w:rPr>
                <w:rFonts w:ascii="Microsoft Sans Serif" w:hAnsi="Microsoft Sans Serif" w:cs="Microsoft Sans Serif"/>
                <w:sz w:val="20"/>
                <w:szCs w:val="20"/>
                <w:lang w:val="de-AT" w:eastAsia="de-AT"/>
              </w:rPr>
            </w:pPr>
            <w:r w:rsidRPr="00B13FAB">
              <w:rPr>
                <w:rFonts w:ascii="Microsoft Sans Serif" w:hAnsi="Microsoft Sans Serif" w:cs="Microsoft Sans Serif"/>
                <w:sz w:val="20"/>
                <w:szCs w:val="20"/>
                <w:lang w:val="de-AT" w:eastAsia="de-AT"/>
              </w:rPr>
              <w:t>Eigentumswohnungen</w:t>
            </w:r>
          </w:p>
        </w:tc>
        <w:tc>
          <w:tcPr>
            <w:tcW w:w="708" w:type="dxa"/>
            <w:shd w:val="clear" w:color="auto" w:fill="FFFFFF" w:themeFill="background1"/>
            <w:vAlign w:val="center"/>
          </w:tcPr>
          <w:p w:rsidR="005F5B63" w:rsidRPr="0084134B" w:rsidRDefault="005F5B63" w:rsidP="00142A4B">
            <w:pPr>
              <w:spacing w:before="60" w:after="60" w:line="240" w:lineRule="auto"/>
              <w:jc w:val="right"/>
              <w:rPr>
                <w:rFonts w:ascii="Microsoft Sans Serif" w:hAnsi="Microsoft Sans Serif" w:cs="Microsoft Sans Serif"/>
                <w:sz w:val="20"/>
                <w:szCs w:val="20"/>
                <w:lang w:val="de-AT" w:eastAsia="de-AT"/>
              </w:rPr>
            </w:pPr>
            <w:r w:rsidRPr="0084134B">
              <w:rPr>
                <w:rFonts w:ascii="Microsoft Sans Serif" w:hAnsi="Microsoft Sans Serif" w:cs="Microsoft Sans Serif"/>
                <w:sz w:val="20"/>
                <w:szCs w:val="20"/>
                <w:lang w:val="de-AT" w:eastAsia="de-AT"/>
              </w:rPr>
              <w:t>32</w:t>
            </w:r>
          </w:p>
        </w:tc>
        <w:tc>
          <w:tcPr>
            <w:tcW w:w="709" w:type="dxa"/>
            <w:shd w:val="clear" w:color="auto" w:fill="FFFFFF" w:themeFill="background1"/>
            <w:vAlign w:val="center"/>
          </w:tcPr>
          <w:p w:rsidR="005F5B63" w:rsidRPr="00A65CF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19%</w:t>
            </w:r>
          </w:p>
        </w:tc>
        <w:tc>
          <w:tcPr>
            <w:tcW w:w="708" w:type="dxa"/>
            <w:shd w:val="clear" w:color="auto" w:fill="FFFFFF" w:themeFill="background1"/>
            <w:vAlign w:val="center"/>
          </w:tcPr>
          <w:p w:rsidR="005F5B63" w:rsidRPr="0084134B" w:rsidRDefault="005F5B63" w:rsidP="00142A4B">
            <w:pPr>
              <w:spacing w:before="60" w:after="60" w:line="240" w:lineRule="auto"/>
              <w:jc w:val="right"/>
              <w:rPr>
                <w:rFonts w:ascii="Microsoft Sans Serif" w:hAnsi="Microsoft Sans Serif" w:cs="Microsoft Sans Serif"/>
                <w:sz w:val="20"/>
                <w:szCs w:val="20"/>
                <w:lang w:val="de-AT" w:eastAsia="de-AT"/>
              </w:rPr>
            </w:pPr>
            <w:r w:rsidRPr="0084134B">
              <w:rPr>
                <w:rFonts w:ascii="Microsoft Sans Serif" w:hAnsi="Microsoft Sans Serif" w:cs="Microsoft Sans Serif"/>
                <w:sz w:val="20"/>
                <w:szCs w:val="20"/>
                <w:lang w:val="de-AT" w:eastAsia="de-AT"/>
              </w:rPr>
              <w:t>67</w:t>
            </w:r>
          </w:p>
        </w:tc>
        <w:tc>
          <w:tcPr>
            <w:tcW w:w="709" w:type="dxa"/>
            <w:shd w:val="clear" w:color="auto" w:fill="FFFFFF" w:themeFill="background1"/>
            <w:vAlign w:val="center"/>
          </w:tcPr>
          <w:p w:rsidR="005F5B63" w:rsidRPr="00A65CF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40%</w:t>
            </w:r>
          </w:p>
        </w:tc>
        <w:tc>
          <w:tcPr>
            <w:tcW w:w="709" w:type="dxa"/>
            <w:shd w:val="clear" w:color="auto" w:fill="FFFFFF" w:themeFill="background1"/>
            <w:vAlign w:val="center"/>
          </w:tcPr>
          <w:p w:rsidR="005F5B63" w:rsidRPr="0084134B" w:rsidRDefault="005F5B63" w:rsidP="00142A4B">
            <w:pPr>
              <w:spacing w:before="60" w:after="60" w:line="240" w:lineRule="auto"/>
              <w:jc w:val="right"/>
              <w:rPr>
                <w:rFonts w:ascii="Microsoft Sans Serif" w:hAnsi="Microsoft Sans Serif" w:cs="Microsoft Sans Serif"/>
                <w:sz w:val="20"/>
                <w:szCs w:val="20"/>
                <w:lang w:val="de-AT" w:eastAsia="de-AT"/>
              </w:rPr>
            </w:pPr>
            <w:r w:rsidRPr="0084134B">
              <w:rPr>
                <w:rFonts w:ascii="Microsoft Sans Serif" w:hAnsi="Microsoft Sans Serif" w:cs="Microsoft Sans Serif"/>
                <w:sz w:val="20"/>
                <w:szCs w:val="20"/>
                <w:lang w:val="de-AT" w:eastAsia="de-AT"/>
              </w:rPr>
              <w:t>68</w:t>
            </w:r>
          </w:p>
        </w:tc>
        <w:tc>
          <w:tcPr>
            <w:tcW w:w="709" w:type="dxa"/>
            <w:shd w:val="clear" w:color="auto" w:fill="FFFFFF" w:themeFill="background1"/>
            <w:vAlign w:val="center"/>
          </w:tcPr>
          <w:p w:rsidR="005F5B63" w:rsidRPr="00A65CF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41%</w:t>
            </w:r>
          </w:p>
        </w:tc>
      </w:tr>
      <w:tr w:rsidR="005F5B63" w:rsidRPr="00A65CF8" w:rsidTr="00142A4B">
        <w:trPr>
          <w:trHeight w:val="255"/>
        </w:trPr>
        <w:tc>
          <w:tcPr>
            <w:tcW w:w="4536" w:type="dxa"/>
            <w:shd w:val="clear" w:color="auto" w:fill="FFFFFF" w:themeFill="background1"/>
            <w:vAlign w:val="bottom"/>
            <w:hideMark/>
          </w:tcPr>
          <w:p w:rsidR="005F5B63" w:rsidRPr="00A65CF8" w:rsidRDefault="005F5B63" w:rsidP="00142A4B">
            <w:pPr>
              <w:spacing w:before="60" w:after="60" w:line="240" w:lineRule="auto"/>
              <w:rPr>
                <w:rFonts w:ascii="Microsoft Sans Serif" w:hAnsi="Microsoft Sans Serif" w:cs="Microsoft Sans Serif"/>
                <w:sz w:val="20"/>
                <w:szCs w:val="20"/>
                <w:lang w:val="de-AT" w:eastAsia="de-AT"/>
              </w:rPr>
            </w:pPr>
            <w:r w:rsidRPr="00B13FAB">
              <w:rPr>
                <w:rFonts w:ascii="Microsoft Sans Serif" w:hAnsi="Microsoft Sans Serif" w:cs="Microsoft Sans Serif"/>
                <w:sz w:val="20"/>
                <w:szCs w:val="20"/>
                <w:lang w:val="de-AT" w:eastAsia="de-AT"/>
              </w:rPr>
              <w:t>Miet-Kauf-Wohnungen</w:t>
            </w:r>
          </w:p>
        </w:tc>
        <w:tc>
          <w:tcPr>
            <w:tcW w:w="708" w:type="dxa"/>
            <w:shd w:val="clear" w:color="auto" w:fill="FFFFFF" w:themeFill="background1"/>
            <w:vAlign w:val="center"/>
          </w:tcPr>
          <w:p w:rsidR="005F5B63" w:rsidRPr="0084134B" w:rsidRDefault="005F5B63" w:rsidP="00142A4B">
            <w:pPr>
              <w:spacing w:before="60" w:after="60" w:line="240" w:lineRule="auto"/>
              <w:jc w:val="right"/>
              <w:rPr>
                <w:rFonts w:ascii="Microsoft Sans Serif" w:hAnsi="Microsoft Sans Serif" w:cs="Microsoft Sans Serif"/>
                <w:sz w:val="20"/>
                <w:szCs w:val="20"/>
                <w:lang w:val="de-AT" w:eastAsia="de-AT"/>
              </w:rPr>
            </w:pPr>
            <w:r w:rsidRPr="0084134B">
              <w:rPr>
                <w:rFonts w:ascii="Microsoft Sans Serif" w:hAnsi="Microsoft Sans Serif" w:cs="Microsoft Sans Serif"/>
                <w:sz w:val="20"/>
                <w:szCs w:val="20"/>
                <w:lang w:val="de-AT" w:eastAsia="de-AT"/>
              </w:rPr>
              <w:t>55</w:t>
            </w:r>
          </w:p>
        </w:tc>
        <w:tc>
          <w:tcPr>
            <w:tcW w:w="709" w:type="dxa"/>
            <w:shd w:val="clear" w:color="auto" w:fill="FFFFFF" w:themeFill="background1"/>
            <w:vAlign w:val="center"/>
          </w:tcPr>
          <w:p w:rsidR="005F5B63" w:rsidRPr="00A65CF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33%</w:t>
            </w:r>
          </w:p>
        </w:tc>
        <w:tc>
          <w:tcPr>
            <w:tcW w:w="708" w:type="dxa"/>
            <w:shd w:val="clear" w:color="auto" w:fill="FFFFFF" w:themeFill="background1"/>
            <w:vAlign w:val="center"/>
          </w:tcPr>
          <w:p w:rsidR="005F5B63" w:rsidRPr="0084134B" w:rsidRDefault="005F5B63" w:rsidP="00142A4B">
            <w:pPr>
              <w:spacing w:before="60" w:after="60" w:line="240" w:lineRule="auto"/>
              <w:jc w:val="right"/>
              <w:rPr>
                <w:rFonts w:ascii="Microsoft Sans Serif" w:hAnsi="Microsoft Sans Serif" w:cs="Microsoft Sans Serif"/>
                <w:sz w:val="20"/>
                <w:szCs w:val="20"/>
                <w:lang w:val="de-AT" w:eastAsia="de-AT"/>
              </w:rPr>
            </w:pPr>
            <w:r w:rsidRPr="0084134B">
              <w:rPr>
                <w:rFonts w:ascii="Microsoft Sans Serif" w:hAnsi="Microsoft Sans Serif" w:cs="Microsoft Sans Serif"/>
                <w:sz w:val="20"/>
                <w:szCs w:val="20"/>
                <w:lang w:val="de-AT" w:eastAsia="de-AT"/>
              </w:rPr>
              <w:t>45</w:t>
            </w:r>
          </w:p>
        </w:tc>
        <w:tc>
          <w:tcPr>
            <w:tcW w:w="709" w:type="dxa"/>
            <w:shd w:val="clear" w:color="auto" w:fill="FFFFFF" w:themeFill="background1"/>
            <w:vAlign w:val="center"/>
          </w:tcPr>
          <w:p w:rsidR="005F5B63" w:rsidRPr="00A65CF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27%</w:t>
            </w:r>
          </w:p>
        </w:tc>
        <w:tc>
          <w:tcPr>
            <w:tcW w:w="709" w:type="dxa"/>
            <w:shd w:val="clear" w:color="auto" w:fill="FFFFFF" w:themeFill="background1"/>
            <w:vAlign w:val="center"/>
          </w:tcPr>
          <w:p w:rsidR="005F5B63" w:rsidRPr="0084134B" w:rsidRDefault="005F5B63" w:rsidP="00142A4B">
            <w:pPr>
              <w:spacing w:before="60" w:after="60" w:line="240" w:lineRule="auto"/>
              <w:jc w:val="right"/>
              <w:rPr>
                <w:rFonts w:ascii="Microsoft Sans Serif" w:hAnsi="Microsoft Sans Serif" w:cs="Microsoft Sans Serif"/>
                <w:sz w:val="20"/>
                <w:szCs w:val="20"/>
                <w:lang w:val="de-AT" w:eastAsia="de-AT"/>
              </w:rPr>
            </w:pPr>
            <w:r w:rsidRPr="0084134B">
              <w:rPr>
                <w:rFonts w:ascii="Microsoft Sans Serif" w:hAnsi="Microsoft Sans Serif" w:cs="Microsoft Sans Serif"/>
                <w:sz w:val="20"/>
                <w:szCs w:val="20"/>
                <w:lang w:val="de-AT" w:eastAsia="de-AT"/>
              </w:rPr>
              <w:t>67</w:t>
            </w:r>
          </w:p>
        </w:tc>
        <w:tc>
          <w:tcPr>
            <w:tcW w:w="709" w:type="dxa"/>
            <w:shd w:val="clear" w:color="auto" w:fill="FFFFFF" w:themeFill="background1"/>
            <w:vAlign w:val="center"/>
          </w:tcPr>
          <w:p w:rsidR="005F5B63" w:rsidRPr="00A65CF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40%</w:t>
            </w:r>
          </w:p>
        </w:tc>
      </w:tr>
      <w:tr w:rsidR="005F5B63" w:rsidRPr="00A65CF8" w:rsidTr="00142A4B">
        <w:trPr>
          <w:trHeight w:val="255"/>
        </w:trPr>
        <w:tc>
          <w:tcPr>
            <w:tcW w:w="4536" w:type="dxa"/>
            <w:shd w:val="clear" w:color="auto" w:fill="FFFFFF" w:themeFill="background1"/>
            <w:vAlign w:val="bottom"/>
            <w:hideMark/>
          </w:tcPr>
          <w:p w:rsidR="005F5B63" w:rsidRPr="00A65CF8" w:rsidRDefault="005F5B63" w:rsidP="00142A4B">
            <w:pPr>
              <w:spacing w:before="60" w:after="60" w:line="240" w:lineRule="auto"/>
              <w:rPr>
                <w:rFonts w:ascii="Microsoft Sans Serif" w:hAnsi="Microsoft Sans Serif" w:cs="Microsoft Sans Serif"/>
                <w:sz w:val="20"/>
                <w:szCs w:val="20"/>
                <w:lang w:val="de-AT" w:eastAsia="de-AT"/>
              </w:rPr>
            </w:pPr>
            <w:r w:rsidRPr="00B13FAB">
              <w:rPr>
                <w:rFonts w:ascii="Microsoft Sans Serif" w:hAnsi="Microsoft Sans Serif" w:cs="Microsoft Sans Serif"/>
                <w:sz w:val="20"/>
                <w:szCs w:val="20"/>
                <w:lang w:val="de-AT" w:eastAsia="de-AT"/>
              </w:rPr>
              <w:t>andere Vertragsformen</w:t>
            </w:r>
          </w:p>
        </w:tc>
        <w:tc>
          <w:tcPr>
            <w:tcW w:w="708" w:type="dxa"/>
            <w:shd w:val="clear" w:color="auto" w:fill="FFFFFF" w:themeFill="background1"/>
            <w:vAlign w:val="center"/>
          </w:tcPr>
          <w:p w:rsidR="005F5B63" w:rsidRPr="0084134B" w:rsidRDefault="005F5B63" w:rsidP="00142A4B">
            <w:pPr>
              <w:spacing w:before="60" w:after="60" w:line="240" w:lineRule="auto"/>
              <w:jc w:val="right"/>
              <w:rPr>
                <w:rFonts w:ascii="Microsoft Sans Serif" w:hAnsi="Microsoft Sans Serif" w:cs="Microsoft Sans Serif"/>
                <w:sz w:val="20"/>
                <w:szCs w:val="20"/>
                <w:lang w:val="de-AT" w:eastAsia="de-AT"/>
              </w:rPr>
            </w:pPr>
            <w:r w:rsidRPr="0084134B">
              <w:rPr>
                <w:rFonts w:ascii="Microsoft Sans Serif" w:hAnsi="Microsoft Sans Serif" w:cs="Microsoft Sans Serif"/>
                <w:sz w:val="20"/>
                <w:szCs w:val="20"/>
                <w:lang w:val="de-AT" w:eastAsia="de-AT"/>
              </w:rPr>
              <w:t>32</w:t>
            </w:r>
          </w:p>
        </w:tc>
        <w:tc>
          <w:tcPr>
            <w:tcW w:w="709" w:type="dxa"/>
            <w:shd w:val="clear" w:color="auto" w:fill="FFFFFF" w:themeFill="background1"/>
            <w:vAlign w:val="center"/>
          </w:tcPr>
          <w:p w:rsidR="005F5B63" w:rsidRPr="00A65CF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19%</w:t>
            </w:r>
          </w:p>
        </w:tc>
        <w:tc>
          <w:tcPr>
            <w:tcW w:w="708" w:type="dxa"/>
            <w:shd w:val="clear" w:color="auto" w:fill="FFFFFF" w:themeFill="background1"/>
            <w:vAlign w:val="center"/>
          </w:tcPr>
          <w:p w:rsidR="005F5B63" w:rsidRPr="0084134B" w:rsidRDefault="005F5B63" w:rsidP="00142A4B">
            <w:pPr>
              <w:spacing w:before="60" w:after="60" w:line="240" w:lineRule="auto"/>
              <w:jc w:val="right"/>
              <w:rPr>
                <w:rFonts w:ascii="Microsoft Sans Serif" w:hAnsi="Microsoft Sans Serif" w:cs="Microsoft Sans Serif"/>
                <w:sz w:val="20"/>
                <w:szCs w:val="20"/>
                <w:lang w:val="de-AT" w:eastAsia="de-AT"/>
              </w:rPr>
            </w:pPr>
            <w:r w:rsidRPr="0084134B">
              <w:rPr>
                <w:rFonts w:ascii="Microsoft Sans Serif" w:hAnsi="Microsoft Sans Serif" w:cs="Microsoft Sans Serif"/>
                <w:sz w:val="20"/>
                <w:szCs w:val="20"/>
                <w:lang w:val="de-AT" w:eastAsia="de-AT"/>
              </w:rPr>
              <w:t>50</w:t>
            </w:r>
          </w:p>
        </w:tc>
        <w:tc>
          <w:tcPr>
            <w:tcW w:w="709" w:type="dxa"/>
            <w:shd w:val="clear" w:color="auto" w:fill="FFFFFF" w:themeFill="background1"/>
            <w:vAlign w:val="center"/>
          </w:tcPr>
          <w:p w:rsidR="005F5B63" w:rsidRPr="00A65CF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30%</w:t>
            </w:r>
          </w:p>
        </w:tc>
        <w:tc>
          <w:tcPr>
            <w:tcW w:w="709" w:type="dxa"/>
            <w:shd w:val="clear" w:color="auto" w:fill="FFFFFF" w:themeFill="background1"/>
            <w:vAlign w:val="center"/>
          </w:tcPr>
          <w:p w:rsidR="005F5B63" w:rsidRPr="0084134B" w:rsidRDefault="005F5B63" w:rsidP="00142A4B">
            <w:pPr>
              <w:spacing w:before="60" w:after="60" w:line="240" w:lineRule="auto"/>
              <w:jc w:val="right"/>
              <w:rPr>
                <w:rFonts w:ascii="Microsoft Sans Serif" w:hAnsi="Microsoft Sans Serif" w:cs="Microsoft Sans Serif"/>
                <w:sz w:val="20"/>
                <w:szCs w:val="20"/>
                <w:lang w:val="de-AT" w:eastAsia="de-AT"/>
              </w:rPr>
            </w:pPr>
            <w:r w:rsidRPr="0084134B">
              <w:rPr>
                <w:rFonts w:ascii="Microsoft Sans Serif" w:hAnsi="Microsoft Sans Serif" w:cs="Microsoft Sans Serif"/>
                <w:sz w:val="20"/>
                <w:szCs w:val="20"/>
                <w:lang w:val="de-AT" w:eastAsia="de-AT"/>
              </w:rPr>
              <w:t>85</w:t>
            </w:r>
          </w:p>
        </w:tc>
        <w:tc>
          <w:tcPr>
            <w:tcW w:w="709" w:type="dxa"/>
            <w:shd w:val="clear" w:color="auto" w:fill="FFFFFF" w:themeFill="background1"/>
            <w:vAlign w:val="center"/>
          </w:tcPr>
          <w:p w:rsidR="005F5B63" w:rsidRPr="00A65CF8" w:rsidRDefault="005F5B63" w:rsidP="00142A4B">
            <w:pPr>
              <w:spacing w:before="60" w:after="6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51%</w:t>
            </w:r>
          </w:p>
        </w:tc>
      </w:tr>
    </w:tbl>
    <w:p w:rsidR="005F5B63" w:rsidRDefault="005F5B63" w:rsidP="005F5B63">
      <w:pPr>
        <w:rPr>
          <w:lang w:val="de-AT"/>
        </w:rPr>
      </w:pPr>
    </w:p>
    <w:p w:rsidR="005F5B63" w:rsidRDefault="005F5B63" w:rsidP="00FF2B86">
      <w:pPr>
        <w:pStyle w:val="Untertitel"/>
      </w:pPr>
      <w:r>
        <w:t>Tab. 22:</w:t>
      </w:r>
      <w:r>
        <w:tab/>
        <w:t>Gültigkeit der Vergabekriterien nach Marktsegmenten</w:t>
      </w:r>
      <w:r w:rsidR="00142A4B">
        <w:t>, nach Einrichtung, Zustimmung in Prozent</w:t>
      </w:r>
    </w:p>
    <w:tbl>
      <w:tblPr>
        <w:tblStyle w:val="Tabellengitternetz"/>
        <w:tblW w:w="0" w:type="auto"/>
        <w:tblLook w:val="04A0"/>
      </w:tblPr>
      <w:tblGrid>
        <w:gridCol w:w="3227"/>
        <w:gridCol w:w="1496"/>
        <w:gridCol w:w="1496"/>
        <w:gridCol w:w="1496"/>
        <w:gridCol w:w="1497"/>
      </w:tblGrid>
      <w:tr w:rsidR="005F5B63" w:rsidRPr="005B6361" w:rsidTr="00142A4B">
        <w:tc>
          <w:tcPr>
            <w:tcW w:w="3227" w:type="dxa"/>
            <w:tcBorders>
              <w:top w:val="nil"/>
              <w:left w:val="nil"/>
            </w:tcBorders>
            <w:shd w:val="clear" w:color="auto" w:fill="auto"/>
            <w:vAlign w:val="center"/>
          </w:tcPr>
          <w:p w:rsidR="005F5B63" w:rsidRPr="005B6361" w:rsidRDefault="005F5B63" w:rsidP="00142A4B">
            <w:pPr>
              <w:tabs>
                <w:tab w:val="left" w:pos="1134"/>
              </w:tabs>
              <w:spacing w:before="60" w:after="60" w:line="240" w:lineRule="auto"/>
              <w:rPr>
                <w:sz w:val="18"/>
              </w:rPr>
            </w:pPr>
          </w:p>
        </w:tc>
        <w:tc>
          <w:tcPr>
            <w:tcW w:w="1496" w:type="dxa"/>
            <w:shd w:val="clear" w:color="auto" w:fill="D6E3BC" w:themeFill="accent3" w:themeFillTint="66"/>
            <w:vAlign w:val="center"/>
          </w:tcPr>
          <w:p w:rsidR="005F5B63" w:rsidRPr="005B6361" w:rsidRDefault="005F5B63" w:rsidP="00142A4B">
            <w:pPr>
              <w:tabs>
                <w:tab w:val="left" w:pos="1134"/>
              </w:tabs>
              <w:spacing w:before="60" w:after="60" w:line="240" w:lineRule="auto"/>
              <w:rPr>
                <w:sz w:val="18"/>
              </w:rPr>
            </w:pPr>
            <w:r w:rsidRPr="005B6361">
              <w:rPr>
                <w:sz w:val="18"/>
              </w:rPr>
              <w:t>Wohnungsamt</w:t>
            </w:r>
          </w:p>
        </w:tc>
        <w:tc>
          <w:tcPr>
            <w:tcW w:w="1496" w:type="dxa"/>
            <w:shd w:val="clear" w:color="auto" w:fill="D6E3BC" w:themeFill="accent3" w:themeFillTint="66"/>
            <w:vAlign w:val="center"/>
          </w:tcPr>
          <w:p w:rsidR="005F5B63" w:rsidRPr="005B6361" w:rsidRDefault="005F5B63" w:rsidP="00142A4B">
            <w:pPr>
              <w:tabs>
                <w:tab w:val="left" w:pos="1134"/>
              </w:tabs>
              <w:spacing w:before="60" w:after="60" w:line="240" w:lineRule="auto"/>
              <w:rPr>
                <w:sz w:val="18"/>
              </w:rPr>
            </w:pPr>
            <w:r w:rsidRPr="005B6361">
              <w:rPr>
                <w:sz w:val="18"/>
              </w:rPr>
              <w:t>gem</w:t>
            </w:r>
            <w:r>
              <w:rPr>
                <w:sz w:val="18"/>
              </w:rPr>
              <w:t>einnütziger</w:t>
            </w:r>
            <w:r w:rsidRPr="005B6361">
              <w:rPr>
                <w:sz w:val="18"/>
              </w:rPr>
              <w:t xml:space="preserve"> Bautr</w:t>
            </w:r>
            <w:r>
              <w:rPr>
                <w:sz w:val="18"/>
              </w:rPr>
              <w:t>äger</w:t>
            </w:r>
          </w:p>
        </w:tc>
        <w:tc>
          <w:tcPr>
            <w:tcW w:w="1496" w:type="dxa"/>
            <w:shd w:val="clear" w:color="auto" w:fill="D6E3BC" w:themeFill="accent3" w:themeFillTint="66"/>
            <w:vAlign w:val="center"/>
          </w:tcPr>
          <w:p w:rsidR="005F5B63" w:rsidRPr="005B6361" w:rsidRDefault="005F5B63" w:rsidP="00142A4B">
            <w:pPr>
              <w:tabs>
                <w:tab w:val="left" w:pos="1134"/>
              </w:tabs>
              <w:spacing w:before="60" w:after="60" w:line="240" w:lineRule="auto"/>
              <w:rPr>
                <w:sz w:val="18"/>
              </w:rPr>
            </w:pPr>
            <w:r w:rsidRPr="005B6361">
              <w:rPr>
                <w:sz w:val="18"/>
              </w:rPr>
              <w:t>priv</w:t>
            </w:r>
            <w:r>
              <w:rPr>
                <w:sz w:val="18"/>
              </w:rPr>
              <w:t>ater</w:t>
            </w:r>
            <w:r w:rsidRPr="005B6361">
              <w:rPr>
                <w:sz w:val="18"/>
              </w:rPr>
              <w:t xml:space="preserve"> Ba</w:t>
            </w:r>
            <w:r w:rsidRPr="005B6361">
              <w:rPr>
                <w:sz w:val="18"/>
              </w:rPr>
              <w:t>u</w:t>
            </w:r>
            <w:r w:rsidRPr="005B6361">
              <w:rPr>
                <w:sz w:val="18"/>
              </w:rPr>
              <w:t>tr</w:t>
            </w:r>
            <w:r>
              <w:rPr>
                <w:sz w:val="18"/>
              </w:rPr>
              <w:t>äger</w:t>
            </w:r>
          </w:p>
        </w:tc>
        <w:tc>
          <w:tcPr>
            <w:tcW w:w="1497" w:type="dxa"/>
            <w:shd w:val="clear" w:color="auto" w:fill="D6E3BC" w:themeFill="accent3" w:themeFillTint="66"/>
            <w:vAlign w:val="center"/>
          </w:tcPr>
          <w:p w:rsidR="005F5B63" w:rsidRPr="005B6361" w:rsidRDefault="005F5B63" w:rsidP="00142A4B">
            <w:pPr>
              <w:tabs>
                <w:tab w:val="left" w:pos="1134"/>
              </w:tabs>
              <w:spacing w:before="60" w:after="60" w:line="240" w:lineRule="auto"/>
              <w:rPr>
                <w:sz w:val="18"/>
              </w:rPr>
            </w:pPr>
            <w:r w:rsidRPr="005B6361">
              <w:rPr>
                <w:sz w:val="18"/>
              </w:rPr>
              <w:t>Beratungs</w:t>
            </w:r>
            <w:r>
              <w:rPr>
                <w:sz w:val="18"/>
              </w:rPr>
              <w:softHyphen/>
            </w:r>
            <w:r w:rsidRPr="005B6361">
              <w:rPr>
                <w:sz w:val="18"/>
              </w:rPr>
              <w:t>einr</w:t>
            </w:r>
            <w:r>
              <w:rPr>
                <w:sz w:val="18"/>
              </w:rPr>
              <w:t>ichtung</w:t>
            </w:r>
          </w:p>
        </w:tc>
      </w:tr>
      <w:tr w:rsidR="005F5B63" w:rsidRPr="005B6361" w:rsidTr="00142A4B">
        <w:tc>
          <w:tcPr>
            <w:tcW w:w="3227" w:type="dxa"/>
            <w:vAlign w:val="bottom"/>
          </w:tcPr>
          <w:p w:rsidR="005F5B63" w:rsidRPr="00A65CF8" w:rsidRDefault="005F5B63" w:rsidP="00142A4B">
            <w:pPr>
              <w:spacing w:before="60" w:after="60" w:line="240" w:lineRule="auto"/>
              <w:rPr>
                <w:rFonts w:ascii="Microsoft Sans Serif" w:hAnsi="Microsoft Sans Serif" w:cs="Microsoft Sans Serif"/>
                <w:sz w:val="20"/>
                <w:szCs w:val="20"/>
                <w:lang w:val="de-AT" w:eastAsia="de-AT"/>
              </w:rPr>
            </w:pPr>
            <w:r w:rsidRPr="00B13FAB">
              <w:rPr>
                <w:rFonts w:ascii="Microsoft Sans Serif" w:hAnsi="Microsoft Sans Serif" w:cs="Microsoft Sans Serif"/>
                <w:sz w:val="20"/>
                <w:szCs w:val="20"/>
                <w:lang w:val="de-AT" w:eastAsia="de-AT"/>
              </w:rPr>
              <w:t>sanierte/standardverbesserte Wohnungen</w:t>
            </w:r>
          </w:p>
        </w:tc>
        <w:tc>
          <w:tcPr>
            <w:tcW w:w="1496" w:type="dxa"/>
            <w:shd w:val="clear" w:color="auto" w:fill="FFFFFF" w:themeFill="background1"/>
            <w:vAlign w:val="center"/>
          </w:tcPr>
          <w:p w:rsidR="005F5B63" w:rsidRPr="005B6361" w:rsidRDefault="005F5B63" w:rsidP="00142A4B">
            <w:pPr>
              <w:spacing w:before="60" w:after="60" w:line="240" w:lineRule="auto"/>
              <w:ind w:right="254"/>
              <w:jc w:val="right"/>
              <w:rPr>
                <w:sz w:val="18"/>
              </w:rPr>
            </w:pPr>
            <w:r>
              <w:rPr>
                <w:sz w:val="18"/>
              </w:rPr>
              <w:t>91%</w:t>
            </w:r>
          </w:p>
        </w:tc>
        <w:tc>
          <w:tcPr>
            <w:tcW w:w="1496" w:type="dxa"/>
            <w:vAlign w:val="center"/>
          </w:tcPr>
          <w:p w:rsidR="005F5B63" w:rsidRPr="005B6361" w:rsidRDefault="005F5B63" w:rsidP="00142A4B">
            <w:pPr>
              <w:spacing w:before="60" w:after="60" w:line="240" w:lineRule="auto"/>
              <w:ind w:right="254"/>
              <w:jc w:val="right"/>
              <w:rPr>
                <w:sz w:val="18"/>
              </w:rPr>
            </w:pPr>
            <w:r>
              <w:rPr>
                <w:sz w:val="18"/>
              </w:rPr>
              <w:t>86%</w:t>
            </w:r>
          </w:p>
        </w:tc>
        <w:tc>
          <w:tcPr>
            <w:tcW w:w="1496" w:type="dxa"/>
            <w:vAlign w:val="center"/>
          </w:tcPr>
          <w:p w:rsidR="005F5B63" w:rsidRPr="005B6361" w:rsidRDefault="005F5B63" w:rsidP="00142A4B">
            <w:pPr>
              <w:spacing w:before="60" w:after="60" w:line="240" w:lineRule="auto"/>
              <w:ind w:right="254"/>
              <w:jc w:val="right"/>
              <w:rPr>
                <w:sz w:val="18"/>
              </w:rPr>
            </w:pPr>
            <w:r>
              <w:rPr>
                <w:sz w:val="18"/>
              </w:rPr>
              <w:t>72%</w:t>
            </w:r>
          </w:p>
        </w:tc>
        <w:tc>
          <w:tcPr>
            <w:tcW w:w="1497" w:type="dxa"/>
            <w:shd w:val="clear" w:color="auto" w:fill="auto"/>
            <w:vAlign w:val="center"/>
          </w:tcPr>
          <w:p w:rsidR="005F5B63" w:rsidRPr="005B6361" w:rsidRDefault="005F5B63" w:rsidP="00142A4B">
            <w:pPr>
              <w:spacing w:before="60" w:after="60" w:line="240" w:lineRule="auto"/>
              <w:ind w:right="254"/>
              <w:jc w:val="right"/>
              <w:rPr>
                <w:sz w:val="18"/>
              </w:rPr>
            </w:pPr>
            <w:r>
              <w:rPr>
                <w:sz w:val="18"/>
              </w:rPr>
              <w:t>38%</w:t>
            </w:r>
          </w:p>
        </w:tc>
      </w:tr>
      <w:tr w:rsidR="005F5B63" w:rsidRPr="005B6361" w:rsidTr="00142A4B">
        <w:tc>
          <w:tcPr>
            <w:tcW w:w="3227" w:type="dxa"/>
            <w:vAlign w:val="bottom"/>
          </w:tcPr>
          <w:p w:rsidR="005F5B63" w:rsidRPr="00A65CF8" w:rsidRDefault="005F5B63" w:rsidP="00142A4B">
            <w:pPr>
              <w:spacing w:before="60" w:after="60" w:line="240" w:lineRule="auto"/>
              <w:rPr>
                <w:rFonts w:ascii="Microsoft Sans Serif" w:hAnsi="Microsoft Sans Serif" w:cs="Microsoft Sans Serif"/>
                <w:sz w:val="20"/>
                <w:szCs w:val="20"/>
                <w:lang w:val="de-AT" w:eastAsia="de-AT"/>
              </w:rPr>
            </w:pPr>
            <w:r w:rsidRPr="00B13FAB">
              <w:rPr>
                <w:rFonts w:ascii="Microsoft Sans Serif" w:hAnsi="Microsoft Sans Serif" w:cs="Microsoft Sans Serif"/>
                <w:sz w:val="20"/>
                <w:szCs w:val="20"/>
                <w:lang w:val="de-AT" w:eastAsia="de-AT"/>
              </w:rPr>
              <w:t>ausfinanzierte Wohnungen</w:t>
            </w:r>
          </w:p>
        </w:tc>
        <w:tc>
          <w:tcPr>
            <w:tcW w:w="1496" w:type="dxa"/>
            <w:vAlign w:val="center"/>
          </w:tcPr>
          <w:p w:rsidR="005F5B63" w:rsidRPr="005B6361" w:rsidRDefault="005F5B63" w:rsidP="00142A4B">
            <w:pPr>
              <w:spacing w:before="60" w:after="60" w:line="240" w:lineRule="auto"/>
              <w:ind w:right="254"/>
              <w:jc w:val="right"/>
              <w:rPr>
                <w:sz w:val="18"/>
              </w:rPr>
            </w:pPr>
            <w:r>
              <w:rPr>
                <w:sz w:val="18"/>
              </w:rPr>
              <w:t>77%</w:t>
            </w:r>
          </w:p>
        </w:tc>
        <w:tc>
          <w:tcPr>
            <w:tcW w:w="1496" w:type="dxa"/>
            <w:vAlign w:val="center"/>
          </w:tcPr>
          <w:p w:rsidR="005F5B63" w:rsidRPr="005B6361" w:rsidRDefault="005F5B63" w:rsidP="00142A4B">
            <w:pPr>
              <w:spacing w:before="60" w:after="60" w:line="240" w:lineRule="auto"/>
              <w:ind w:right="254"/>
              <w:jc w:val="right"/>
              <w:rPr>
                <w:sz w:val="18"/>
              </w:rPr>
            </w:pPr>
            <w:r>
              <w:rPr>
                <w:sz w:val="18"/>
              </w:rPr>
              <w:t>69%</w:t>
            </w:r>
          </w:p>
        </w:tc>
        <w:tc>
          <w:tcPr>
            <w:tcW w:w="1496" w:type="dxa"/>
            <w:vAlign w:val="center"/>
          </w:tcPr>
          <w:p w:rsidR="005F5B63" w:rsidRPr="005B6361" w:rsidRDefault="005F5B63" w:rsidP="00142A4B">
            <w:pPr>
              <w:spacing w:before="60" w:after="60" w:line="240" w:lineRule="auto"/>
              <w:ind w:right="254"/>
              <w:jc w:val="right"/>
              <w:rPr>
                <w:sz w:val="18"/>
              </w:rPr>
            </w:pPr>
            <w:r>
              <w:rPr>
                <w:sz w:val="18"/>
              </w:rPr>
              <w:t>50%</w:t>
            </w:r>
          </w:p>
        </w:tc>
        <w:tc>
          <w:tcPr>
            <w:tcW w:w="1497" w:type="dxa"/>
            <w:shd w:val="clear" w:color="auto" w:fill="auto"/>
            <w:vAlign w:val="center"/>
          </w:tcPr>
          <w:p w:rsidR="005F5B63" w:rsidRPr="005B6361" w:rsidRDefault="005F5B63" w:rsidP="00142A4B">
            <w:pPr>
              <w:spacing w:before="60" w:after="60" w:line="240" w:lineRule="auto"/>
              <w:ind w:right="254"/>
              <w:jc w:val="right"/>
              <w:rPr>
                <w:sz w:val="18"/>
              </w:rPr>
            </w:pPr>
            <w:r>
              <w:rPr>
                <w:sz w:val="18"/>
              </w:rPr>
              <w:t>26%</w:t>
            </w:r>
          </w:p>
        </w:tc>
      </w:tr>
      <w:tr w:rsidR="005F5B63" w:rsidRPr="005B6361" w:rsidTr="00142A4B">
        <w:tc>
          <w:tcPr>
            <w:tcW w:w="3227" w:type="dxa"/>
            <w:vAlign w:val="bottom"/>
          </w:tcPr>
          <w:p w:rsidR="005F5B63" w:rsidRPr="00A65CF8" w:rsidRDefault="005F5B63" w:rsidP="00142A4B">
            <w:pPr>
              <w:spacing w:before="60" w:after="60" w:line="240" w:lineRule="auto"/>
              <w:rPr>
                <w:rFonts w:ascii="Microsoft Sans Serif" w:hAnsi="Microsoft Sans Serif" w:cs="Microsoft Sans Serif"/>
                <w:sz w:val="20"/>
                <w:szCs w:val="20"/>
                <w:lang w:val="de-AT" w:eastAsia="de-AT"/>
              </w:rPr>
            </w:pPr>
            <w:r w:rsidRPr="00B13FAB">
              <w:rPr>
                <w:rFonts w:ascii="Microsoft Sans Serif" w:hAnsi="Microsoft Sans Serif" w:cs="Microsoft Sans Serif"/>
                <w:sz w:val="20"/>
                <w:szCs w:val="20"/>
                <w:lang w:val="de-AT" w:eastAsia="de-AT"/>
              </w:rPr>
              <w:t>Substandardwohnungen</w:t>
            </w:r>
          </w:p>
        </w:tc>
        <w:tc>
          <w:tcPr>
            <w:tcW w:w="1496" w:type="dxa"/>
            <w:vAlign w:val="center"/>
          </w:tcPr>
          <w:p w:rsidR="005F5B63" w:rsidRPr="005B6361" w:rsidRDefault="005F5B63" w:rsidP="00142A4B">
            <w:pPr>
              <w:spacing w:before="60" w:after="60" w:line="240" w:lineRule="auto"/>
              <w:ind w:right="254"/>
              <w:jc w:val="right"/>
              <w:rPr>
                <w:sz w:val="18"/>
              </w:rPr>
            </w:pPr>
            <w:r>
              <w:rPr>
                <w:sz w:val="18"/>
              </w:rPr>
              <w:t>64%</w:t>
            </w:r>
          </w:p>
        </w:tc>
        <w:tc>
          <w:tcPr>
            <w:tcW w:w="1496" w:type="dxa"/>
            <w:vAlign w:val="center"/>
          </w:tcPr>
          <w:p w:rsidR="005F5B63" w:rsidRPr="005B6361" w:rsidRDefault="005F5B63" w:rsidP="00142A4B">
            <w:pPr>
              <w:spacing w:before="60" w:after="60" w:line="240" w:lineRule="auto"/>
              <w:ind w:right="254"/>
              <w:jc w:val="right"/>
              <w:rPr>
                <w:sz w:val="18"/>
              </w:rPr>
            </w:pPr>
            <w:r>
              <w:rPr>
                <w:sz w:val="18"/>
              </w:rPr>
              <w:t>54%</w:t>
            </w:r>
          </w:p>
        </w:tc>
        <w:tc>
          <w:tcPr>
            <w:tcW w:w="1496" w:type="dxa"/>
            <w:shd w:val="clear" w:color="auto" w:fill="FFFFFF" w:themeFill="background1"/>
            <w:vAlign w:val="center"/>
          </w:tcPr>
          <w:p w:rsidR="005F5B63" w:rsidRPr="005B6361" w:rsidRDefault="005F5B63" w:rsidP="00142A4B">
            <w:pPr>
              <w:spacing w:before="60" w:after="60" w:line="240" w:lineRule="auto"/>
              <w:ind w:right="254"/>
              <w:jc w:val="right"/>
              <w:rPr>
                <w:sz w:val="18"/>
              </w:rPr>
            </w:pPr>
            <w:r>
              <w:rPr>
                <w:sz w:val="18"/>
              </w:rPr>
              <w:t>39%</w:t>
            </w:r>
          </w:p>
        </w:tc>
        <w:tc>
          <w:tcPr>
            <w:tcW w:w="1497" w:type="dxa"/>
            <w:shd w:val="clear" w:color="auto" w:fill="auto"/>
            <w:vAlign w:val="center"/>
          </w:tcPr>
          <w:p w:rsidR="005F5B63" w:rsidRPr="005B6361" w:rsidRDefault="005F5B63" w:rsidP="00142A4B">
            <w:pPr>
              <w:spacing w:before="60" w:after="60" w:line="240" w:lineRule="auto"/>
              <w:ind w:right="254"/>
              <w:jc w:val="right"/>
              <w:rPr>
                <w:sz w:val="18"/>
              </w:rPr>
            </w:pPr>
            <w:r>
              <w:rPr>
                <w:sz w:val="18"/>
              </w:rPr>
              <w:t>23%</w:t>
            </w:r>
          </w:p>
        </w:tc>
      </w:tr>
      <w:tr w:rsidR="005F5B63" w:rsidRPr="005B6361" w:rsidTr="00142A4B">
        <w:tc>
          <w:tcPr>
            <w:tcW w:w="3227" w:type="dxa"/>
            <w:vAlign w:val="bottom"/>
          </w:tcPr>
          <w:p w:rsidR="005F5B63" w:rsidRPr="00A65CF8" w:rsidRDefault="005F5B63" w:rsidP="00142A4B">
            <w:pPr>
              <w:spacing w:before="60" w:after="60" w:line="240" w:lineRule="auto"/>
              <w:rPr>
                <w:rFonts w:ascii="Microsoft Sans Serif" w:hAnsi="Microsoft Sans Serif" w:cs="Microsoft Sans Serif"/>
                <w:sz w:val="20"/>
                <w:szCs w:val="20"/>
                <w:lang w:val="de-AT" w:eastAsia="de-AT"/>
              </w:rPr>
            </w:pPr>
            <w:r w:rsidRPr="00B13FAB">
              <w:rPr>
                <w:rFonts w:ascii="Microsoft Sans Serif" w:hAnsi="Microsoft Sans Serif" w:cs="Microsoft Sans Serif"/>
                <w:sz w:val="20"/>
                <w:szCs w:val="20"/>
                <w:lang w:val="de-AT" w:eastAsia="de-AT"/>
              </w:rPr>
              <w:t>Eigentumswohnungen</w:t>
            </w:r>
          </w:p>
        </w:tc>
        <w:tc>
          <w:tcPr>
            <w:tcW w:w="1496" w:type="dxa"/>
            <w:vAlign w:val="center"/>
          </w:tcPr>
          <w:p w:rsidR="005F5B63" w:rsidRPr="005B6361" w:rsidRDefault="005F5B63" w:rsidP="00142A4B">
            <w:pPr>
              <w:spacing w:before="60" w:after="60" w:line="240" w:lineRule="auto"/>
              <w:ind w:right="254"/>
              <w:jc w:val="right"/>
              <w:rPr>
                <w:sz w:val="18"/>
              </w:rPr>
            </w:pPr>
            <w:r>
              <w:rPr>
                <w:sz w:val="18"/>
              </w:rPr>
              <w:t>25%</w:t>
            </w:r>
          </w:p>
        </w:tc>
        <w:tc>
          <w:tcPr>
            <w:tcW w:w="1496" w:type="dxa"/>
            <w:vAlign w:val="center"/>
          </w:tcPr>
          <w:p w:rsidR="005F5B63" w:rsidRPr="005B6361" w:rsidRDefault="005F5B63" w:rsidP="00142A4B">
            <w:pPr>
              <w:spacing w:before="60" w:after="60" w:line="240" w:lineRule="auto"/>
              <w:ind w:right="254"/>
              <w:jc w:val="right"/>
              <w:rPr>
                <w:sz w:val="18"/>
              </w:rPr>
            </w:pPr>
            <w:r>
              <w:rPr>
                <w:sz w:val="18"/>
              </w:rPr>
              <w:t>37%</w:t>
            </w:r>
          </w:p>
        </w:tc>
        <w:tc>
          <w:tcPr>
            <w:tcW w:w="1496" w:type="dxa"/>
            <w:vAlign w:val="center"/>
          </w:tcPr>
          <w:p w:rsidR="005F5B63" w:rsidRPr="005B6361" w:rsidRDefault="005F5B63" w:rsidP="00142A4B">
            <w:pPr>
              <w:spacing w:before="60" w:after="60" w:line="240" w:lineRule="auto"/>
              <w:ind w:right="254"/>
              <w:jc w:val="right"/>
              <w:rPr>
                <w:sz w:val="18"/>
              </w:rPr>
            </w:pPr>
            <w:r>
              <w:rPr>
                <w:sz w:val="18"/>
              </w:rPr>
              <w:t>28%</w:t>
            </w:r>
          </w:p>
        </w:tc>
        <w:tc>
          <w:tcPr>
            <w:tcW w:w="1497" w:type="dxa"/>
            <w:shd w:val="clear" w:color="auto" w:fill="auto"/>
            <w:vAlign w:val="center"/>
          </w:tcPr>
          <w:p w:rsidR="005F5B63" w:rsidRPr="005B6361" w:rsidRDefault="005F5B63" w:rsidP="00142A4B">
            <w:pPr>
              <w:spacing w:before="60" w:after="60" w:line="240" w:lineRule="auto"/>
              <w:ind w:right="254"/>
              <w:jc w:val="right"/>
              <w:rPr>
                <w:sz w:val="18"/>
              </w:rPr>
            </w:pPr>
            <w:r>
              <w:rPr>
                <w:sz w:val="18"/>
              </w:rPr>
              <w:t>12%</w:t>
            </w:r>
          </w:p>
        </w:tc>
      </w:tr>
      <w:tr w:rsidR="005F5B63" w:rsidRPr="005B6361" w:rsidTr="00142A4B">
        <w:tc>
          <w:tcPr>
            <w:tcW w:w="3227" w:type="dxa"/>
            <w:vAlign w:val="bottom"/>
          </w:tcPr>
          <w:p w:rsidR="005F5B63" w:rsidRPr="00A65CF8" w:rsidRDefault="005F5B63" w:rsidP="00142A4B">
            <w:pPr>
              <w:spacing w:before="60" w:after="60" w:line="240" w:lineRule="auto"/>
              <w:rPr>
                <w:rFonts w:ascii="Microsoft Sans Serif" w:hAnsi="Microsoft Sans Serif" w:cs="Microsoft Sans Serif"/>
                <w:sz w:val="20"/>
                <w:szCs w:val="20"/>
                <w:lang w:val="de-AT" w:eastAsia="de-AT"/>
              </w:rPr>
            </w:pPr>
            <w:r w:rsidRPr="00B13FAB">
              <w:rPr>
                <w:rFonts w:ascii="Microsoft Sans Serif" w:hAnsi="Microsoft Sans Serif" w:cs="Microsoft Sans Serif"/>
                <w:sz w:val="20"/>
                <w:szCs w:val="20"/>
                <w:lang w:val="de-AT" w:eastAsia="de-AT"/>
              </w:rPr>
              <w:t>Miet-Kauf-Wohnungen</w:t>
            </w:r>
          </w:p>
        </w:tc>
        <w:tc>
          <w:tcPr>
            <w:tcW w:w="1496" w:type="dxa"/>
            <w:vAlign w:val="center"/>
          </w:tcPr>
          <w:p w:rsidR="005F5B63" w:rsidRPr="005B6361" w:rsidRDefault="005F5B63" w:rsidP="00142A4B">
            <w:pPr>
              <w:spacing w:before="60" w:after="60" w:line="240" w:lineRule="auto"/>
              <w:ind w:right="254"/>
              <w:jc w:val="right"/>
              <w:rPr>
                <w:sz w:val="18"/>
              </w:rPr>
            </w:pPr>
            <w:r>
              <w:rPr>
                <w:sz w:val="18"/>
              </w:rPr>
              <w:t>52%</w:t>
            </w:r>
          </w:p>
        </w:tc>
        <w:tc>
          <w:tcPr>
            <w:tcW w:w="1496" w:type="dxa"/>
            <w:vAlign w:val="center"/>
          </w:tcPr>
          <w:p w:rsidR="005F5B63" w:rsidRPr="005B6361" w:rsidRDefault="005F5B63" w:rsidP="00142A4B">
            <w:pPr>
              <w:spacing w:before="60" w:after="60" w:line="240" w:lineRule="auto"/>
              <w:ind w:right="254"/>
              <w:jc w:val="right"/>
              <w:rPr>
                <w:sz w:val="18"/>
              </w:rPr>
            </w:pPr>
            <w:r>
              <w:rPr>
                <w:sz w:val="18"/>
              </w:rPr>
              <w:t>69%</w:t>
            </w:r>
          </w:p>
        </w:tc>
        <w:tc>
          <w:tcPr>
            <w:tcW w:w="1496" w:type="dxa"/>
            <w:vAlign w:val="center"/>
          </w:tcPr>
          <w:p w:rsidR="005F5B63" w:rsidRPr="005B6361" w:rsidRDefault="005F5B63" w:rsidP="00142A4B">
            <w:pPr>
              <w:spacing w:before="60" w:after="60" w:line="240" w:lineRule="auto"/>
              <w:ind w:right="254"/>
              <w:jc w:val="right"/>
              <w:rPr>
                <w:sz w:val="18"/>
              </w:rPr>
            </w:pPr>
            <w:r>
              <w:rPr>
                <w:sz w:val="18"/>
              </w:rPr>
              <w:t>39%</w:t>
            </w:r>
          </w:p>
        </w:tc>
        <w:tc>
          <w:tcPr>
            <w:tcW w:w="1497" w:type="dxa"/>
            <w:shd w:val="clear" w:color="auto" w:fill="auto"/>
            <w:vAlign w:val="center"/>
          </w:tcPr>
          <w:p w:rsidR="005F5B63" w:rsidRPr="005B6361" w:rsidRDefault="005F5B63" w:rsidP="00142A4B">
            <w:pPr>
              <w:spacing w:before="60" w:after="60" w:line="240" w:lineRule="auto"/>
              <w:ind w:right="254"/>
              <w:jc w:val="right"/>
              <w:rPr>
                <w:sz w:val="18"/>
              </w:rPr>
            </w:pPr>
            <w:r>
              <w:rPr>
                <w:sz w:val="18"/>
              </w:rPr>
              <w:t>17%</w:t>
            </w:r>
          </w:p>
        </w:tc>
      </w:tr>
      <w:tr w:rsidR="005F5B63" w:rsidRPr="005B6361" w:rsidTr="00142A4B">
        <w:tc>
          <w:tcPr>
            <w:tcW w:w="3227" w:type="dxa"/>
            <w:vAlign w:val="bottom"/>
          </w:tcPr>
          <w:p w:rsidR="005F5B63" w:rsidRPr="00A65CF8" w:rsidRDefault="005F5B63" w:rsidP="00142A4B">
            <w:pPr>
              <w:spacing w:before="60" w:after="60" w:line="240" w:lineRule="auto"/>
              <w:rPr>
                <w:rFonts w:ascii="Microsoft Sans Serif" w:hAnsi="Microsoft Sans Serif" w:cs="Microsoft Sans Serif"/>
                <w:sz w:val="20"/>
                <w:szCs w:val="20"/>
                <w:lang w:val="de-AT" w:eastAsia="de-AT"/>
              </w:rPr>
            </w:pPr>
            <w:r w:rsidRPr="00B13FAB">
              <w:rPr>
                <w:rFonts w:ascii="Microsoft Sans Serif" w:hAnsi="Microsoft Sans Serif" w:cs="Microsoft Sans Serif"/>
                <w:sz w:val="20"/>
                <w:szCs w:val="20"/>
                <w:lang w:val="de-AT" w:eastAsia="de-AT"/>
              </w:rPr>
              <w:t>andere Vertragsformen</w:t>
            </w:r>
          </w:p>
        </w:tc>
        <w:tc>
          <w:tcPr>
            <w:tcW w:w="1496" w:type="dxa"/>
            <w:vAlign w:val="center"/>
          </w:tcPr>
          <w:p w:rsidR="005F5B63" w:rsidRPr="005B6361" w:rsidRDefault="005F5B63" w:rsidP="00142A4B">
            <w:pPr>
              <w:spacing w:before="60" w:after="60" w:line="240" w:lineRule="auto"/>
              <w:ind w:right="254"/>
              <w:jc w:val="right"/>
              <w:rPr>
                <w:sz w:val="18"/>
              </w:rPr>
            </w:pPr>
            <w:r>
              <w:rPr>
                <w:sz w:val="18"/>
              </w:rPr>
              <w:t>25%</w:t>
            </w:r>
          </w:p>
        </w:tc>
        <w:tc>
          <w:tcPr>
            <w:tcW w:w="1496" w:type="dxa"/>
            <w:vAlign w:val="center"/>
          </w:tcPr>
          <w:p w:rsidR="005F5B63" w:rsidRPr="005B6361" w:rsidRDefault="005F5B63" w:rsidP="00142A4B">
            <w:pPr>
              <w:spacing w:before="60" w:after="60" w:line="240" w:lineRule="auto"/>
              <w:ind w:right="254"/>
              <w:jc w:val="right"/>
              <w:rPr>
                <w:sz w:val="18"/>
              </w:rPr>
            </w:pPr>
            <w:r>
              <w:rPr>
                <w:sz w:val="18"/>
              </w:rPr>
              <w:t>37%</w:t>
            </w:r>
          </w:p>
        </w:tc>
        <w:tc>
          <w:tcPr>
            <w:tcW w:w="1496" w:type="dxa"/>
            <w:vAlign w:val="center"/>
          </w:tcPr>
          <w:p w:rsidR="005F5B63" w:rsidRPr="005B6361" w:rsidRDefault="005F5B63" w:rsidP="00142A4B">
            <w:pPr>
              <w:spacing w:before="60" w:after="60" w:line="240" w:lineRule="auto"/>
              <w:ind w:right="254"/>
              <w:jc w:val="right"/>
              <w:rPr>
                <w:sz w:val="18"/>
              </w:rPr>
            </w:pPr>
            <w:r>
              <w:rPr>
                <w:sz w:val="18"/>
              </w:rPr>
              <w:t>33%</w:t>
            </w:r>
          </w:p>
        </w:tc>
        <w:tc>
          <w:tcPr>
            <w:tcW w:w="1497" w:type="dxa"/>
            <w:shd w:val="clear" w:color="auto" w:fill="auto"/>
            <w:vAlign w:val="center"/>
          </w:tcPr>
          <w:p w:rsidR="005F5B63" w:rsidRPr="005B6361" w:rsidRDefault="005F5B63" w:rsidP="00142A4B">
            <w:pPr>
              <w:spacing w:before="60" w:after="60" w:line="240" w:lineRule="auto"/>
              <w:ind w:right="254"/>
              <w:jc w:val="right"/>
              <w:rPr>
                <w:sz w:val="18"/>
              </w:rPr>
            </w:pPr>
            <w:r>
              <w:rPr>
                <w:sz w:val="18"/>
              </w:rPr>
              <w:t>12%</w:t>
            </w:r>
          </w:p>
        </w:tc>
      </w:tr>
    </w:tbl>
    <w:p w:rsidR="005F5B63" w:rsidRDefault="005F5B63" w:rsidP="005F5B63"/>
    <w:p w:rsidR="005F5B63" w:rsidRDefault="005F5B63" w:rsidP="005F5B63">
      <w:pPr>
        <w:spacing w:after="200" w:line="276" w:lineRule="auto"/>
      </w:pPr>
      <w:r>
        <w:br w:type="page"/>
      </w:r>
    </w:p>
    <w:p w:rsidR="005F5B63" w:rsidRDefault="005F5B63" w:rsidP="00FF2B86">
      <w:pPr>
        <w:pStyle w:val="Untertitel"/>
        <w:sectPr w:rsidR="005F5B63" w:rsidSect="004A46A5">
          <w:type w:val="continuous"/>
          <w:pgSz w:w="11906" w:h="16838"/>
          <w:pgMar w:top="1417" w:right="1274" w:bottom="1134" w:left="1417" w:header="708" w:footer="708" w:gutter="0"/>
          <w:cols w:space="708"/>
          <w:docGrid w:linePitch="360"/>
        </w:sectPr>
      </w:pPr>
    </w:p>
    <w:p w:rsidR="005F5B63" w:rsidRDefault="005F5B63" w:rsidP="00FF2B86">
      <w:pPr>
        <w:pStyle w:val="Untertitel"/>
      </w:pPr>
      <w:r>
        <w:lastRenderedPageBreak/>
        <w:t>Tab. 23: Zustimmung zu folgenden (fiktiven) Leitsätzen für die Wohnungsvergabe, n = 161</w:t>
      </w:r>
    </w:p>
    <w:tbl>
      <w:tblPr>
        <w:tblW w:w="137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954"/>
        <w:gridCol w:w="1559"/>
        <w:gridCol w:w="1559"/>
        <w:gridCol w:w="1559"/>
        <w:gridCol w:w="1559"/>
        <w:gridCol w:w="1560"/>
      </w:tblGrid>
      <w:tr w:rsidR="005F5B63" w:rsidRPr="00550083" w:rsidTr="00142A4B">
        <w:trPr>
          <w:trHeight w:val="300"/>
        </w:trPr>
        <w:tc>
          <w:tcPr>
            <w:tcW w:w="5954" w:type="dxa"/>
            <w:shd w:val="clear" w:color="auto" w:fill="D6E3BC" w:themeFill="accent3" w:themeFillTint="66"/>
            <w:vAlign w:val="center"/>
          </w:tcPr>
          <w:p w:rsidR="00587957" w:rsidRDefault="005F5B63" w:rsidP="00044AF0">
            <w:pPr>
              <w:spacing w:beforeLines="60" w:afterLines="60" w:line="240" w:lineRule="auto"/>
              <w:rPr>
                <w:rFonts w:cs="Tahoma"/>
                <w:color w:val="000000"/>
                <w:sz w:val="20"/>
                <w:szCs w:val="20"/>
              </w:rPr>
            </w:pPr>
            <w:r w:rsidRPr="00550083">
              <w:rPr>
                <w:rFonts w:cs="Tahoma"/>
                <w:color w:val="000000"/>
                <w:sz w:val="20"/>
                <w:szCs w:val="20"/>
              </w:rPr>
              <w:t>Leitsätze zur Wohnungsvergabe, Zustimmung in Prozent</w:t>
            </w:r>
          </w:p>
        </w:tc>
        <w:tc>
          <w:tcPr>
            <w:tcW w:w="1559" w:type="dxa"/>
            <w:shd w:val="clear" w:color="auto" w:fill="D6E3BC" w:themeFill="accent3" w:themeFillTint="66"/>
            <w:noWrap/>
            <w:vAlign w:val="center"/>
            <w:hideMark/>
          </w:tcPr>
          <w:p w:rsidR="00587957" w:rsidRDefault="005F5B63" w:rsidP="00044AF0">
            <w:pPr>
              <w:spacing w:beforeLines="60" w:afterLines="60" w:line="240" w:lineRule="auto"/>
              <w:rPr>
                <w:rFonts w:cs="Tahoma"/>
                <w:color w:val="000000"/>
                <w:sz w:val="20"/>
                <w:szCs w:val="20"/>
              </w:rPr>
            </w:pPr>
            <w:r w:rsidRPr="00550083">
              <w:rPr>
                <w:rFonts w:cs="Tahoma"/>
                <w:color w:val="000000"/>
                <w:sz w:val="20"/>
                <w:szCs w:val="20"/>
              </w:rPr>
              <w:t>gesamt</w:t>
            </w:r>
          </w:p>
        </w:tc>
        <w:tc>
          <w:tcPr>
            <w:tcW w:w="1559" w:type="dxa"/>
            <w:shd w:val="clear" w:color="auto" w:fill="D6E3BC" w:themeFill="accent3" w:themeFillTint="66"/>
            <w:noWrap/>
            <w:vAlign w:val="center"/>
            <w:hideMark/>
          </w:tcPr>
          <w:p w:rsidR="00587957" w:rsidRDefault="005F5B63" w:rsidP="00044AF0">
            <w:pPr>
              <w:spacing w:beforeLines="60" w:afterLines="60" w:line="240" w:lineRule="auto"/>
              <w:rPr>
                <w:rFonts w:cs="Tahoma"/>
                <w:color w:val="000000"/>
                <w:sz w:val="20"/>
                <w:szCs w:val="20"/>
              </w:rPr>
            </w:pPr>
            <w:r w:rsidRPr="00550083">
              <w:rPr>
                <w:rFonts w:cs="Tahoma"/>
                <w:color w:val="000000"/>
                <w:sz w:val="20"/>
                <w:szCs w:val="20"/>
              </w:rPr>
              <w:t>Wohnungs</w:t>
            </w:r>
            <w:r w:rsidRPr="00550083">
              <w:rPr>
                <w:rFonts w:cs="Tahoma"/>
                <w:color w:val="000000"/>
                <w:sz w:val="20"/>
                <w:szCs w:val="20"/>
              </w:rPr>
              <w:softHyphen/>
              <w:t>ämter</w:t>
            </w:r>
          </w:p>
        </w:tc>
        <w:tc>
          <w:tcPr>
            <w:tcW w:w="1559" w:type="dxa"/>
            <w:shd w:val="clear" w:color="auto" w:fill="D6E3BC" w:themeFill="accent3" w:themeFillTint="66"/>
            <w:noWrap/>
            <w:vAlign w:val="center"/>
            <w:hideMark/>
          </w:tcPr>
          <w:p w:rsidR="00587957" w:rsidRDefault="005F5B63" w:rsidP="00044AF0">
            <w:pPr>
              <w:spacing w:beforeLines="60" w:afterLines="60" w:line="240" w:lineRule="auto"/>
              <w:rPr>
                <w:rFonts w:cs="Tahoma"/>
                <w:color w:val="000000"/>
                <w:sz w:val="20"/>
                <w:szCs w:val="20"/>
              </w:rPr>
            </w:pPr>
            <w:r w:rsidRPr="00550083">
              <w:rPr>
                <w:rFonts w:cs="Tahoma"/>
                <w:color w:val="000000"/>
                <w:sz w:val="20"/>
                <w:szCs w:val="20"/>
              </w:rPr>
              <w:t>gemeinnützige Bauträger</w:t>
            </w:r>
          </w:p>
        </w:tc>
        <w:tc>
          <w:tcPr>
            <w:tcW w:w="1559" w:type="dxa"/>
            <w:shd w:val="clear" w:color="auto" w:fill="D6E3BC" w:themeFill="accent3" w:themeFillTint="66"/>
            <w:noWrap/>
            <w:vAlign w:val="center"/>
            <w:hideMark/>
          </w:tcPr>
          <w:p w:rsidR="00587957" w:rsidRDefault="005F5B63" w:rsidP="00044AF0">
            <w:pPr>
              <w:spacing w:beforeLines="60" w:afterLines="60" w:line="240" w:lineRule="auto"/>
              <w:rPr>
                <w:rFonts w:cs="Tahoma"/>
                <w:color w:val="000000"/>
                <w:sz w:val="20"/>
                <w:szCs w:val="20"/>
              </w:rPr>
            </w:pPr>
            <w:r w:rsidRPr="00550083">
              <w:rPr>
                <w:rFonts w:cs="Tahoma"/>
                <w:color w:val="000000"/>
                <w:sz w:val="20"/>
                <w:szCs w:val="20"/>
              </w:rPr>
              <w:t>private Bautr</w:t>
            </w:r>
            <w:r w:rsidRPr="00550083">
              <w:rPr>
                <w:rFonts w:cs="Tahoma"/>
                <w:color w:val="000000"/>
                <w:sz w:val="20"/>
                <w:szCs w:val="20"/>
              </w:rPr>
              <w:t>ä</w:t>
            </w:r>
            <w:r w:rsidRPr="00550083">
              <w:rPr>
                <w:rFonts w:cs="Tahoma"/>
                <w:color w:val="000000"/>
                <w:sz w:val="20"/>
                <w:szCs w:val="20"/>
              </w:rPr>
              <w:t>ger</w:t>
            </w:r>
          </w:p>
        </w:tc>
        <w:tc>
          <w:tcPr>
            <w:tcW w:w="1560" w:type="dxa"/>
            <w:shd w:val="clear" w:color="auto" w:fill="D6E3BC" w:themeFill="accent3" w:themeFillTint="66"/>
            <w:noWrap/>
            <w:vAlign w:val="center"/>
            <w:hideMark/>
          </w:tcPr>
          <w:p w:rsidR="001E30B4" w:rsidRDefault="005F5B63" w:rsidP="00044AF0">
            <w:pPr>
              <w:spacing w:beforeLines="60" w:afterLines="60" w:line="240" w:lineRule="auto"/>
              <w:rPr>
                <w:rFonts w:cs="Tahoma"/>
                <w:color w:val="000000"/>
                <w:sz w:val="20"/>
                <w:szCs w:val="20"/>
              </w:rPr>
            </w:pPr>
            <w:r w:rsidRPr="00550083">
              <w:rPr>
                <w:rFonts w:cs="Tahoma"/>
                <w:color w:val="000000"/>
                <w:sz w:val="20"/>
                <w:szCs w:val="20"/>
              </w:rPr>
              <w:t>Beratungs</w:t>
            </w:r>
            <w:r w:rsidRPr="00550083">
              <w:rPr>
                <w:rFonts w:cs="Tahoma"/>
                <w:color w:val="000000"/>
                <w:sz w:val="20"/>
                <w:szCs w:val="20"/>
              </w:rPr>
              <w:softHyphen/>
              <w:t>einrichtungen</w:t>
            </w:r>
          </w:p>
        </w:tc>
      </w:tr>
      <w:tr w:rsidR="005F5B63" w:rsidRPr="00550083" w:rsidTr="00142A4B">
        <w:trPr>
          <w:trHeight w:val="300"/>
        </w:trPr>
        <w:tc>
          <w:tcPr>
            <w:tcW w:w="5954" w:type="dxa"/>
          </w:tcPr>
          <w:p w:rsidR="00587957" w:rsidRDefault="005F5B63" w:rsidP="00044AF0">
            <w:pPr>
              <w:spacing w:beforeLines="60" w:afterLines="60" w:line="240" w:lineRule="auto"/>
              <w:rPr>
                <w:rFonts w:cs="Tahoma"/>
                <w:color w:val="000000"/>
                <w:sz w:val="20"/>
                <w:szCs w:val="20"/>
              </w:rPr>
            </w:pPr>
            <w:r w:rsidRPr="00550083">
              <w:rPr>
                <w:rFonts w:cs="Tahoma"/>
                <w:color w:val="000000"/>
                <w:sz w:val="20"/>
                <w:szCs w:val="20"/>
              </w:rPr>
              <w:t>Voraussetzung für eine gute Integration von Nicht-ÖsterreicherInnen ist ein ausgewogener ethnischer Mix in den Siedlungsräumen</w:t>
            </w:r>
          </w:p>
        </w:tc>
        <w:tc>
          <w:tcPr>
            <w:tcW w:w="1559" w:type="dxa"/>
            <w:shd w:val="clear" w:color="auto" w:fill="auto"/>
            <w:noWrap/>
            <w:vAlign w:val="center"/>
            <w:hideMark/>
          </w:tcPr>
          <w:p w:rsidR="00587957" w:rsidRDefault="005F5B63" w:rsidP="00044AF0">
            <w:pPr>
              <w:spacing w:beforeLines="60" w:afterLines="60" w:line="240" w:lineRule="auto"/>
              <w:ind w:right="355"/>
              <w:jc w:val="right"/>
              <w:rPr>
                <w:rFonts w:cs="Tahoma"/>
                <w:color w:val="000000"/>
                <w:sz w:val="20"/>
                <w:szCs w:val="20"/>
              </w:rPr>
            </w:pPr>
            <w:r w:rsidRPr="00550083">
              <w:rPr>
                <w:rFonts w:cs="Tahoma"/>
                <w:color w:val="000000"/>
                <w:sz w:val="20"/>
                <w:szCs w:val="20"/>
              </w:rPr>
              <w:t>86%</w:t>
            </w:r>
          </w:p>
        </w:tc>
        <w:tc>
          <w:tcPr>
            <w:tcW w:w="1559" w:type="dxa"/>
            <w:shd w:val="clear" w:color="auto" w:fill="auto"/>
            <w:noWrap/>
            <w:vAlign w:val="center"/>
            <w:hideMark/>
          </w:tcPr>
          <w:p w:rsidR="00587957" w:rsidRDefault="005F5B63" w:rsidP="00044AF0">
            <w:pPr>
              <w:spacing w:beforeLines="60" w:afterLines="60" w:line="240" w:lineRule="auto"/>
              <w:ind w:right="355"/>
              <w:jc w:val="right"/>
              <w:rPr>
                <w:rFonts w:cs="Tahoma"/>
                <w:color w:val="000000"/>
                <w:sz w:val="20"/>
                <w:szCs w:val="20"/>
              </w:rPr>
            </w:pPr>
            <w:r w:rsidRPr="00550083">
              <w:rPr>
                <w:rFonts w:cs="Tahoma"/>
                <w:color w:val="000000"/>
                <w:sz w:val="20"/>
                <w:szCs w:val="20"/>
              </w:rPr>
              <w:t>95%</w:t>
            </w:r>
          </w:p>
        </w:tc>
        <w:tc>
          <w:tcPr>
            <w:tcW w:w="1559" w:type="dxa"/>
            <w:shd w:val="clear" w:color="auto" w:fill="auto"/>
            <w:noWrap/>
            <w:vAlign w:val="center"/>
            <w:hideMark/>
          </w:tcPr>
          <w:p w:rsidR="00587957" w:rsidRDefault="005F5B63" w:rsidP="00044AF0">
            <w:pPr>
              <w:spacing w:beforeLines="60" w:afterLines="60" w:line="240" w:lineRule="auto"/>
              <w:ind w:right="355"/>
              <w:jc w:val="right"/>
              <w:rPr>
                <w:rFonts w:cs="Tahoma"/>
                <w:color w:val="000000"/>
                <w:sz w:val="20"/>
                <w:szCs w:val="20"/>
              </w:rPr>
            </w:pPr>
            <w:r w:rsidRPr="00550083">
              <w:rPr>
                <w:rFonts w:cs="Tahoma"/>
                <w:color w:val="000000"/>
                <w:sz w:val="20"/>
                <w:szCs w:val="20"/>
              </w:rPr>
              <w:t>91%</w:t>
            </w:r>
          </w:p>
        </w:tc>
        <w:tc>
          <w:tcPr>
            <w:tcW w:w="1559" w:type="dxa"/>
            <w:shd w:val="clear" w:color="auto" w:fill="auto"/>
            <w:noWrap/>
            <w:vAlign w:val="center"/>
            <w:hideMark/>
          </w:tcPr>
          <w:p w:rsidR="00587957" w:rsidRDefault="005F5B63" w:rsidP="00044AF0">
            <w:pPr>
              <w:spacing w:beforeLines="60" w:afterLines="60" w:line="240" w:lineRule="auto"/>
              <w:ind w:right="355"/>
              <w:jc w:val="right"/>
              <w:rPr>
                <w:rFonts w:cs="Tahoma"/>
                <w:color w:val="000000"/>
                <w:sz w:val="20"/>
                <w:szCs w:val="20"/>
              </w:rPr>
            </w:pPr>
            <w:r w:rsidRPr="00550083">
              <w:rPr>
                <w:rFonts w:cs="Tahoma"/>
                <w:color w:val="000000"/>
                <w:sz w:val="20"/>
                <w:szCs w:val="20"/>
              </w:rPr>
              <w:t>83%</w:t>
            </w:r>
          </w:p>
        </w:tc>
        <w:tc>
          <w:tcPr>
            <w:tcW w:w="1560" w:type="dxa"/>
            <w:shd w:val="clear" w:color="auto" w:fill="auto"/>
            <w:noWrap/>
            <w:vAlign w:val="center"/>
            <w:hideMark/>
          </w:tcPr>
          <w:p w:rsidR="00587957" w:rsidRDefault="005F5B63" w:rsidP="00044AF0">
            <w:pPr>
              <w:spacing w:beforeLines="60" w:afterLines="60" w:line="240" w:lineRule="auto"/>
              <w:ind w:right="355"/>
              <w:jc w:val="right"/>
              <w:rPr>
                <w:rFonts w:cs="Tahoma"/>
                <w:color w:val="000000"/>
                <w:sz w:val="20"/>
                <w:szCs w:val="20"/>
              </w:rPr>
            </w:pPr>
            <w:r w:rsidRPr="00550083">
              <w:rPr>
                <w:rFonts w:cs="Tahoma"/>
                <w:color w:val="000000"/>
                <w:sz w:val="20"/>
                <w:szCs w:val="20"/>
              </w:rPr>
              <w:t>87%</w:t>
            </w:r>
          </w:p>
        </w:tc>
      </w:tr>
      <w:tr w:rsidR="005F5B63" w:rsidRPr="00550083" w:rsidTr="00142A4B">
        <w:trPr>
          <w:trHeight w:val="300"/>
        </w:trPr>
        <w:tc>
          <w:tcPr>
            <w:tcW w:w="5954" w:type="dxa"/>
          </w:tcPr>
          <w:p w:rsidR="00587957" w:rsidRDefault="005F5B63" w:rsidP="00044AF0">
            <w:pPr>
              <w:spacing w:beforeLines="60" w:afterLines="60" w:line="240" w:lineRule="auto"/>
              <w:rPr>
                <w:rFonts w:cs="Tahoma"/>
                <w:color w:val="000000"/>
                <w:sz w:val="20"/>
                <w:szCs w:val="20"/>
              </w:rPr>
            </w:pPr>
            <w:r w:rsidRPr="00550083">
              <w:rPr>
                <w:rFonts w:cs="Tahoma"/>
                <w:color w:val="000000"/>
                <w:sz w:val="20"/>
                <w:szCs w:val="20"/>
              </w:rPr>
              <w:t>Es darf kein Ghetto entstehen, im dem viele belastete Haushalte zusammenleben.</w:t>
            </w:r>
          </w:p>
        </w:tc>
        <w:tc>
          <w:tcPr>
            <w:tcW w:w="1559" w:type="dxa"/>
            <w:shd w:val="clear" w:color="auto" w:fill="auto"/>
            <w:noWrap/>
            <w:vAlign w:val="center"/>
            <w:hideMark/>
          </w:tcPr>
          <w:p w:rsidR="00587957" w:rsidRDefault="005F5B63" w:rsidP="00044AF0">
            <w:pPr>
              <w:spacing w:beforeLines="60" w:afterLines="60" w:line="240" w:lineRule="auto"/>
              <w:ind w:right="355"/>
              <w:jc w:val="right"/>
              <w:rPr>
                <w:rFonts w:cs="Tahoma"/>
                <w:color w:val="000000"/>
                <w:sz w:val="20"/>
                <w:szCs w:val="20"/>
              </w:rPr>
            </w:pPr>
            <w:r w:rsidRPr="00550083">
              <w:rPr>
                <w:rFonts w:cs="Tahoma"/>
                <w:color w:val="000000"/>
                <w:sz w:val="20"/>
                <w:szCs w:val="20"/>
              </w:rPr>
              <w:t>88%</w:t>
            </w:r>
          </w:p>
        </w:tc>
        <w:tc>
          <w:tcPr>
            <w:tcW w:w="1559" w:type="dxa"/>
            <w:shd w:val="clear" w:color="auto" w:fill="auto"/>
            <w:noWrap/>
            <w:vAlign w:val="center"/>
            <w:hideMark/>
          </w:tcPr>
          <w:p w:rsidR="00587957" w:rsidRDefault="005F5B63" w:rsidP="00044AF0">
            <w:pPr>
              <w:spacing w:beforeLines="60" w:afterLines="60" w:line="240" w:lineRule="auto"/>
              <w:ind w:right="355"/>
              <w:jc w:val="right"/>
              <w:rPr>
                <w:rFonts w:cs="Tahoma"/>
                <w:color w:val="000000"/>
                <w:sz w:val="20"/>
                <w:szCs w:val="20"/>
              </w:rPr>
            </w:pPr>
            <w:r w:rsidRPr="00550083">
              <w:rPr>
                <w:rFonts w:cs="Tahoma"/>
                <w:color w:val="000000"/>
                <w:sz w:val="20"/>
                <w:szCs w:val="20"/>
              </w:rPr>
              <w:t>93%</w:t>
            </w:r>
          </w:p>
        </w:tc>
        <w:tc>
          <w:tcPr>
            <w:tcW w:w="1559" w:type="dxa"/>
            <w:shd w:val="clear" w:color="auto" w:fill="auto"/>
            <w:noWrap/>
            <w:vAlign w:val="center"/>
            <w:hideMark/>
          </w:tcPr>
          <w:p w:rsidR="00587957" w:rsidRDefault="005F5B63" w:rsidP="00044AF0">
            <w:pPr>
              <w:spacing w:beforeLines="60" w:afterLines="60" w:line="240" w:lineRule="auto"/>
              <w:ind w:right="355"/>
              <w:jc w:val="right"/>
              <w:rPr>
                <w:rFonts w:cs="Tahoma"/>
                <w:color w:val="000000"/>
                <w:sz w:val="20"/>
                <w:szCs w:val="20"/>
              </w:rPr>
            </w:pPr>
            <w:r w:rsidRPr="00550083">
              <w:rPr>
                <w:rFonts w:cs="Tahoma"/>
                <w:color w:val="000000"/>
                <w:sz w:val="20"/>
                <w:szCs w:val="20"/>
              </w:rPr>
              <w:t>91%</w:t>
            </w:r>
          </w:p>
        </w:tc>
        <w:tc>
          <w:tcPr>
            <w:tcW w:w="1559" w:type="dxa"/>
            <w:shd w:val="clear" w:color="auto" w:fill="auto"/>
            <w:noWrap/>
            <w:vAlign w:val="center"/>
            <w:hideMark/>
          </w:tcPr>
          <w:p w:rsidR="00587957" w:rsidRDefault="005F5B63" w:rsidP="00044AF0">
            <w:pPr>
              <w:spacing w:beforeLines="60" w:afterLines="60" w:line="240" w:lineRule="auto"/>
              <w:ind w:right="355"/>
              <w:jc w:val="right"/>
              <w:rPr>
                <w:rFonts w:cs="Tahoma"/>
                <w:color w:val="000000"/>
                <w:sz w:val="20"/>
                <w:szCs w:val="20"/>
              </w:rPr>
            </w:pPr>
            <w:r w:rsidRPr="00550083">
              <w:rPr>
                <w:rFonts w:cs="Tahoma"/>
                <w:color w:val="000000"/>
                <w:sz w:val="20"/>
                <w:szCs w:val="20"/>
              </w:rPr>
              <w:t>83%</w:t>
            </w:r>
          </w:p>
        </w:tc>
        <w:tc>
          <w:tcPr>
            <w:tcW w:w="1560" w:type="dxa"/>
            <w:shd w:val="clear" w:color="auto" w:fill="auto"/>
            <w:noWrap/>
            <w:vAlign w:val="center"/>
            <w:hideMark/>
          </w:tcPr>
          <w:p w:rsidR="00587957" w:rsidRDefault="005F5B63" w:rsidP="00044AF0">
            <w:pPr>
              <w:spacing w:beforeLines="60" w:afterLines="60" w:line="240" w:lineRule="auto"/>
              <w:ind w:right="355"/>
              <w:jc w:val="right"/>
              <w:rPr>
                <w:rFonts w:cs="Tahoma"/>
                <w:color w:val="000000"/>
                <w:sz w:val="20"/>
                <w:szCs w:val="20"/>
              </w:rPr>
            </w:pPr>
            <w:r w:rsidRPr="00550083">
              <w:rPr>
                <w:rFonts w:cs="Tahoma"/>
                <w:color w:val="000000"/>
                <w:sz w:val="20"/>
                <w:szCs w:val="20"/>
              </w:rPr>
              <w:t>90%</w:t>
            </w:r>
          </w:p>
        </w:tc>
      </w:tr>
      <w:tr w:rsidR="005F5B63" w:rsidRPr="00550083" w:rsidTr="00142A4B">
        <w:trPr>
          <w:trHeight w:val="300"/>
        </w:trPr>
        <w:tc>
          <w:tcPr>
            <w:tcW w:w="5954" w:type="dxa"/>
          </w:tcPr>
          <w:p w:rsidR="00587957" w:rsidRDefault="005F5B63" w:rsidP="00044AF0">
            <w:pPr>
              <w:spacing w:beforeLines="60" w:afterLines="60" w:line="240" w:lineRule="auto"/>
              <w:rPr>
                <w:rFonts w:cs="Tahoma"/>
                <w:color w:val="000000"/>
                <w:sz w:val="20"/>
                <w:szCs w:val="20"/>
              </w:rPr>
            </w:pPr>
            <w:r w:rsidRPr="00550083">
              <w:rPr>
                <w:rFonts w:cs="Tahoma"/>
                <w:color w:val="000000"/>
                <w:sz w:val="20"/>
                <w:szCs w:val="20"/>
              </w:rPr>
              <w:t>Zu viele Nicht-ÖsterreicherInnen in einer Siedlung können zu einer Parallelgesellschaft führen.</w:t>
            </w:r>
          </w:p>
        </w:tc>
        <w:tc>
          <w:tcPr>
            <w:tcW w:w="1559" w:type="dxa"/>
            <w:shd w:val="clear" w:color="auto" w:fill="auto"/>
            <w:noWrap/>
            <w:vAlign w:val="center"/>
            <w:hideMark/>
          </w:tcPr>
          <w:p w:rsidR="00587957" w:rsidRDefault="005F5B63" w:rsidP="00044AF0">
            <w:pPr>
              <w:spacing w:beforeLines="60" w:afterLines="60" w:line="240" w:lineRule="auto"/>
              <w:ind w:right="355"/>
              <w:jc w:val="right"/>
              <w:rPr>
                <w:rFonts w:cs="Tahoma"/>
                <w:color w:val="000000"/>
                <w:sz w:val="20"/>
                <w:szCs w:val="20"/>
              </w:rPr>
            </w:pPr>
            <w:r w:rsidRPr="00550083">
              <w:rPr>
                <w:rFonts w:cs="Tahoma"/>
                <w:color w:val="000000"/>
                <w:sz w:val="20"/>
                <w:szCs w:val="20"/>
              </w:rPr>
              <w:t>72%</w:t>
            </w:r>
          </w:p>
        </w:tc>
        <w:tc>
          <w:tcPr>
            <w:tcW w:w="1559" w:type="dxa"/>
            <w:shd w:val="clear" w:color="auto" w:fill="auto"/>
            <w:noWrap/>
            <w:vAlign w:val="center"/>
            <w:hideMark/>
          </w:tcPr>
          <w:p w:rsidR="00587957" w:rsidRDefault="005F5B63" w:rsidP="00044AF0">
            <w:pPr>
              <w:spacing w:beforeLines="60" w:afterLines="60" w:line="240" w:lineRule="auto"/>
              <w:ind w:right="355"/>
              <w:jc w:val="right"/>
              <w:rPr>
                <w:rFonts w:cs="Tahoma"/>
                <w:color w:val="000000"/>
                <w:sz w:val="20"/>
                <w:szCs w:val="20"/>
              </w:rPr>
            </w:pPr>
            <w:r w:rsidRPr="00550083">
              <w:rPr>
                <w:rFonts w:cs="Tahoma"/>
                <w:color w:val="000000"/>
                <w:sz w:val="20"/>
                <w:szCs w:val="20"/>
              </w:rPr>
              <w:t>83%</w:t>
            </w:r>
          </w:p>
        </w:tc>
        <w:tc>
          <w:tcPr>
            <w:tcW w:w="1559" w:type="dxa"/>
            <w:shd w:val="clear" w:color="auto" w:fill="auto"/>
            <w:noWrap/>
            <w:vAlign w:val="center"/>
            <w:hideMark/>
          </w:tcPr>
          <w:p w:rsidR="00587957" w:rsidRDefault="005F5B63" w:rsidP="00044AF0">
            <w:pPr>
              <w:spacing w:beforeLines="60" w:afterLines="60" w:line="240" w:lineRule="auto"/>
              <w:ind w:right="355"/>
              <w:jc w:val="right"/>
              <w:rPr>
                <w:rFonts w:cs="Tahoma"/>
                <w:color w:val="000000"/>
                <w:sz w:val="20"/>
                <w:szCs w:val="20"/>
              </w:rPr>
            </w:pPr>
            <w:r w:rsidRPr="00550083">
              <w:rPr>
                <w:rFonts w:cs="Tahoma"/>
                <w:color w:val="000000"/>
                <w:sz w:val="20"/>
                <w:szCs w:val="20"/>
              </w:rPr>
              <w:t>86%</w:t>
            </w:r>
          </w:p>
        </w:tc>
        <w:tc>
          <w:tcPr>
            <w:tcW w:w="1559" w:type="dxa"/>
            <w:shd w:val="clear" w:color="auto" w:fill="auto"/>
            <w:noWrap/>
            <w:vAlign w:val="center"/>
            <w:hideMark/>
          </w:tcPr>
          <w:p w:rsidR="00587957" w:rsidRDefault="005F5B63" w:rsidP="00044AF0">
            <w:pPr>
              <w:spacing w:beforeLines="60" w:afterLines="60" w:line="240" w:lineRule="auto"/>
              <w:ind w:right="355"/>
              <w:jc w:val="right"/>
              <w:rPr>
                <w:rFonts w:cs="Tahoma"/>
                <w:color w:val="000000"/>
                <w:sz w:val="20"/>
                <w:szCs w:val="20"/>
              </w:rPr>
            </w:pPr>
            <w:r w:rsidRPr="00550083">
              <w:rPr>
                <w:rFonts w:cs="Tahoma"/>
                <w:color w:val="000000"/>
                <w:sz w:val="20"/>
                <w:szCs w:val="20"/>
              </w:rPr>
              <w:t>61%</w:t>
            </w:r>
          </w:p>
        </w:tc>
        <w:tc>
          <w:tcPr>
            <w:tcW w:w="1560" w:type="dxa"/>
            <w:shd w:val="clear" w:color="auto" w:fill="auto"/>
            <w:noWrap/>
            <w:vAlign w:val="center"/>
            <w:hideMark/>
          </w:tcPr>
          <w:p w:rsidR="00587957" w:rsidRDefault="005F5B63" w:rsidP="00044AF0">
            <w:pPr>
              <w:spacing w:beforeLines="60" w:afterLines="60" w:line="240" w:lineRule="auto"/>
              <w:ind w:right="355"/>
              <w:jc w:val="right"/>
              <w:rPr>
                <w:rFonts w:cs="Tahoma"/>
                <w:color w:val="000000"/>
                <w:sz w:val="20"/>
                <w:szCs w:val="20"/>
              </w:rPr>
            </w:pPr>
            <w:r w:rsidRPr="00550083">
              <w:rPr>
                <w:rFonts w:cs="Tahoma"/>
                <w:color w:val="000000"/>
                <w:sz w:val="20"/>
                <w:szCs w:val="20"/>
              </w:rPr>
              <w:t>64%</w:t>
            </w:r>
          </w:p>
        </w:tc>
      </w:tr>
      <w:tr w:rsidR="005F5B63" w:rsidRPr="00550083" w:rsidTr="00142A4B">
        <w:trPr>
          <w:trHeight w:val="300"/>
        </w:trPr>
        <w:tc>
          <w:tcPr>
            <w:tcW w:w="5954" w:type="dxa"/>
          </w:tcPr>
          <w:p w:rsidR="00587957" w:rsidRDefault="005F5B63" w:rsidP="00044AF0">
            <w:pPr>
              <w:spacing w:beforeLines="60" w:afterLines="60" w:line="240" w:lineRule="auto"/>
              <w:rPr>
                <w:rFonts w:cs="Tahoma"/>
                <w:color w:val="000000"/>
                <w:sz w:val="20"/>
                <w:szCs w:val="20"/>
              </w:rPr>
            </w:pPr>
            <w:r w:rsidRPr="00550083">
              <w:rPr>
                <w:rFonts w:cs="Tahoma"/>
                <w:color w:val="000000"/>
                <w:sz w:val="20"/>
                <w:szCs w:val="20"/>
              </w:rPr>
              <w:t>Bei der Wohnungsvergabe sollten neben der Staatsbürgerschaft auch Fragen im Zusammenhang mit dem Migrationshintergrund wie Muttersprache, Religion etc. berücksichtigt werden.</w:t>
            </w:r>
          </w:p>
        </w:tc>
        <w:tc>
          <w:tcPr>
            <w:tcW w:w="1559" w:type="dxa"/>
            <w:shd w:val="clear" w:color="auto" w:fill="auto"/>
            <w:noWrap/>
            <w:vAlign w:val="center"/>
            <w:hideMark/>
          </w:tcPr>
          <w:p w:rsidR="00587957" w:rsidRDefault="005F5B63" w:rsidP="00044AF0">
            <w:pPr>
              <w:spacing w:beforeLines="60" w:afterLines="60" w:line="240" w:lineRule="auto"/>
              <w:ind w:right="355"/>
              <w:jc w:val="right"/>
              <w:rPr>
                <w:rFonts w:cs="Tahoma"/>
                <w:color w:val="000000"/>
                <w:sz w:val="20"/>
                <w:szCs w:val="20"/>
              </w:rPr>
            </w:pPr>
            <w:r w:rsidRPr="00550083">
              <w:rPr>
                <w:rFonts w:cs="Tahoma"/>
                <w:color w:val="000000"/>
                <w:sz w:val="20"/>
                <w:szCs w:val="20"/>
              </w:rPr>
              <w:t>44%</w:t>
            </w:r>
          </w:p>
        </w:tc>
        <w:tc>
          <w:tcPr>
            <w:tcW w:w="1559" w:type="dxa"/>
            <w:shd w:val="clear" w:color="auto" w:fill="auto"/>
            <w:noWrap/>
            <w:vAlign w:val="center"/>
            <w:hideMark/>
          </w:tcPr>
          <w:p w:rsidR="00587957" w:rsidRDefault="005F5B63" w:rsidP="00044AF0">
            <w:pPr>
              <w:spacing w:beforeLines="60" w:afterLines="60" w:line="240" w:lineRule="auto"/>
              <w:ind w:right="355"/>
              <w:jc w:val="right"/>
              <w:rPr>
                <w:rFonts w:cs="Tahoma"/>
                <w:color w:val="000000"/>
                <w:sz w:val="20"/>
                <w:szCs w:val="20"/>
              </w:rPr>
            </w:pPr>
            <w:r w:rsidRPr="00550083">
              <w:rPr>
                <w:rFonts w:cs="Tahoma"/>
                <w:color w:val="000000"/>
                <w:sz w:val="20"/>
                <w:szCs w:val="20"/>
              </w:rPr>
              <w:t>50%</w:t>
            </w:r>
          </w:p>
        </w:tc>
        <w:tc>
          <w:tcPr>
            <w:tcW w:w="1559" w:type="dxa"/>
            <w:shd w:val="clear" w:color="auto" w:fill="auto"/>
            <w:noWrap/>
            <w:vAlign w:val="center"/>
            <w:hideMark/>
          </w:tcPr>
          <w:p w:rsidR="00587957" w:rsidRDefault="005F5B63" w:rsidP="00044AF0">
            <w:pPr>
              <w:spacing w:beforeLines="60" w:afterLines="60" w:line="240" w:lineRule="auto"/>
              <w:ind w:right="355"/>
              <w:jc w:val="right"/>
              <w:rPr>
                <w:rFonts w:cs="Tahoma"/>
                <w:color w:val="000000"/>
                <w:sz w:val="20"/>
                <w:szCs w:val="20"/>
              </w:rPr>
            </w:pPr>
            <w:r w:rsidRPr="00550083">
              <w:rPr>
                <w:rFonts w:cs="Tahoma"/>
                <w:color w:val="000000"/>
                <w:sz w:val="20"/>
                <w:szCs w:val="20"/>
              </w:rPr>
              <w:t>58%</w:t>
            </w:r>
          </w:p>
        </w:tc>
        <w:tc>
          <w:tcPr>
            <w:tcW w:w="1559" w:type="dxa"/>
            <w:shd w:val="clear" w:color="auto" w:fill="auto"/>
            <w:noWrap/>
            <w:vAlign w:val="center"/>
            <w:hideMark/>
          </w:tcPr>
          <w:p w:rsidR="00587957" w:rsidRDefault="005F5B63" w:rsidP="00044AF0">
            <w:pPr>
              <w:spacing w:beforeLines="60" w:afterLines="60" w:line="240" w:lineRule="auto"/>
              <w:ind w:right="355"/>
              <w:jc w:val="right"/>
              <w:rPr>
                <w:rFonts w:cs="Tahoma"/>
                <w:color w:val="000000"/>
                <w:sz w:val="20"/>
                <w:szCs w:val="20"/>
              </w:rPr>
            </w:pPr>
            <w:r w:rsidRPr="00550083">
              <w:rPr>
                <w:rFonts w:cs="Tahoma"/>
                <w:color w:val="000000"/>
                <w:sz w:val="20"/>
                <w:szCs w:val="20"/>
              </w:rPr>
              <w:t>39%</w:t>
            </w:r>
          </w:p>
        </w:tc>
        <w:tc>
          <w:tcPr>
            <w:tcW w:w="1560" w:type="dxa"/>
            <w:shd w:val="clear" w:color="auto" w:fill="auto"/>
            <w:noWrap/>
            <w:vAlign w:val="center"/>
            <w:hideMark/>
          </w:tcPr>
          <w:p w:rsidR="00587957" w:rsidRDefault="005F5B63" w:rsidP="00044AF0">
            <w:pPr>
              <w:spacing w:beforeLines="60" w:afterLines="60" w:line="240" w:lineRule="auto"/>
              <w:ind w:right="355"/>
              <w:jc w:val="right"/>
              <w:rPr>
                <w:rFonts w:cs="Tahoma"/>
                <w:color w:val="000000"/>
                <w:sz w:val="20"/>
                <w:szCs w:val="20"/>
              </w:rPr>
            </w:pPr>
            <w:r w:rsidRPr="00550083">
              <w:rPr>
                <w:rFonts w:cs="Tahoma"/>
                <w:color w:val="000000"/>
                <w:sz w:val="20"/>
                <w:szCs w:val="20"/>
              </w:rPr>
              <w:t>45%</w:t>
            </w:r>
          </w:p>
        </w:tc>
      </w:tr>
      <w:tr w:rsidR="005F5B63" w:rsidRPr="00550083" w:rsidTr="00142A4B">
        <w:trPr>
          <w:trHeight w:val="300"/>
        </w:trPr>
        <w:tc>
          <w:tcPr>
            <w:tcW w:w="5954" w:type="dxa"/>
          </w:tcPr>
          <w:p w:rsidR="00587957" w:rsidRDefault="005F5B63" w:rsidP="00044AF0">
            <w:pPr>
              <w:spacing w:beforeLines="60" w:afterLines="60" w:line="240" w:lineRule="auto"/>
              <w:rPr>
                <w:rFonts w:cs="Tahoma"/>
                <w:color w:val="000000"/>
                <w:sz w:val="20"/>
                <w:szCs w:val="20"/>
              </w:rPr>
            </w:pPr>
            <w:r w:rsidRPr="00550083">
              <w:rPr>
                <w:rFonts w:cs="Tahoma"/>
                <w:color w:val="000000"/>
                <w:sz w:val="20"/>
                <w:szCs w:val="20"/>
              </w:rPr>
              <w:t>Neue MieterInnen müssen gut zur Hausgemeinschaft passen.</w:t>
            </w:r>
          </w:p>
        </w:tc>
        <w:tc>
          <w:tcPr>
            <w:tcW w:w="1559" w:type="dxa"/>
            <w:shd w:val="clear" w:color="auto" w:fill="auto"/>
            <w:noWrap/>
            <w:vAlign w:val="center"/>
            <w:hideMark/>
          </w:tcPr>
          <w:p w:rsidR="00587957" w:rsidRDefault="005F5B63" w:rsidP="00044AF0">
            <w:pPr>
              <w:spacing w:beforeLines="60" w:afterLines="60" w:line="240" w:lineRule="auto"/>
              <w:ind w:right="355"/>
              <w:jc w:val="right"/>
              <w:rPr>
                <w:rFonts w:cs="Tahoma"/>
                <w:color w:val="000000"/>
                <w:sz w:val="20"/>
                <w:szCs w:val="20"/>
              </w:rPr>
            </w:pPr>
            <w:r w:rsidRPr="00550083">
              <w:rPr>
                <w:rFonts w:cs="Tahoma"/>
                <w:color w:val="000000"/>
                <w:sz w:val="20"/>
                <w:szCs w:val="20"/>
              </w:rPr>
              <w:t>55%</w:t>
            </w:r>
          </w:p>
        </w:tc>
        <w:tc>
          <w:tcPr>
            <w:tcW w:w="1559" w:type="dxa"/>
            <w:shd w:val="clear" w:color="auto" w:fill="auto"/>
            <w:noWrap/>
            <w:vAlign w:val="center"/>
            <w:hideMark/>
          </w:tcPr>
          <w:p w:rsidR="00587957" w:rsidRDefault="005F5B63" w:rsidP="00044AF0">
            <w:pPr>
              <w:spacing w:beforeLines="60" w:afterLines="60" w:line="240" w:lineRule="auto"/>
              <w:ind w:right="355"/>
              <w:jc w:val="right"/>
              <w:rPr>
                <w:rFonts w:cs="Tahoma"/>
                <w:color w:val="000000"/>
                <w:sz w:val="20"/>
                <w:szCs w:val="20"/>
              </w:rPr>
            </w:pPr>
            <w:r w:rsidRPr="00550083">
              <w:rPr>
                <w:rFonts w:cs="Tahoma"/>
                <w:color w:val="000000"/>
                <w:sz w:val="20"/>
                <w:szCs w:val="20"/>
              </w:rPr>
              <w:t>69%</w:t>
            </w:r>
          </w:p>
        </w:tc>
        <w:tc>
          <w:tcPr>
            <w:tcW w:w="1559" w:type="dxa"/>
            <w:shd w:val="clear" w:color="auto" w:fill="auto"/>
            <w:noWrap/>
            <w:vAlign w:val="center"/>
            <w:hideMark/>
          </w:tcPr>
          <w:p w:rsidR="00587957" w:rsidRDefault="005F5B63" w:rsidP="00044AF0">
            <w:pPr>
              <w:spacing w:beforeLines="60" w:afterLines="60" w:line="240" w:lineRule="auto"/>
              <w:ind w:right="355"/>
              <w:jc w:val="right"/>
              <w:rPr>
                <w:rFonts w:cs="Tahoma"/>
                <w:color w:val="000000"/>
                <w:sz w:val="20"/>
                <w:szCs w:val="20"/>
              </w:rPr>
            </w:pPr>
            <w:r w:rsidRPr="00550083">
              <w:rPr>
                <w:rFonts w:cs="Tahoma"/>
                <w:color w:val="000000"/>
                <w:sz w:val="20"/>
                <w:szCs w:val="20"/>
              </w:rPr>
              <w:t>65%</w:t>
            </w:r>
          </w:p>
        </w:tc>
        <w:tc>
          <w:tcPr>
            <w:tcW w:w="1559" w:type="dxa"/>
            <w:shd w:val="clear" w:color="auto" w:fill="auto"/>
            <w:noWrap/>
            <w:vAlign w:val="center"/>
            <w:hideMark/>
          </w:tcPr>
          <w:p w:rsidR="00587957" w:rsidRDefault="005F5B63" w:rsidP="00044AF0">
            <w:pPr>
              <w:spacing w:beforeLines="60" w:afterLines="60" w:line="240" w:lineRule="auto"/>
              <w:ind w:right="355"/>
              <w:jc w:val="right"/>
              <w:rPr>
                <w:rFonts w:cs="Tahoma"/>
                <w:color w:val="000000"/>
                <w:sz w:val="20"/>
                <w:szCs w:val="20"/>
              </w:rPr>
            </w:pPr>
            <w:r w:rsidRPr="00550083">
              <w:rPr>
                <w:rFonts w:cs="Tahoma"/>
                <w:color w:val="000000"/>
                <w:sz w:val="20"/>
                <w:szCs w:val="20"/>
              </w:rPr>
              <w:t>61%</w:t>
            </w:r>
          </w:p>
        </w:tc>
        <w:tc>
          <w:tcPr>
            <w:tcW w:w="1560" w:type="dxa"/>
            <w:shd w:val="clear" w:color="auto" w:fill="auto"/>
            <w:noWrap/>
            <w:vAlign w:val="center"/>
            <w:hideMark/>
          </w:tcPr>
          <w:p w:rsidR="00587957" w:rsidRDefault="005F5B63" w:rsidP="00044AF0">
            <w:pPr>
              <w:spacing w:beforeLines="60" w:afterLines="60" w:line="240" w:lineRule="auto"/>
              <w:ind w:right="355"/>
              <w:jc w:val="right"/>
              <w:rPr>
                <w:rFonts w:cs="Tahoma"/>
                <w:color w:val="000000"/>
                <w:sz w:val="20"/>
                <w:szCs w:val="20"/>
              </w:rPr>
            </w:pPr>
            <w:r w:rsidRPr="00550083">
              <w:rPr>
                <w:rFonts w:cs="Tahoma"/>
                <w:color w:val="000000"/>
                <w:sz w:val="20"/>
                <w:szCs w:val="20"/>
              </w:rPr>
              <w:t>47%</w:t>
            </w:r>
          </w:p>
        </w:tc>
      </w:tr>
      <w:tr w:rsidR="005F5B63" w:rsidRPr="00550083" w:rsidTr="00142A4B">
        <w:trPr>
          <w:trHeight w:val="300"/>
        </w:trPr>
        <w:tc>
          <w:tcPr>
            <w:tcW w:w="5954" w:type="dxa"/>
          </w:tcPr>
          <w:p w:rsidR="00587957" w:rsidRDefault="005F5B63" w:rsidP="00044AF0">
            <w:pPr>
              <w:spacing w:beforeLines="60" w:afterLines="60" w:line="240" w:lineRule="auto"/>
              <w:rPr>
                <w:rFonts w:cs="Tahoma"/>
                <w:color w:val="000000"/>
                <w:sz w:val="20"/>
                <w:szCs w:val="20"/>
              </w:rPr>
            </w:pPr>
            <w:r w:rsidRPr="00550083">
              <w:rPr>
                <w:rFonts w:cs="Tahoma"/>
                <w:color w:val="000000"/>
                <w:sz w:val="20"/>
                <w:szCs w:val="20"/>
              </w:rPr>
              <w:t>Bevor eine nicht-österreichische Familie eine Wohnung erhält, ist deren Bereitschaft zu überprüfen, sich in die Hausgemeinschaft einzufügen.</w:t>
            </w:r>
          </w:p>
        </w:tc>
        <w:tc>
          <w:tcPr>
            <w:tcW w:w="1559" w:type="dxa"/>
            <w:shd w:val="clear" w:color="auto" w:fill="auto"/>
            <w:noWrap/>
            <w:vAlign w:val="center"/>
            <w:hideMark/>
          </w:tcPr>
          <w:p w:rsidR="00587957" w:rsidRDefault="005F5B63" w:rsidP="00044AF0">
            <w:pPr>
              <w:spacing w:beforeLines="60" w:afterLines="60" w:line="240" w:lineRule="auto"/>
              <w:ind w:right="355"/>
              <w:jc w:val="right"/>
              <w:rPr>
                <w:rFonts w:cs="Tahoma"/>
                <w:color w:val="000000"/>
                <w:sz w:val="20"/>
                <w:szCs w:val="20"/>
              </w:rPr>
            </w:pPr>
            <w:r w:rsidRPr="00550083">
              <w:rPr>
                <w:rFonts w:cs="Tahoma"/>
                <w:color w:val="000000"/>
                <w:sz w:val="20"/>
                <w:szCs w:val="20"/>
              </w:rPr>
              <w:t>18%</w:t>
            </w:r>
          </w:p>
        </w:tc>
        <w:tc>
          <w:tcPr>
            <w:tcW w:w="1559" w:type="dxa"/>
            <w:shd w:val="clear" w:color="auto" w:fill="auto"/>
            <w:noWrap/>
            <w:vAlign w:val="center"/>
            <w:hideMark/>
          </w:tcPr>
          <w:p w:rsidR="00587957" w:rsidRDefault="005F5B63" w:rsidP="00044AF0">
            <w:pPr>
              <w:spacing w:beforeLines="60" w:afterLines="60" w:line="240" w:lineRule="auto"/>
              <w:ind w:right="355"/>
              <w:jc w:val="right"/>
              <w:rPr>
                <w:rFonts w:cs="Tahoma"/>
                <w:color w:val="000000"/>
                <w:sz w:val="20"/>
                <w:szCs w:val="20"/>
              </w:rPr>
            </w:pPr>
            <w:r w:rsidRPr="00550083">
              <w:rPr>
                <w:rFonts w:cs="Tahoma"/>
                <w:color w:val="000000"/>
                <w:sz w:val="20"/>
                <w:szCs w:val="20"/>
              </w:rPr>
              <w:t>24%</w:t>
            </w:r>
          </w:p>
        </w:tc>
        <w:tc>
          <w:tcPr>
            <w:tcW w:w="1559" w:type="dxa"/>
            <w:shd w:val="clear" w:color="auto" w:fill="auto"/>
            <w:noWrap/>
            <w:vAlign w:val="center"/>
            <w:hideMark/>
          </w:tcPr>
          <w:p w:rsidR="00587957" w:rsidRDefault="005F5B63" w:rsidP="00044AF0">
            <w:pPr>
              <w:spacing w:beforeLines="60" w:afterLines="60" w:line="240" w:lineRule="auto"/>
              <w:ind w:right="355"/>
              <w:jc w:val="right"/>
              <w:rPr>
                <w:rFonts w:cs="Tahoma"/>
                <w:color w:val="000000"/>
                <w:sz w:val="20"/>
                <w:szCs w:val="20"/>
              </w:rPr>
            </w:pPr>
            <w:r w:rsidRPr="00550083">
              <w:rPr>
                <w:rFonts w:cs="Tahoma"/>
                <w:color w:val="000000"/>
                <w:sz w:val="20"/>
                <w:szCs w:val="20"/>
              </w:rPr>
              <w:t>21%</w:t>
            </w:r>
          </w:p>
        </w:tc>
        <w:tc>
          <w:tcPr>
            <w:tcW w:w="1559" w:type="dxa"/>
            <w:shd w:val="clear" w:color="auto" w:fill="auto"/>
            <w:noWrap/>
            <w:vAlign w:val="center"/>
            <w:hideMark/>
          </w:tcPr>
          <w:p w:rsidR="00587957" w:rsidRDefault="005F5B63" w:rsidP="00044AF0">
            <w:pPr>
              <w:spacing w:beforeLines="60" w:afterLines="60" w:line="240" w:lineRule="auto"/>
              <w:ind w:right="355"/>
              <w:jc w:val="right"/>
              <w:rPr>
                <w:rFonts w:cs="Tahoma"/>
                <w:color w:val="000000"/>
                <w:sz w:val="20"/>
                <w:szCs w:val="20"/>
              </w:rPr>
            </w:pPr>
            <w:r w:rsidRPr="00550083">
              <w:rPr>
                <w:rFonts w:cs="Tahoma"/>
                <w:color w:val="000000"/>
                <w:sz w:val="20"/>
                <w:szCs w:val="20"/>
              </w:rPr>
              <w:t>17%</w:t>
            </w:r>
          </w:p>
        </w:tc>
        <w:tc>
          <w:tcPr>
            <w:tcW w:w="1560" w:type="dxa"/>
            <w:shd w:val="clear" w:color="auto" w:fill="auto"/>
            <w:noWrap/>
            <w:vAlign w:val="center"/>
            <w:hideMark/>
          </w:tcPr>
          <w:p w:rsidR="00587957" w:rsidRDefault="005F5B63" w:rsidP="00044AF0">
            <w:pPr>
              <w:spacing w:beforeLines="60" w:afterLines="60" w:line="240" w:lineRule="auto"/>
              <w:ind w:right="355"/>
              <w:jc w:val="right"/>
              <w:rPr>
                <w:rFonts w:cs="Tahoma"/>
                <w:color w:val="000000"/>
                <w:sz w:val="20"/>
                <w:szCs w:val="20"/>
              </w:rPr>
            </w:pPr>
            <w:r w:rsidRPr="00550083">
              <w:rPr>
                <w:rFonts w:cs="Tahoma"/>
                <w:color w:val="000000"/>
                <w:sz w:val="20"/>
                <w:szCs w:val="20"/>
              </w:rPr>
              <w:t>16%</w:t>
            </w:r>
          </w:p>
        </w:tc>
      </w:tr>
      <w:tr w:rsidR="005F5B63" w:rsidRPr="00550083" w:rsidTr="00142A4B">
        <w:trPr>
          <w:trHeight w:val="300"/>
        </w:trPr>
        <w:tc>
          <w:tcPr>
            <w:tcW w:w="5954" w:type="dxa"/>
          </w:tcPr>
          <w:p w:rsidR="00587957" w:rsidRDefault="005F5B63" w:rsidP="00044AF0">
            <w:pPr>
              <w:spacing w:beforeLines="60" w:afterLines="60" w:line="240" w:lineRule="auto"/>
              <w:rPr>
                <w:rFonts w:cs="Tahoma"/>
                <w:color w:val="000000"/>
                <w:sz w:val="20"/>
                <w:szCs w:val="20"/>
              </w:rPr>
            </w:pPr>
            <w:r w:rsidRPr="00550083">
              <w:rPr>
                <w:rFonts w:cs="Tahoma"/>
                <w:color w:val="000000"/>
                <w:sz w:val="20"/>
                <w:szCs w:val="20"/>
              </w:rPr>
              <w:t>Bei der Abklärung von Voraussetzungen und besonderen Bedür</w:t>
            </w:r>
            <w:r w:rsidRPr="00550083">
              <w:rPr>
                <w:rFonts w:cs="Tahoma"/>
                <w:color w:val="000000"/>
                <w:sz w:val="20"/>
                <w:szCs w:val="20"/>
              </w:rPr>
              <w:t>f</w:t>
            </w:r>
            <w:r w:rsidRPr="00550083">
              <w:rPr>
                <w:rFonts w:cs="Tahoma"/>
                <w:color w:val="000000"/>
                <w:sz w:val="20"/>
                <w:szCs w:val="20"/>
              </w:rPr>
              <w:t>nissen von WohnungswerberInnen mit Migrationshintergrund sollen externe Beratungsstellen für die Beratung/Betreuung di</w:t>
            </w:r>
            <w:r w:rsidRPr="00550083">
              <w:rPr>
                <w:rFonts w:cs="Tahoma"/>
                <w:color w:val="000000"/>
                <w:sz w:val="20"/>
                <w:szCs w:val="20"/>
              </w:rPr>
              <w:t>e</w:t>
            </w:r>
            <w:r w:rsidRPr="00550083">
              <w:rPr>
                <w:rFonts w:cs="Tahoma"/>
                <w:color w:val="000000"/>
                <w:sz w:val="20"/>
                <w:szCs w:val="20"/>
              </w:rPr>
              <w:t>ser Familien beigezogen werden.</w:t>
            </w:r>
          </w:p>
        </w:tc>
        <w:tc>
          <w:tcPr>
            <w:tcW w:w="1559" w:type="dxa"/>
            <w:shd w:val="clear" w:color="auto" w:fill="auto"/>
            <w:noWrap/>
            <w:vAlign w:val="center"/>
            <w:hideMark/>
          </w:tcPr>
          <w:p w:rsidR="00587957" w:rsidRDefault="005F5B63" w:rsidP="00044AF0">
            <w:pPr>
              <w:spacing w:beforeLines="60" w:afterLines="60" w:line="240" w:lineRule="auto"/>
              <w:ind w:right="355"/>
              <w:jc w:val="right"/>
              <w:rPr>
                <w:rFonts w:cs="Tahoma"/>
                <w:color w:val="000000"/>
                <w:sz w:val="20"/>
                <w:szCs w:val="20"/>
              </w:rPr>
            </w:pPr>
            <w:r w:rsidRPr="00550083">
              <w:rPr>
                <w:rFonts w:cs="Tahoma"/>
                <w:color w:val="000000"/>
                <w:sz w:val="20"/>
                <w:szCs w:val="20"/>
              </w:rPr>
              <w:t>58%</w:t>
            </w:r>
          </w:p>
        </w:tc>
        <w:tc>
          <w:tcPr>
            <w:tcW w:w="1559" w:type="dxa"/>
            <w:shd w:val="clear" w:color="auto" w:fill="auto"/>
            <w:noWrap/>
            <w:vAlign w:val="center"/>
            <w:hideMark/>
          </w:tcPr>
          <w:p w:rsidR="00587957" w:rsidRDefault="005F5B63" w:rsidP="00044AF0">
            <w:pPr>
              <w:spacing w:beforeLines="60" w:afterLines="60" w:line="240" w:lineRule="auto"/>
              <w:ind w:right="355"/>
              <w:jc w:val="right"/>
              <w:rPr>
                <w:rFonts w:cs="Tahoma"/>
                <w:color w:val="000000"/>
                <w:sz w:val="20"/>
                <w:szCs w:val="20"/>
              </w:rPr>
            </w:pPr>
            <w:r w:rsidRPr="00550083">
              <w:rPr>
                <w:rFonts w:cs="Tahoma"/>
                <w:color w:val="000000"/>
                <w:sz w:val="20"/>
                <w:szCs w:val="20"/>
              </w:rPr>
              <w:t>55%</w:t>
            </w:r>
          </w:p>
        </w:tc>
        <w:tc>
          <w:tcPr>
            <w:tcW w:w="1559" w:type="dxa"/>
            <w:shd w:val="clear" w:color="auto" w:fill="auto"/>
            <w:noWrap/>
            <w:vAlign w:val="center"/>
            <w:hideMark/>
          </w:tcPr>
          <w:p w:rsidR="00587957" w:rsidRDefault="005F5B63" w:rsidP="00044AF0">
            <w:pPr>
              <w:spacing w:beforeLines="60" w:afterLines="60" w:line="240" w:lineRule="auto"/>
              <w:ind w:right="355"/>
              <w:jc w:val="right"/>
              <w:rPr>
                <w:rFonts w:cs="Tahoma"/>
                <w:color w:val="000000"/>
                <w:sz w:val="20"/>
                <w:szCs w:val="20"/>
              </w:rPr>
            </w:pPr>
            <w:r w:rsidRPr="00550083">
              <w:rPr>
                <w:rFonts w:cs="Tahoma"/>
                <w:color w:val="000000"/>
                <w:sz w:val="20"/>
                <w:szCs w:val="20"/>
              </w:rPr>
              <w:t>50%</w:t>
            </w:r>
          </w:p>
        </w:tc>
        <w:tc>
          <w:tcPr>
            <w:tcW w:w="1559" w:type="dxa"/>
            <w:shd w:val="clear" w:color="auto" w:fill="auto"/>
            <w:noWrap/>
            <w:vAlign w:val="center"/>
            <w:hideMark/>
          </w:tcPr>
          <w:p w:rsidR="00587957" w:rsidRDefault="005F5B63" w:rsidP="00044AF0">
            <w:pPr>
              <w:spacing w:beforeLines="60" w:afterLines="60" w:line="240" w:lineRule="auto"/>
              <w:ind w:right="355"/>
              <w:jc w:val="right"/>
              <w:rPr>
                <w:rFonts w:cs="Tahoma"/>
                <w:color w:val="000000"/>
                <w:sz w:val="20"/>
                <w:szCs w:val="20"/>
              </w:rPr>
            </w:pPr>
            <w:r w:rsidRPr="00550083">
              <w:rPr>
                <w:rFonts w:cs="Tahoma"/>
                <w:color w:val="000000"/>
                <w:sz w:val="20"/>
                <w:szCs w:val="20"/>
              </w:rPr>
              <w:t>45%</w:t>
            </w:r>
          </w:p>
        </w:tc>
        <w:tc>
          <w:tcPr>
            <w:tcW w:w="1560" w:type="dxa"/>
            <w:shd w:val="clear" w:color="auto" w:fill="auto"/>
            <w:noWrap/>
            <w:vAlign w:val="center"/>
            <w:hideMark/>
          </w:tcPr>
          <w:p w:rsidR="00587957" w:rsidRDefault="005F5B63" w:rsidP="00044AF0">
            <w:pPr>
              <w:spacing w:beforeLines="60" w:afterLines="60" w:line="240" w:lineRule="auto"/>
              <w:ind w:right="355"/>
              <w:jc w:val="right"/>
              <w:rPr>
                <w:rFonts w:cs="Tahoma"/>
                <w:color w:val="000000"/>
                <w:sz w:val="20"/>
                <w:szCs w:val="20"/>
              </w:rPr>
            </w:pPr>
            <w:r w:rsidRPr="00550083">
              <w:rPr>
                <w:rFonts w:cs="Tahoma"/>
                <w:color w:val="000000"/>
                <w:sz w:val="20"/>
                <w:szCs w:val="20"/>
              </w:rPr>
              <w:t>63%</w:t>
            </w:r>
          </w:p>
        </w:tc>
      </w:tr>
    </w:tbl>
    <w:p w:rsidR="005F5B63" w:rsidRDefault="005F5B63" w:rsidP="005F5B63"/>
    <w:p w:rsidR="005F5B63" w:rsidRDefault="005F5B63" w:rsidP="005F5B63">
      <w:pPr>
        <w:sectPr w:rsidR="005F5B63" w:rsidSect="00142A4B">
          <w:pgSz w:w="16838" w:h="11906" w:orient="landscape"/>
          <w:pgMar w:top="1418" w:right="1418" w:bottom="1418" w:left="1134" w:header="709" w:footer="709" w:gutter="0"/>
          <w:cols w:space="708"/>
          <w:docGrid w:linePitch="360"/>
        </w:sectPr>
      </w:pPr>
    </w:p>
    <w:p w:rsidR="005F5B63" w:rsidRPr="00550083" w:rsidRDefault="005F5B63" w:rsidP="005F5B63"/>
    <w:p w:rsidR="005F5B63" w:rsidRDefault="005F5B63" w:rsidP="00FF2B86">
      <w:pPr>
        <w:pStyle w:val="Untertitel"/>
      </w:pPr>
      <w:r>
        <w:t>Tab. 24:</w:t>
      </w:r>
      <w:r>
        <w:tab/>
      </w:r>
      <w:r w:rsidRPr="005C686D">
        <w:t xml:space="preserve">Gibt es in Ihrem Wirkungsbereich spezielle Vorsorgen </w:t>
      </w:r>
      <w:r>
        <w:t>oder</w:t>
      </w:r>
      <w:r w:rsidRPr="005C686D">
        <w:t xml:space="preserve"> Projek</w:t>
      </w:r>
      <w:r w:rsidRPr="005C686D">
        <w:t>t</w:t>
      </w:r>
      <w:r w:rsidRPr="005C686D">
        <w:t>schienen für die Wohnversorgung bestimmter Zielgruppen?</w:t>
      </w:r>
      <w:r>
        <w:t xml:space="preserve"> n = 161</w:t>
      </w:r>
    </w:p>
    <w:tbl>
      <w:tblPr>
        <w:tblW w:w="90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53"/>
        <w:gridCol w:w="1188"/>
        <w:gridCol w:w="1188"/>
        <w:gridCol w:w="1188"/>
        <w:gridCol w:w="1188"/>
      </w:tblGrid>
      <w:tr w:rsidR="005F5B63" w:rsidRPr="007D2F3B" w:rsidTr="00142A4B">
        <w:trPr>
          <w:trHeight w:val="255"/>
        </w:trPr>
        <w:tc>
          <w:tcPr>
            <w:tcW w:w="4253" w:type="dxa"/>
            <w:tcBorders>
              <w:top w:val="nil"/>
              <w:left w:val="nil"/>
              <w:bottom w:val="nil"/>
            </w:tcBorders>
            <w:shd w:val="clear" w:color="auto" w:fill="auto"/>
            <w:noWrap/>
            <w:vAlign w:val="bottom"/>
            <w:hideMark/>
          </w:tcPr>
          <w:p w:rsidR="005F5B63" w:rsidRPr="007D2F3B" w:rsidRDefault="005F5B63" w:rsidP="00142A4B">
            <w:pPr>
              <w:spacing w:before="60" w:after="60" w:line="240" w:lineRule="auto"/>
              <w:rPr>
                <w:rFonts w:ascii="Microsoft Sans Serif" w:hAnsi="Microsoft Sans Serif" w:cs="Microsoft Sans Serif"/>
                <w:sz w:val="20"/>
                <w:szCs w:val="20"/>
                <w:lang w:val="de-AT" w:eastAsia="de-AT"/>
              </w:rPr>
            </w:pPr>
          </w:p>
        </w:tc>
        <w:tc>
          <w:tcPr>
            <w:tcW w:w="2376" w:type="dxa"/>
            <w:gridSpan w:val="2"/>
            <w:shd w:val="clear" w:color="auto" w:fill="D6E3BC" w:themeFill="accent3" w:themeFillTint="66"/>
            <w:noWrap/>
            <w:vAlign w:val="center"/>
            <w:hideMark/>
          </w:tcPr>
          <w:p w:rsidR="005F5B63" w:rsidRPr="007D2F3B" w:rsidRDefault="005F5B63" w:rsidP="00142A4B">
            <w:pPr>
              <w:spacing w:before="60" w:after="60" w:line="240" w:lineRule="auto"/>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Trifft zu</w:t>
            </w:r>
          </w:p>
        </w:tc>
        <w:tc>
          <w:tcPr>
            <w:tcW w:w="2376" w:type="dxa"/>
            <w:gridSpan w:val="2"/>
            <w:shd w:val="clear" w:color="auto" w:fill="D6E3BC" w:themeFill="accent3" w:themeFillTint="66"/>
            <w:noWrap/>
            <w:vAlign w:val="center"/>
            <w:hideMark/>
          </w:tcPr>
          <w:p w:rsidR="005F5B63" w:rsidRPr="007D2F3B" w:rsidRDefault="005F5B63" w:rsidP="00142A4B">
            <w:pPr>
              <w:spacing w:before="60" w:after="60" w:line="240" w:lineRule="auto"/>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Trifft nicht zu</w:t>
            </w:r>
          </w:p>
        </w:tc>
      </w:tr>
      <w:tr w:rsidR="005F5B63" w:rsidRPr="007D2F3B" w:rsidTr="00142A4B">
        <w:trPr>
          <w:trHeight w:val="255"/>
        </w:trPr>
        <w:tc>
          <w:tcPr>
            <w:tcW w:w="4253" w:type="dxa"/>
            <w:tcBorders>
              <w:top w:val="nil"/>
              <w:left w:val="nil"/>
            </w:tcBorders>
            <w:shd w:val="clear" w:color="auto" w:fill="auto"/>
            <w:noWrap/>
            <w:vAlign w:val="bottom"/>
            <w:hideMark/>
          </w:tcPr>
          <w:p w:rsidR="005F5B63" w:rsidRPr="007D2F3B" w:rsidRDefault="005F5B63" w:rsidP="00142A4B">
            <w:pPr>
              <w:spacing w:before="60" w:after="60" w:line="240" w:lineRule="auto"/>
              <w:rPr>
                <w:rFonts w:ascii="Microsoft Sans Serif" w:hAnsi="Microsoft Sans Serif" w:cs="Microsoft Sans Serif"/>
                <w:sz w:val="20"/>
                <w:szCs w:val="20"/>
                <w:lang w:val="de-AT" w:eastAsia="de-AT"/>
              </w:rPr>
            </w:pPr>
          </w:p>
        </w:tc>
        <w:tc>
          <w:tcPr>
            <w:tcW w:w="1188" w:type="dxa"/>
            <w:shd w:val="clear" w:color="auto" w:fill="D6E3BC" w:themeFill="accent3" w:themeFillTint="66"/>
            <w:noWrap/>
            <w:vAlign w:val="center"/>
            <w:hideMark/>
          </w:tcPr>
          <w:p w:rsidR="005F5B63" w:rsidRDefault="005F5B63" w:rsidP="00142A4B">
            <w:pPr>
              <w:spacing w:before="60" w:after="60" w:line="240" w:lineRule="auto"/>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abs.</w:t>
            </w:r>
          </w:p>
        </w:tc>
        <w:tc>
          <w:tcPr>
            <w:tcW w:w="1188" w:type="dxa"/>
            <w:shd w:val="clear" w:color="auto" w:fill="D6E3BC" w:themeFill="accent3" w:themeFillTint="66"/>
            <w:vAlign w:val="center"/>
          </w:tcPr>
          <w:p w:rsidR="005F5B63" w:rsidRDefault="005F5B63" w:rsidP="00142A4B">
            <w:pPr>
              <w:spacing w:before="60" w:after="60" w:line="240" w:lineRule="auto"/>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in %</w:t>
            </w:r>
          </w:p>
        </w:tc>
        <w:tc>
          <w:tcPr>
            <w:tcW w:w="1188" w:type="dxa"/>
            <w:shd w:val="clear" w:color="auto" w:fill="D6E3BC" w:themeFill="accent3" w:themeFillTint="66"/>
            <w:vAlign w:val="center"/>
          </w:tcPr>
          <w:p w:rsidR="005F5B63" w:rsidRDefault="005F5B63" w:rsidP="00142A4B">
            <w:pPr>
              <w:spacing w:before="60" w:after="60" w:line="240" w:lineRule="auto"/>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abs.</w:t>
            </w:r>
          </w:p>
        </w:tc>
        <w:tc>
          <w:tcPr>
            <w:tcW w:w="1188" w:type="dxa"/>
            <w:shd w:val="clear" w:color="auto" w:fill="D6E3BC" w:themeFill="accent3" w:themeFillTint="66"/>
            <w:vAlign w:val="center"/>
          </w:tcPr>
          <w:p w:rsidR="005F5B63" w:rsidRDefault="005F5B63" w:rsidP="00142A4B">
            <w:pPr>
              <w:spacing w:before="60" w:after="60" w:line="240" w:lineRule="auto"/>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in %</w:t>
            </w:r>
          </w:p>
        </w:tc>
      </w:tr>
      <w:tr w:rsidR="005F5B63" w:rsidRPr="007D2F3B" w:rsidTr="00142A4B">
        <w:trPr>
          <w:trHeight w:val="255"/>
        </w:trPr>
        <w:tc>
          <w:tcPr>
            <w:tcW w:w="4253" w:type="dxa"/>
            <w:shd w:val="clear" w:color="auto" w:fill="FFFFFF" w:themeFill="background1"/>
            <w:noWrap/>
            <w:vAlign w:val="bottom"/>
            <w:hideMark/>
          </w:tcPr>
          <w:p w:rsidR="005F5B63" w:rsidRPr="007D2F3B" w:rsidRDefault="005F5B63" w:rsidP="00142A4B">
            <w:pPr>
              <w:spacing w:before="60" w:after="60" w:line="240" w:lineRule="auto"/>
              <w:rPr>
                <w:rFonts w:ascii="Microsoft Sans Serif" w:hAnsi="Microsoft Sans Serif" w:cs="Microsoft Sans Serif"/>
                <w:sz w:val="20"/>
                <w:szCs w:val="20"/>
                <w:lang w:val="de-AT" w:eastAsia="de-AT"/>
              </w:rPr>
            </w:pPr>
            <w:r w:rsidRPr="007D2F3B">
              <w:rPr>
                <w:rFonts w:ascii="Microsoft Sans Serif" w:hAnsi="Microsoft Sans Serif" w:cs="Microsoft Sans Serif"/>
                <w:sz w:val="20"/>
                <w:szCs w:val="20"/>
                <w:lang w:val="de-AT" w:eastAsia="de-AT"/>
              </w:rPr>
              <w:t>Kontingent für die Bekämpfung von Armut und Wohnungslosigkeit, z.B. für betreutes Wohnen</w:t>
            </w:r>
          </w:p>
        </w:tc>
        <w:tc>
          <w:tcPr>
            <w:tcW w:w="1188" w:type="dxa"/>
            <w:shd w:val="clear" w:color="auto" w:fill="FFFFFF" w:themeFill="background1"/>
            <w:noWrap/>
            <w:vAlign w:val="center"/>
            <w:hideMark/>
          </w:tcPr>
          <w:p w:rsidR="005F5B63" w:rsidRPr="007D2F3B" w:rsidRDefault="005F5B63" w:rsidP="00142A4B">
            <w:pPr>
              <w:spacing w:before="60" w:after="60" w:line="240" w:lineRule="auto"/>
              <w:ind w:right="249"/>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73</w:t>
            </w:r>
          </w:p>
        </w:tc>
        <w:tc>
          <w:tcPr>
            <w:tcW w:w="1188" w:type="dxa"/>
            <w:shd w:val="clear" w:color="auto" w:fill="FFFFFF" w:themeFill="background1"/>
            <w:vAlign w:val="center"/>
          </w:tcPr>
          <w:p w:rsidR="005F5B63" w:rsidRPr="007D2F3B" w:rsidRDefault="005F5B63" w:rsidP="00142A4B">
            <w:pPr>
              <w:spacing w:before="60" w:after="60" w:line="240" w:lineRule="auto"/>
              <w:ind w:right="249"/>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45%</w:t>
            </w:r>
          </w:p>
        </w:tc>
        <w:tc>
          <w:tcPr>
            <w:tcW w:w="1188" w:type="dxa"/>
            <w:shd w:val="clear" w:color="auto" w:fill="FFFFFF" w:themeFill="background1"/>
            <w:vAlign w:val="center"/>
          </w:tcPr>
          <w:p w:rsidR="005F5B63" w:rsidRPr="007D2F3B" w:rsidRDefault="005F5B63" w:rsidP="00142A4B">
            <w:pPr>
              <w:spacing w:before="60" w:after="60" w:line="240" w:lineRule="auto"/>
              <w:ind w:right="249"/>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88</w:t>
            </w:r>
          </w:p>
        </w:tc>
        <w:tc>
          <w:tcPr>
            <w:tcW w:w="1188" w:type="dxa"/>
            <w:shd w:val="clear" w:color="auto" w:fill="FFFFFF" w:themeFill="background1"/>
            <w:vAlign w:val="center"/>
          </w:tcPr>
          <w:p w:rsidR="005F5B63" w:rsidRPr="007D2F3B" w:rsidRDefault="005F5B63" w:rsidP="00142A4B">
            <w:pPr>
              <w:spacing w:before="60" w:after="60" w:line="240" w:lineRule="auto"/>
              <w:ind w:right="249"/>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55%</w:t>
            </w:r>
          </w:p>
        </w:tc>
      </w:tr>
      <w:tr w:rsidR="005F5B63" w:rsidRPr="007D2F3B" w:rsidTr="00142A4B">
        <w:trPr>
          <w:trHeight w:val="255"/>
        </w:trPr>
        <w:tc>
          <w:tcPr>
            <w:tcW w:w="4253" w:type="dxa"/>
            <w:shd w:val="clear" w:color="auto" w:fill="FFFFFF" w:themeFill="background1"/>
            <w:noWrap/>
            <w:vAlign w:val="bottom"/>
            <w:hideMark/>
          </w:tcPr>
          <w:p w:rsidR="005F5B63" w:rsidRPr="007D2F3B" w:rsidRDefault="005F5B63" w:rsidP="00142A4B">
            <w:pPr>
              <w:spacing w:before="60" w:after="60" w:line="240" w:lineRule="auto"/>
              <w:rPr>
                <w:rFonts w:ascii="Microsoft Sans Serif" w:hAnsi="Microsoft Sans Serif" w:cs="Microsoft Sans Serif"/>
                <w:sz w:val="20"/>
                <w:szCs w:val="20"/>
                <w:lang w:val="de-AT" w:eastAsia="de-AT"/>
              </w:rPr>
            </w:pPr>
            <w:r w:rsidRPr="007D2F3B">
              <w:rPr>
                <w:rFonts w:ascii="Microsoft Sans Serif" w:hAnsi="Microsoft Sans Serif" w:cs="Microsoft Sans Serif"/>
                <w:sz w:val="20"/>
                <w:szCs w:val="20"/>
                <w:lang w:val="de-AT" w:eastAsia="de-AT"/>
              </w:rPr>
              <w:t>Kontingent für die Wohnversorgung von Drit</w:t>
            </w:r>
            <w:r w:rsidRPr="007D2F3B">
              <w:rPr>
                <w:rFonts w:ascii="Microsoft Sans Serif" w:hAnsi="Microsoft Sans Serif" w:cs="Microsoft Sans Serif"/>
                <w:sz w:val="20"/>
                <w:szCs w:val="20"/>
                <w:lang w:val="de-AT" w:eastAsia="de-AT"/>
              </w:rPr>
              <w:t>t</w:t>
            </w:r>
            <w:r w:rsidRPr="007D2F3B">
              <w:rPr>
                <w:rFonts w:ascii="Microsoft Sans Serif" w:hAnsi="Microsoft Sans Serif" w:cs="Microsoft Sans Serif"/>
                <w:sz w:val="20"/>
                <w:szCs w:val="20"/>
                <w:lang w:val="de-AT" w:eastAsia="de-AT"/>
              </w:rPr>
              <w:t>staatsangehörigen</w:t>
            </w:r>
          </w:p>
        </w:tc>
        <w:tc>
          <w:tcPr>
            <w:tcW w:w="1188" w:type="dxa"/>
            <w:shd w:val="clear" w:color="auto" w:fill="FFFFFF" w:themeFill="background1"/>
            <w:noWrap/>
            <w:vAlign w:val="center"/>
            <w:hideMark/>
          </w:tcPr>
          <w:p w:rsidR="005F5B63" w:rsidRPr="007D2F3B" w:rsidRDefault="005F5B63" w:rsidP="00142A4B">
            <w:pPr>
              <w:spacing w:before="60" w:after="60" w:line="240" w:lineRule="auto"/>
              <w:ind w:right="249"/>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34</w:t>
            </w:r>
          </w:p>
        </w:tc>
        <w:tc>
          <w:tcPr>
            <w:tcW w:w="1188" w:type="dxa"/>
            <w:shd w:val="clear" w:color="auto" w:fill="FFFFFF" w:themeFill="background1"/>
            <w:vAlign w:val="center"/>
          </w:tcPr>
          <w:p w:rsidR="005F5B63" w:rsidRPr="007D2F3B" w:rsidRDefault="005F5B63" w:rsidP="00142A4B">
            <w:pPr>
              <w:spacing w:before="60" w:after="60" w:line="240" w:lineRule="auto"/>
              <w:ind w:right="249"/>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21%</w:t>
            </w:r>
          </w:p>
        </w:tc>
        <w:tc>
          <w:tcPr>
            <w:tcW w:w="1188" w:type="dxa"/>
            <w:shd w:val="clear" w:color="auto" w:fill="FFFFFF" w:themeFill="background1"/>
            <w:vAlign w:val="center"/>
          </w:tcPr>
          <w:p w:rsidR="005F5B63" w:rsidRPr="007D2F3B" w:rsidRDefault="005F5B63" w:rsidP="00142A4B">
            <w:pPr>
              <w:spacing w:before="60" w:after="60" w:line="240" w:lineRule="auto"/>
              <w:ind w:right="249"/>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127</w:t>
            </w:r>
          </w:p>
        </w:tc>
        <w:tc>
          <w:tcPr>
            <w:tcW w:w="1188" w:type="dxa"/>
            <w:shd w:val="clear" w:color="auto" w:fill="FFFFFF" w:themeFill="background1"/>
            <w:vAlign w:val="center"/>
          </w:tcPr>
          <w:p w:rsidR="005F5B63" w:rsidRPr="007D2F3B" w:rsidRDefault="005F5B63" w:rsidP="00142A4B">
            <w:pPr>
              <w:spacing w:before="60" w:after="60" w:line="240" w:lineRule="auto"/>
              <w:ind w:right="249"/>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79%</w:t>
            </w:r>
          </w:p>
        </w:tc>
      </w:tr>
      <w:tr w:rsidR="005F5B63" w:rsidRPr="007D2F3B" w:rsidTr="00142A4B">
        <w:trPr>
          <w:trHeight w:val="255"/>
        </w:trPr>
        <w:tc>
          <w:tcPr>
            <w:tcW w:w="4253" w:type="dxa"/>
            <w:shd w:val="clear" w:color="auto" w:fill="FFFFFF" w:themeFill="background1"/>
            <w:noWrap/>
            <w:vAlign w:val="bottom"/>
            <w:hideMark/>
          </w:tcPr>
          <w:p w:rsidR="005F5B63" w:rsidRPr="007D2F3B" w:rsidRDefault="005F5B63" w:rsidP="00142A4B">
            <w:pPr>
              <w:spacing w:before="60" w:after="60" w:line="240" w:lineRule="auto"/>
              <w:rPr>
                <w:rFonts w:ascii="Microsoft Sans Serif" w:hAnsi="Microsoft Sans Serif" w:cs="Microsoft Sans Serif"/>
                <w:sz w:val="20"/>
                <w:szCs w:val="20"/>
                <w:lang w:val="de-AT" w:eastAsia="de-AT"/>
              </w:rPr>
            </w:pPr>
            <w:r w:rsidRPr="007D2F3B">
              <w:rPr>
                <w:rFonts w:ascii="Microsoft Sans Serif" w:hAnsi="Microsoft Sans Serif" w:cs="Microsoft Sans Serif"/>
                <w:sz w:val="20"/>
                <w:szCs w:val="20"/>
                <w:lang w:val="de-AT" w:eastAsia="de-AT"/>
              </w:rPr>
              <w:t>Kontingent für die Wohnversorgung von ane</w:t>
            </w:r>
            <w:r w:rsidRPr="007D2F3B">
              <w:rPr>
                <w:rFonts w:ascii="Microsoft Sans Serif" w:hAnsi="Microsoft Sans Serif" w:cs="Microsoft Sans Serif"/>
                <w:sz w:val="20"/>
                <w:szCs w:val="20"/>
                <w:lang w:val="de-AT" w:eastAsia="de-AT"/>
              </w:rPr>
              <w:t>r</w:t>
            </w:r>
            <w:r w:rsidRPr="007D2F3B">
              <w:rPr>
                <w:rFonts w:ascii="Microsoft Sans Serif" w:hAnsi="Microsoft Sans Serif" w:cs="Microsoft Sans Serif"/>
                <w:sz w:val="20"/>
                <w:szCs w:val="20"/>
                <w:lang w:val="de-AT" w:eastAsia="de-AT"/>
              </w:rPr>
              <w:t>kannten Asylsuchenden</w:t>
            </w:r>
          </w:p>
        </w:tc>
        <w:tc>
          <w:tcPr>
            <w:tcW w:w="1188" w:type="dxa"/>
            <w:shd w:val="clear" w:color="auto" w:fill="FFFFFF" w:themeFill="background1"/>
            <w:noWrap/>
            <w:vAlign w:val="center"/>
            <w:hideMark/>
          </w:tcPr>
          <w:p w:rsidR="005F5B63" w:rsidRPr="007D2F3B" w:rsidRDefault="005F5B63" w:rsidP="00142A4B">
            <w:pPr>
              <w:spacing w:before="60" w:after="60" w:line="240" w:lineRule="auto"/>
              <w:ind w:right="249"/>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41</w:t>
            </w:r>
          </w:p>
        </w:tc>
        <w:tc>
          <w:tcPr>
            <w:tcW w:w="1188" w:type="dxa"/>
            <w:shd w:val="clear" w:color="auto" w:fill="FFFFFF" w:themeFill="background1"/>
            <w:vAlign w:val="center"/>
          </w:tcPr>
          <w:p w:rsidR="005F5B63" w:rsidRPr="007D2F3B" w:rsidRDefault="005F5B63" w:rsidP="00142A4B">
            <w:pPr>
              <w:spacing w:before="60" w:after="60" w:line="240" w:lineRule="auto"/>
              <w:ind w:right="249"/>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26%</w:t>
            </w:r>
          </w:p>
        </w:tc>
        <w:tc>
          <w:tcPr>
            <w:tcW w:w="1188" w:type="dxa"/>
            <w:shd w:val="clear" w:color="auto" w:fill="FFFFFF" w:themeFill="background1"/>
            <w:vAlign w:val="center"/>
          </w:tcPr>
          <w:p w:rsidR="005F5B63" w:rsidRPr="007D2F3B" w:rsidRDefault="005F5B63" w:rsidP="00142A4B">
            <w:pPr>
              <w:spacing w:before="60" w:after="60" w:line="240" w:lineRule="auto"/>
              <w:ind w:right="249"/>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120</w:t>
            </w:r>
          </w:p>
        </w:tc>
        <w:tc>
          <w:tcPr>
            <w:tcW w:w="1188" w:type="dxa"/>
            <w:shd w:val="clear" w:color="auto" w:fill="FFFFFF" w:themeFill="background1"/>
            <w:vAlign w:val="center"/>
          </w:tcPr>
          <w:p w:rsidR="005F5B63" w:rsidRPr="007D2F3B" w:rsidRDefault="005F5B63" w:rsidP="00142A4B">
            <w:pPr>
              <w:spacing w:before="60" w:after="60" w:line="240" w:lineRule="auto"/>
              <w:ind w:right="249"/>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75%</w:t>
            </w:r>
          </w:p>
        </w:tc>
      </w:tr>
      <w:tr w:rsidR="005F5B63" w:rsidRPr="007D2F3B" w:rsidTr="00142A4B">
        <w:trPr>
          <w:trHeight w:val="255"/>
        </w:trPr>
        <w:tc>
          <w:tcPr>
            <w:tcW w:w="4253" w:type="dxa"/>
            <w:shd w:val="clear" w:color="auto" w:fill="FFFFFF" w:themeFill="background1"/>
            <w:noWrap/>
            <w:vAlign w:val="bottom"/>
            <w:hideMark/>
          </w:tcPr>
          <w:p w:rsidR="005F5B63" w:rsidRPr="007D2F3B" w:rsidRDefault="005F5B63" w:rsidP="00142A4B">
            <w:pPr>
              <w:spacing w:before="60" w:after="60" w:line="240" w:lineRule="auto"/>
              <w:rPr>
                <w:rFonts w:ascii="Microsoft Sans Serif" w:hAnsi="Microsoft Sans Serif" w:cs="Microsoft Sans Serif"/>
                <w:sz w:val="20"/>
                <w:szCs w:val="20"/>
                <w:lang w:val="de-AT" w:eastAsia="de-AT"/>
              </w:rPr>
            </w:pPr>
            <w:r w:rsidRPr="007D2F3B">
              <w:rPr>
                <w:rFonts w:ascii="Microsoft Sans Serif" w:hAnsi="Microsoft Sans Serif" w:cs="Microsoft Sans Serif"/>
                <w:sz w:val="20"/>
                <w:szCs w:val="20"/>
                <w:lang w:val="de-AT" w:eastAsia="de-AT"/>
              </w:rPr>
              <w:t>betreutes Wohnen für SeniorInnen</w:t>
            </w:r>
          </w:p>
        </w:tc>
        <w:tc>
          <w:tcPr>
            <w:tcW w:w="1188" w:type="dxa"/>
            <w:shd w:val="clear" w:color="auto" w:fill="FFFFFF" w:themeFill="background1"/>
            <w:noWrap/>
            <w:vAlign w:val="center"/>
            <w:hideMark/>
          </w:tcPr>
          <w:p w:rsidR="005F5B63" w:rsidRPr="007D2F3B" w:rsidRDefault="005F5B63" w:rsidP="00142A4B">
            <w:pPr>
              <w:spacing w:before="60" w:after="60" w:line="240" w:lineRule="auto"/>
              <w:ind w:right="249"/>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67</w:t>
            </w:r>
          </w:p>
        </w:tc>
        <w:tc>
          <w:tcPr>
            <w:tcW w:w="1188" w:type="dxa"/>
            <w:shd w:val="clear" w:color="auto" w:fill="FFFFFF" w:themeFill="background1"/>
            <w:vAlign w:val="center"/>
          </w:tcPr>
          <w:p w:rsidR="005F5B63" w:rsidRPr="007D2F3B" w:rsidRDefault="005F5B63" w:rsidP="00142A4B">
            <w:pPr>
              <w:spacing w:before="60" w:after="60" w:line="240" w:lineRule="auto"/>
              <w:ind w:right="249"/>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42%</w:t>
            </w:r>
          </w:p>
        </w:tc>
        <w:tc>
          <w:tcPr>
            <w:tcW w:w="1188" w:type="dxa"/>
            <w:shd w:val="clear" w:color="auto" w:fill="FFFFFF" w:themeFill="background1"/>
            <w:vAlign w:val="center"/>
          </w:tcPr>
          <w:p w:rsidR="005F5B63" w:rsidRPr="007D2F3B" w:rsidRDefault="005F5B63" w:rsidP="00142A4B">
            <w:pPr>
              <w:spacing w:before="60" w:after="60" w:line="240" w:lineRule="auto"/>
              <w:ind w:right="249"/>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94</w:t>
            </w:r>
          </w:p>
        </w:tc>
        <w:tc>
          <w:tcPr>
            <w:tcW w:w="1188" w:type="dxa"/>
            <w:shd w:val="clear" w:color="auto" w:fill="FFFFFF" w:themeFill="background1"/>
            <w:vAlign w:val="center"/>
          </w:tcPr>
          <w:p w:rsidR="005F5B63" w:rsidRPr="007D2F3B" w:rsidRDefault="005F5B63" w:rsidP="00142A4B">
            <w:pPr>
              <w:spacing w:before="60" w:after="60" w:line="240" w:lineRule="auto"/>
              <w:ind w:right="249"/>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58%</w:t>
            </w:r>
          </w:p>
        </w:tc>
      </w:tr>
      <w:tr w:rsidR="005F5B63" w:rsidRPr="007D2F3B" w:rsidTr="00142A4B">
        <w:trPr>
          <w:trHeight w:val="255"/>
        </w:trPr>
        <w:tc>
          <w:tcPr>
            <w:tcW w:w="4253" w:type="dxa"/>
            <w:shd w:val="clear" w:color="auto" w:fill="FFFFFF" w:themeFill="background1"/>
            <w:noWrap/>
            <w:vAlign w:val="bottom"/>
            <w:hideMark/>
          </w:tcPr>
          <w:p w:rsidR="005F5B63" w:rsidRPr="007D2F3B" w:rsidRDefault="005F5B63" w:rsidP="00142A4B">
            <w:pPr>
              <w:spacing w:before="60" w:after="60" w:line="240" w:lineRule="auto"/>
              <w:rPr>
                <w:rFonts w:ascii="Microsoft Sans Serif" w:hAnsi="Microsoft Sans Serif" w:cs="Microsoft Sans Serif"/>
                <w:sz w:val="20"/>
                <w:szCs w:val="20"/>
                <w:lang w:val="de-AT" w:eastAsia="de-AT"/>
              </w:rPr>
            </w:pPr>
            <w:r w:rsidRPr="007D2F3B">
              <w:rPr>
                <w:rFonts w:ascii="Microsoft Sans Serif" w:hAnsi="Microsoft Sans Serif" w:cs="Microsoft Sans Serif"/>
                <w:sz w:val="20"/>
                <w:szCs w:val="20"/>
                <w:lang w:val="de-AT" w:eastAsia="de-AT"/>
              </w:rPr>
              <w:t>Startwohnungen für Jungfamilien</w:t>
            </w:r>
          </w:p>
        </w:tc>
        <w:tc>
          <w:tcPr>
            <w:tcW w:w="1188" w:type="dxa"/>
            <w:shd w:val="clear" w:color="auto" w:fill="FFFFFF" w:themeFill="background1"/>
            <w:noWrap/>
            <w:vAlign w:val="center"/>
            <w:hideMark/>
          </w:tcPr>
          <w:p w:rsidR="005F5B63" w:rsidRPr="007D2F3B" w:rsidRDefault="005F5B63" w:rsidP="00142A4B">
            <w:pPr>
              <w:spacing w:before="60" w:after="60" w:line="240" w:lineRule="auto"/>
              <w:ind w:right="249"/>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53</w:t>
            </w:r>
          </w:p>
        </w:tc>
        <w:tc>
          <w:tcPr>
            <w:tcW w:w="1188" w:type="dxa"/>
            <w:shd w:val="clear" w:color="auto" w:fill="FFFFFF" w:themeFill="background1"/>
            <w:vAlign w:val="center"/>
          </w:tcPr>
          <w:p w:rsidR="005F5B63" w:rsidRPr="007D2F3B" w:rsidRDefault="005F5B63" w:rsidP="00142A4B">
            <w:pPr>
              <w:spacing w:before="60" w:after="60" w:line="240" w:lineRule="auto"/>
              <w:ind w:right="249"/>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33%</w:t>
            </w:r>
          </w:p>
        </w:tc>
        <w:tc>
          <w:tcPr>
            <w:tcW w:w="1188" w:type="dxa"/>
            <w:shd w:val="clear" w:color="auto" w:fill="FFFFFF" w:themeFill="background1"/>
            <w:vAlign w:val="center"/>
          </w:tcPr>
          <w:p w:rsidR="005F5B63" w:rsidRPr="007D2F3B" w:rsidRDefault="005F5B63" w:rsidP="00142A4B">
            <w:pPr>
              <w:spacing w:before="60" w:after="60" w:line="240" w:lineRule="auto"/>
              <w:ind w:right="249"/>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107</w:t>
            </w:r>
          </w:p>
        </w:tc>
        <w:tc>
          <w:tcPr>
            <w:tcW w:w="1188" w:type="dxa"/>
            <w:shd w:val="clear" w:color="auto" w:fill="FFFFFF" w:themeFill="background1"/>
            <w:vAlign w:val="center"/>
          </w:tcPr>
          <w:p w:rsidR="005F5B63" w:rsidRPr="007D2F3B" w:rsidRDefault="005F5B63" w:rsidP="00142A4B">
            <w:pPr>
              <w:spacing w:before="60" w:after="60" w:line="240" w:lineRule="auto"/>
              <w:ind w:right="249"/>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67%</w:t>
            </w:r>
          </w:p>
        </w:tc>
      </w:tr>
      <w:tr w:rsidR="005F5B63" w:rsidRPr="007D2F3B" w:rsidTr="00142A4B">
        <w:trPr>
          <w:trHeight w:val="255"/>
        </w:trPr>
        <w:tc>
          <w:tcPr>
            <w:tcW w:w="4253" w:type="dxa"/>
            <w:shd w:val="clear" w:color="auto" w:fill="FFFFFF" w:themeFill="background1"/>
            <w:noWrap/>
            <w:vAlign w:val="bottom"/>
            <w:hideMark/>
          </w:tcPr>
          <w:p w:rsidR="005F5B63" w:rsidRPr="007D2F3B" w:rsidRDefault="005F5B63" w:rsidP="00142A4B">
            <w:pPr>
              <w:spacing w:before="60" w:after="60" w:line="240" w:lineRule="auto"/>
              <w:rPr>
                <w:rFonts w:ascii="Microsoft Sans Serif" w:hAnsi="Microsoft Sans Serif" w:cs="Microsoft Sans Serif"/>
                <w:sz w:val="20"/>
                <w:szCs w:val="20"/>
                <w:lang w:val="de-AT" w:eastAsia="de-AT"/>
              </w:rPr>
            </w:pPr>
            <w:r w:rsidRPr="007D2F3B">
              <w:rPr>
                <w:rFonts w:ascii="Microsoft Sans Serif" w:hAnsi="Microsoft Sans Serif" w:cs="Microsoft Sans Serif"/>
                <w:sz w:val="20"/>
                <w:szCs w:val="20"/>
                <w:lang w:val="de-AT" w:eastAsia="de-AT"/>
              </w:rPr>
              <w:t>Kontingent für andere Zielgruppen</w:t>
            </w:r>
          </w:p>
        </w:tc>
        <w:tc>
          <w:tcPr>
            <w:tcW w:w="1188" w:type="dxa"/>
            <w:shd w:val="clear" w:color="auto" w:fill="FFFFFF" w:themeFill="background1"/>
            <w:noWrap/>
            <w:vAlign w:val="center"/>
            <w:hideMark/>
          </w:tcPr>
          <w:p w:rsidR="005F5B63" w:rsidRPr="007D2F3B" w:rsidRDefault="005F5B63" w:rsidP="00142A4B">
            <w:pPr>
              <w:spacing w:before="60" w:after="60" w:line="240" w:lineRule="auto"/>
              <w:ind w:right="249"/>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47</w:t>
            </w:r>
          </w:p>
        </w:tc>
        <w:tc>
          <w:tcPr>
            <w:tcW w:w="1188" w:type="dxa"/>
            <w:shd w:val="clear" w:color="auto" w:fill="FFFFFF" w:themeFill="background1"/>
            <w:vAlign w:val="center"/>
          </w:tcPr>
          <w:p w:rsidR="005F5B63" w:rsidRPr="007D2F3B" w:rsidRDefault="005F5B63" w:rsidP="00142A4B">
            <w:pPr>
              <w:spacing w:before="60" w:after="60" w:line="240" w:lineRule="auto"/>
              <w:ind w:right="249"/>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30%</w:t>
            </w:r>
          </w:p>
        </w:tc>
        <w:tc>
          <w:tcPr>
            <w:tcW w:w="1188" w:type="dxa"/>
            <w:shd w:val="clear" w:color="auto" w:fill="FFFFFF" w:themeFill="background1"/>
            <w:vAlign w:val="center"/>
          </w:tcPr>
          <w:p w:rsidR="005F5B63" w:rsidRPr="007D2F3B" w:rsidRDefault="005F5B63" w:rsidP="00142A4B">
            <w:pPr>
              <w:spacing w:before="60" w:after="60" w:line="240" w:lineRule="auto"/>
              <w:ind w:right="249"/>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108</w:t>
            </w:r>
          </w:p>
        </w:tc>
        <w:tc>
          <w:tcPr>
            <w:tcW w:w="1188" w:type="dxa"/>
            <w:shd w:val="clear" w:color="auto" w:fill="FFFFFF" w:themeFill="background1"/>
            <w:vAlign w:val="center"/>
          </w:tcPr>
          <w:p w:rsidR="005F5B63" w:rsidRPr="007D2F3B" w:rsidRDefault="005F5B63" w:rsidP="00142A4B">
            <w:pPr>
              <w:spacing w:before="60" w:after="60" w:line="240" w:lineRule="auto"/>
              <w:ind w:right="249"/>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70%</w:t>
            </w:r>
          </w:p>
        </w:tc>
      </w:tr>
    </w:tbl>
    <w:p w:rsidR="005F5B63" w:rsidRDefault="005F5B63" w:rsidP="005F5B63"/>
    <w:p w:rsidR="005F5B63" w:rsidRDefault="005F5B63" w:rsidP="00FF2B86">
      <w:pPr>
        <w:pStyle w:val="Untertitel"/>
      </w:pPr>
      <w:r>
        <w:t>Tab. 25:</w:t>
      </w:r>
      <w:r>
        <w:tab/>
        <w:t>verfügbare Versorgungskontingente für Zielgruppen; nach Einric</w:t>
      </w:r>
      <w:r>
        <w:t>h</w:t>
      </w:r>
      <w:r>
        <w:t>tungsart</w:t>
      </w:r>
    </w:p>
    <w:tbl>
      <w:tblPr>
        <w:tblW w:w="93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544"/>
        <w:gridCol w:w="1167"/>
        <w:gridCol w:w="1101"/>
        <w:gridCol w:w="1276"/>
        <w:gridCol w:w="1126"/>
        <w:gridCol w:w="1168"/>
      </w:tblGrid>
      <w:tr w:rsidR="005F5B63" w:rsidRPr="005C3243" w:rsidTr="00142A4B">
        <w:trPr>
          <w:trHeight w:val="315"/>
        </w:trPr>
        <w:tc>
          <w:tcPr>
            <w:tcW w:w="3544" w:type="dxa"/>
            <w:shd w:val="clear" w:color="auto" w:fill="D6E3BC" w:themeFill="accent3" w:themeFillTint="66"/>
            <w:noWrap/>
            <w:vAlign w:val="center"/>
            <w:hideMark/>
          </w:tcPr>
          <w:p w:rsidR="005F5B63" w:rsidRPr="005C3243" w:rsidRDefault="005F5B63" w:rsidP="00142A4B">
            <w:pPr>
              <w:spacing w:after="0" w:line="240" w:lineRule="auto"/>
              <w:rPr>
                <w:rFonts w:cs="Tahoma"/>
                <w:color w:val="000000"/>
                <w:sz w:val="18"/>
              </w:rPr>
            </w:pPr>
          </w:p>
        </w:tc>
        <w:tc>
          <w:tcPr>
            <w:tcW w:w="1167" w:type="dxa"/>
            <w:shd w:val="clear" w:color="auto" w:fill="D6E3BC" w:themeFill="accent3" w:themeFillTint="66"/>
            <w:noWrap/>
            <w:vAlign w:val="center"/>
            <w:hideMark/>
          </w:tcPr>
          <w:p w:rsidR="005F5B63" w:rsidRPr="005C3243" w:rsidRDefault="005F5B63" w:rsidP="00142A4B">
            <w:pPr>
              <w:spacing w:after="0" w:line="240" w:lineRule="auto"/>
              <w:rPr>
                <w:rFonts w:cs="Tahoma"/>
                <w:color w:val="000000"/>
                <w:sz w:val="18"/>
              </w:rPr>
            </w:pPr>
            <w:r w:rsidRPr="005C3243">
              <w:rPr>
                <w:rFonts w:cs="Tahoma"/>
                <w:color w:val="000000"/>
                <w:sz w:val="18"/>
              </w:rPr>
              <w:t>gesamt</w:t>
            </w:r>
          </w:p>
        </w:tc>
        <w:tc>
          <w:tcPr>
            <w:tcW w:w="1101" w:type="dxa"/>
            <w:shd w:val="clear" w:color="auto" w:fill="D6E3BC" w:themeFill="accent3" w:themeFillTint="66"/>
            <w:noWrap/>
            <w:vAlign w:val="center"/>
            <w:hideMark/>
          </w:tcPr>
          <w:p w:rsidR="005F5B63" w:rsidRPr="005C3243" w:rsidRDefault="005F5B63" w:rsidP="00142A4B">
            <w:pPr>
              <w:spacing w:after="0" w:line="240" w:lineRule="auto"/>
              <w:rPr>
                <w:rFonts w:cs="Tahoma"/>
                <w:color w:val="000000"/>
                <w:sz w:val="18"/>
              </w:rPr>
            </w:pPr>
            <w:r w:rsidRPr="005C3243">
              <w:rPr>
                <w:rFonts w:cs="Tahoma"/>
                <w:color w:val="000000"/>
                <w:sz w:val="18"/>
              </w:rPr>
              <w:t>Wohnungs</w:t>
            </w:r>
            <w:r w:rsidRPr="005C3243">
              <w:rPr>
                <w:rFonts w:cs="Tahoma"/>
                <w:color w:val="000000"/>
                <w:sz w:val="18"/>
              </w:rPr>
              <w:softHyphen/>
              <w:t>amt</w:t>
            </w:r>
          </w:p>
        </w:tc>
        <w:tc>
          <w:tcPr>
            <w:tcW w:w="1276" w:type="dxa"/>
            <w:shd w:val="clear" w:color="auto" w:fill="D6E3BC" w:themeFill="accent3" w:themeFillTint="66"/>
            <w:noWrap/>
            <w:vAlign w:val="center"/>
            <w:hideMark/>
          </w:tcPr>
          <w:p w:rsidR="005F5B63" w:rsidRPr="005C3243" w:rsidRDefault="005F5B63" w:rsidP="00142A4B">
            <w:pPr>
              <w:spacing w:after="0" w:line="240" w:lineRule="auto"/>
              <w:rPr>
                <w:rFonts w:cs="Tahoma"/>
                <w:color w:val="000000"/>
                <w:sz w:val="18"/>
              </w:rPr>
            </w:pPr>
            <w:r w:rsidRPr="005C3243">
              <w:rPr>
                <w:rFonts w:cs="Tahoma"/>
                <w:color w:val="000000"/>
                <w:sz w:val="18"/>
              </w:rPr>
              <w:t>gemeinnützi</w:t>
            </w:r>
            <w:r w:rsidRPr="005C3243">
              <w:rPr>
                <w:rFonts w:cs="Tahoma"/>
                <w:color w:val="000000"/>
                <w:sz w:val="18"/>
              </w:rPr>
              <w:softHyphen/>
              <w:t>ger Bauträger</w:t>
            </w:r>
          </w:p>
        </w:tc>
        <w:tc>
          <w:tcPr>
            <w:tcW w:w="1126" w:type="dxa"/>
            <w:shd w:val="clear" w:color="auto" w:fill="D6E3BC" w:themeFill="accent3" w:themeFillTint="66"/>
            <w:noWrap/>
            <w:vAlign w:val="center"/>
            <w:hideMark/>
          </w:tcPr>
          <w:p w:rsidR="005F5B63" w:rsidRPr="005C3243" w:rsidRDefault="005F5B63" w:rsidP="00142A4B">
            <w:pPr>
              <w:spacing w:after="0" w:line="240" w:lineRule="auto"/>
              <w:rPr>
                <w:rFonts w:cs="Tahoma"/>
                <w:color w:val="000000"/>
                <w:sz w:val="18"/>
              </w:rPr>
            </w:pPr>
            <w:r w:rsidRPr="005C3243">
              <w:rPr>
                <w:rFonts w:cs="Tahoma"/>
                <w:color w:val="000000"/>
                <w:sz w:val="18"/>
              </w:rPr>
              <w:t>privater Bauträger</w:t>
            </w:r>
          </w:p>
        </w:tc>
        <w:tc>
          <w:tcPr>
            <w:tcW w:w="1168" w:type="dxa"/>
            <w:shd w:val="clear" w:color="auto" w:fill="D6E3BC" w:themeFill="accent3" w:themeFillTint="66"/>
            <w:vAlign w:val="center"/>
          </w:tcPr>
          <w:p w:rsidR="005F5B63" w:rsidRPr="005C3243" w:rsidRDefault="005F5B63" w:rsidP="00142A4B">
            <w:pPr>
              <w:spacing w:after="0" w:line="240" w:lineRule="auto"/>
              <w:rPr>
                <w:rFonts w:cs="Tahoma"/>
                <w:color w:val="000000"/>
                <w:sz w:val="18"/>
              </w:rPr>
            </w:pPr>
            <w:r w:rsidRPr="005C3243">
              <w:rPr>
                <w:rFonts w:cs="Tahoma"/>
                <w:color w:val="000000"/>
                <w:sz w:val="18"/>
              </w:rPr>
              <w:t>Beratungs</w:t>
            </w:r>
            <w:r w:rsidRPr="005C3243">
              <w:rPr>
                <w:rFonts w:cs="Tahoma"/>
                <w:color w:val="000000"/>
                <w:sz w:val="18"/>
              </w:rPr>
              <w:softHyphen/>
              <w:t>einrichtung</w:t>
            </w:r>
          </w:p>
        </w:tc>
      </w:tr>
      <w:tr w:rsidR="005F5B63" w:rsidRPr="005C3243" w:rsidTr="00142A4B">
        <w:trPr>
          <w:trHeight w:val="315"/>
        </w:trPr>
        <w:tc>
          <w:tcPr>
            <w:tcW w:w="3544" w:type="dxa"/>
            <w:shd w:val="clear" w:color="000000" w:fill="FFFFFF"/>
            <w:noWrap/>
            <w:vAlign w:val="bottom"/>
            <w:hideMark/>
          </w:tcPr>
          <w:p w:rsidR="005F5B63" w:rsidRPr="005C3243" w:rsidRDefault="005F5B63" w:rsidP="00142A4B">
            <w:pPr>
              <w:spacing w:after="0" w:line="240" w:lineRule="auto"/>
              <w:rPr>
                <w:rFonts w:cs="Tahoma"/>
                <w:color w:val="000000"/>
                <w:sz w:val="18"/>
                <w:szCs w:val="20"/>
              </w:rPr>
            </w:pPr>
            <w:r w:rsidRPr="005C3243">
              <w:rPr>
                <w:rFonts w:cs="Tahoma"/>
                <w:color w:val="000000"/>
                <w:sz w:val="18"/>
                <w:szCs w:val="20"/>
                <w:lang w:val="de-AT"/>
              </w:rPr>
              <w:t>Kontingent für die Bekämpfung von Armut und Wohnungslosigkeit, z.B. für betreutes Wohnen</w:t>
            </w:r>
          </w:p>
        </w:tc>
        <w:tc>
          <w:tcPr>
            <w:tcW w:w="1167" w:type="dxa"/>
            <w:shd w:val="clear" w:color="000000" w:fill="FFFFFF"/>
            <w:vAlign w:val="center"/>
            <w:hideMark/>
          </w:tcPr>
          <w:p w:rsidR="005F5B63" w:rsidRPr="005C3243" w:rsidRDefault="005F5B63" w:rsidP="00142A4B">
            <w:pPr>
              <w:spacing w:after="0" w:line="240" w:lineRule="auto"/>
              <w:ind w:right="207"/>
              <w:jc w:val="right"/>
              <w:rPr>
                <w:rFonts w:cs="Tahoma"/>
                <w:color w:val="000000"/>
                <w:sz w:val="18"/>
                <w:szCs w:val="20"/>
              </w:rPr>
            </w:pPr>
            <w:r w:rsidRPr="005C3243">
              <w:rPr>
                <w:rFonts w:cs="Tahoma"/>
                <w:color w:val="000000"/>
                <w:sz w:val="18"/>
                <w:szCs w:val="20"/>
                <w:lang w:val="de-AT"/>
              </w:rPr>
              <w:t>45%</w:t>
            </w:r>
          </w:p>
        </w:tc>
        <w:tc>
          <w:tcPr>
            <w:tcW w:w="1101" w:type="dxa"/>
            <w:shd w:val="clear" w:color="auto" w:fill="auto"/>
            <w:noWrap/>
            <w:vAlign w:val="center"/>
            <w:hideMark/>
          </w:tcPr>
          <w:p w:rsidR="005F5B63" w:rsidRPr="005C3243" w:rsidRDefault="005F5B63" w:rsidP="00142A4B">
            <w:pPr>
              <w:spacing w:after="0" w:line="240" w:lineRule="auto"/>
              <w:ind w:right="207"/>
              <w:jc w:val="right"/>
              <w:rPr>
                <w:rFonts w:cs="Tahoma"/>
                <w:color w:val="000000"/>
                <w:sz w:val="18"/>
              </w:rPr>
            </w:pPr>
            <w:r w:rsidRPr="005C3243">
              <w:rPr>
                <w:rFonts w:cs="Tahoma"/>
                <w:color w:val="000000"/>
                <w:sz w:val="18"/>
              </w:rPr>
              <w:t>32</w:t>
            </w:r>
            <w:r>
              <w:rPr>
                <w:rFonts w:cs="Tahoma"/>
                <w:color w:val="000000"/>
                <w:sz w:val="18"/>
              </w:rPr>
              <w:t>%</w:t>
            </w:r>
          </w:p>
        </w:tc>
        <w:tc>
          <w:tcPr>
            <w:tcW w:w="1276" w:type="dxa"/>
            <w:shd w:val="clear" w:color="auto" w:fill="auto"/>
            <w:noWrap/>
            <w:vAlign w:val="center"/>
            <w:hideMark/>
          </w:tcPr>
          <w:p w:rsidR="005F5B63" w:rsidRPr="005C3243" w:rsidRDefault="005F5B63" w:rsidP="00142A4B">
            <w:pPr>
              <w:spacing w:after="0" w:line="240" w:lineRule="auto"/>
              <w:ind w:right="207"/>
              <w:jc w:val="right"/>
              <w:rPr>
                <w:rFonts w:cs="Tahoma"/>
                <w:color w:val="000000"/>
                <w:sz w:val="18"/>
              </w:rPr>
            </w:pPr>
            <w:r w:rsidRPr="005C3243">
              <w:rPr>
                <w:rFonts w:cs="Tahoma"/>
                <w:color w:val="000000"/>
                <w:sz w:val="18"/>
              </w:rPr>
              <w:t>33</w:t>
            </w:r>
            <w:r>
              <w:rPr>
                <w:rFonts w:cs="Tahoma"/>
                <w:color w:val="000000"/>
                <w:sz w:val="18"/>
              </w:rPr>
              <w:t>%</w:t>
            </w:r>
          </w:p>
        </w:tc>
        <w:tc>
          <w:tcPr>
            <w:tcW w:w="1126" w:type="dxa"/>
            <w:shd w:val="clear" w:color="auto" w:fill="auto"/>
            <w:noWrap/>
            <w:vAlign w:val="center"/>
            <w:hideMark/>
          </w:tcPr>
          <w:p w:rsidR="005F5B63" w:rsidRPr="005C3243" w:rsidRDefault="005F5B63" w:rsidP="00142A4B">
            <w:pPr>
              <w:spacing w:after="0" w:line="240" w:lineRule="auto"/>
              <w:ind w:right="207"/>
              <w:jc w:val="right"/>
              <w:rPr>
                <w:rFonts w:cs="Tahoma"/>
                <w:color w:val="000000"/>
                <w:sz w:val="18"/>
              </w:rPr>
            </w:pPr>
            <w:r w:rsidRPr="005C3243">
              <w:rPr>
                <w:rFonts w:cs="Tahoma"/>
                <w:color w:val="000000"/>
                <w:sz w:val="18"/>
              </w:rPr>
              <w:t>35</w:t>
            </w:r>
            <w:r>
              <w:rPr>
                <w:rFonts w:cs="Tahoma"/>
                <w:color w:val="000000"/>
                <w:sz w:val="18"/>
              </w:rPr>
              <w:t>%</w:t>
            </w:r>
          </w:p>
        </w:tc>
        <w:tc>
          <w:tcPr>
            <w:tcW w:w="1168" w:type="dxa"/>
            <w:vAlign w:val="center"/>
          </w:tcPr>
          <w:p w:rsidR="005F5B63" w:rsidRPr="005C3243" w:rsidRDefault="005F5B63" w:rsidP="00142A4B">
            <w:pPr>
              <w:spacing w:after="0" w:line="240" w:lineRule="auto"/>
              <w:ind w:right="207"/>
              <w:jc w:val="right"/>
              <w:rPr>
                <w:rFonts w:cs="Tahoma"/>
                <w:color w:val="000000"/>
                <w:sz w:val="18"/>
              </w:rPr>
            </w:pPr>
            <w:r w:rsidRPr="005C3243">
              <w:rPr>
                <w:rFonts w:cs="Tahoma"/>
                <w:color w:val="000000"/>
                <w:sz w:val="18"/>
              </w:rPr>
              <w:t>54</w:t>
            </w:r>
            <w:r>
              <w:rPr>
                <w:rFonts w:cs="Tahoma"/>
                <w:color w:val="000000"/>
                <w:sz w:val="18"/>
              </w:rPr>
              <w:t>%</w:t>
            </w:r>
          </w:p>
        </w:tc>
      </w:tr>
      <w:tr w:rsidR="005F5B63" w:rsidRPr="005C3243" w:rsidTr="00142A4B">
        <w:trPr>
          <w:trHeight w:val="315"/>
        </w:trPr>
        <w:tc>
          <w:tcPr>
            <w:tcW w:w="3544" w:type="dxa"/>
            <w:shd w:val="clear" w:color="000000" w:fill="FFFFFF"/>
            <w:noWrap/>
            <w:vAlign w:val="bottom"/>
            <w:hideMark/>
          </w:tcPr>
          <w:p w:rsidR="005F5B63" w:rsidRPr="005C3243" w:rsidRDefault="005F5B63" w:rsidP="00142A4B">
            <w:pPr>
              <w:spacing w:after="0" w:line="240" w:lineRule="auto"/>
              <w:rPr>
                <w:rFonts w:cs="Tahoma"/>
                <w:color w:val="000000"/>
                <w:sz w:val="18"/>
                <w:szCs w:val="20"/>
              </w:rPr>
            </w:pPr>
            <w:r w:rsidRPr="005C3243">
              <w:rPr>
                <w:rFonts w:cs="Tahoma"/>
                <w:color w:val="000000"/>
                <w:sz w:val="18"/>
                <w:szCs w:val="20"/>
                <w:lang w:val="de-AT"/>
              </w:rPr>
              <w:t>Kontingent für die Wohnversorgung von Drittstaatsangehörigen</w:t>
            </w:r>
          </w:p>
        </w:tc>
        <w:tc>
          <w:tcPr>
            <w:tcW w:w="1167" w:type="dxa"/>
            <w:shd w:val="clear" w:color="000000" w:fill="FFFFFF"/>
            <w:vAlign w:val="center"/>
            <w:hideMark/>
          </w:tcPr>
          <w:p w:rsidR="005F5B63" w:rsidRPr="005C3243" w:rsidRDefault="005F5B63" w:rsidP="00142A4B">
            <w:pPr>
              <w:spacing w:after="0" w:line="240" w:lineRule="auto"/>
              <w:ind w:right="207"/>
              <w:jc w:val="right"/>
              <w:rPr>
                <w:rFonts w:cs="Tahoma"/>
                <w:color w:val="000000"/>
                <w:sz w:val="18"/>
                <w:szCs w:val="20"/>
              </w:rPr>
            </w:pPr>
            <w:r w:rsidRPr="005C3243">
              <w:rPr>
                <w:rFonts w:cs="Tahoma"/>
                <w:color w:val="000000"/>
                <w:sz w:val="18"/>
                <w:szCs w:val="20"/>
                <w:lang w:val="de-AT"/>
              </w:rPr>
              <w:t>21%</w:t>
            </w:r>
          </w:p>
        </w:tc>
        <w:tc>
          <w:tcPr>
            <w:tcW w:w="1101" w:type="dxa"/>
            <w:shd w:val="clear" w:color="auto" w:fill="auto"/>
            <w:noWrap/>
            <w:vAlign w:val="center"/>
            <w:hideMark/>
          </w:tcPr>
          <w:p w:rsidR="005F5B63" w:rsidRPr="005C3243" w:rsidRDefault="005F5B63" w:rsidP="00142A4B">
            <w:pPr>
              <w:spacing w:after="0" w:line="240" w:lineRule="auto"/>
              <w:ind w:right="207"/>
              <w:jc w:val="right"/>
              <w:rPr>
                <w:rFonts w:cs="Tahoma"/>
                <w:color w:val="000000"/>
                <w:sz w:val="18"/>
              </w:rPr>
            </w:pPr>
            <w:r w:rsidRPr="005C3243">
              <w:rPr>
                <w:rFonts w:cs="Tahoma"/>
                <w:color w:val="000000"/>
                <w:sz w:val="18"/>
              </w:rPr>
              <w:t>15</w:t>
            </w:r>
            <w:r>
              <w:rPr>
                <w:rFonts w:cs="Tahoma"/>
                <w:color w:val="000000"/>
                <w:sz w:val="18"/>
              </w:rPr>
              <w:t>%</w:t>
            </w:r>
          </w:p>
        </w:tc>
        <w:tc>
          <w:tcPr>
            <w:tcW w:w="1276" w:type="dxa"/>
            <w:shd w:val="clear" w:color="auto" w:fill="auto"/>
            <w:noWrap/>
            <w:vAlign w:val="center"/>
            <w:hideMark/>
          </w:tcPr>
          <w:p w:rsidR="005F5B63" w:rsidRPr="005C3243" w:rsidRDefault="005F5B63" w:rsidP="00142A4B">
            <w:pPr>
              <w:spacing w:after="0" w:line="240" w:lineRule="auto"/>
              <w:ind w:right="207"/>
              <w:jc w:val="right"/>
              <w:rPr>
                <w:rFonts w:cs="Tahoma"/>
                <w:color w:val="000000"/>
                <w:sz w:val="18"/>
              </w:rPr>
            </w:pPr>
            <w:r w:rsidRPr="005C3243">
              <w:rPr>
                <w:rFonts w:cs="Tahoma"/>
                <w:color w:val="000000"/>
                <w:sz w:val="18"/>
              </w:rPr>
              <w:t>9</w:t>
            </w:r>
            <w:r>
              <w:rPr>
                <w:rFonts w:cs="Tahoma"/>
                <w:color w:val="000000"/>
                <w:sz w:val="18"/>
              </w:rPr>
              <w:t>%</w:t>
            </w:r>
          </w:p>
        </w:tc>
        <w:tc>
          <w:tcPr>
            <w:tcW w:w="1126" w:type="dxa"/>
            <w:shd w:val="clear" w:color="auto" w:fill="auto"/>
            <w:noWrap/>
            <w:vAlign w:val="center"/>
            <w:hideMark/>
          </w:tcPr>
          <w:p w:rsidR="005F5B63" w:rsidRPr="005C3243" w:rsidRDefault="005F5B63" w:rsidP="00142A4B">
            <w:pPr>
              <w:spacing w:after="0" w:line="240" w:lineRule="auto"/>
              <w:ind w:right="207"/>
              <w:jc w:val="right"/>
              <w:rPr>
                <w:rFonts w:cs="Tahoma"/>
                <w:color w:val="000000"/>
                <w:sz w:val="18"/>
              </w:rPr>
            </w:pPr>
            <w:r w:rsidRPr="005C3243">
              <w:rPr>
                <w:rFonts w:cs="Tahoma"/>
                <w:color w:val="000000"/>
                <w:sz w:val="18"/>
              </w:rPr>
              <w:t>0</w:t>
            </w:r>
            <w:r>
              <w:rPr>
                <w:rFonts w:cs="Tahoma"/>
                <w:color w:val="000000"/>
                <w:sz w:val="18"/>
              </w:rPr>
              <w:t>%</w:t>
            </w:r>
          </w:p>
        </w:tc>
        <w:tc>
          <w:tcPr>
            <w:tcW w:w="1168" w:type="dxa"/>
            <w:vAlign w:val="center"/>
          </w:tcPr>
          <w:p w:rsidR="005F5B63" w:rsidRPr="005C3243" w:rsidRDefault="005F5B63" w:rsidP="00142A4B">
            <w:pPr>
              <w:spacing w:after="0" w:line="240" w:lineRule="auto"/>
              <w:ind w:right="207"/>
              <w:jc w:val="right"/>
              <w:rPr>
                <w:rFonts w:cs="Tahoma"/>
                <w:color w:val="000000"/>
                <w:sz w:val="18"/>
              </w:rPr>
            </w:pPr>
            <w:r w:rsidRPr="005C3243">
              <w:rPr>
                <w:rFonts w:cs="Tahoma"/>
                <w:color w:val="000000"/>
                <w:sz w:val="18"/>
              </w:rPr>
              <w:t>22</w:t>
            </w:r>
            <w:r>
              <w:rPr>
                <w:rFonts w:cs="Tahoma"/>
                <w:color w:val="000000"/>
                <w:sz w:val="18"/>
              </w:rPr>
              <w:t>%</w:t>
            </w:r>
          </w:p>
        </w:tc>
      </w:tr>
      <w:tr w:rsidR="005F5B63" w:rsidRPr="005C3243" w:rsidTr="00142A4B">
        <w:trPr>
          <w:trHeight w:val="315"/>
        </w:trPr>
        <w:tc>
          <w:tcPr>
            <w:tcW w:w="3544" w:type="dxa"/>
            <w:shd w:val="clear" w:color="000000" w:fill="FFFFFF"/>
            <w:noWrap/>
            <w:vAlign w:val="bottom"/>
            <w:hideMark/>
          </w:tcPr>
          <w:p w:rsidR="005F5B63" w:rsidRPr="005C3243" w:rsidRDefault="005F5B63" w:rsidP="00142A4B">
            <w:pPr>
              <w:spacing w:after="0" w:line="240" w:lineRule="auto"/>
              <w:rPr>
                <w:rFonts w:cs="Tahoma"/>
                <w:color w:val="000000"/>
                <w:sz w:val="18"/>
                <w:szCs w:val="20"/>
              </w:rPr>
            </w:pPr>
            <w:r w:rsidRPr="005C3243">
              <w:rPr>
                <w:rFonts w:cs="Tahoma"/>
                <w:color w:val="000000"/>
                <w:sz w:val="18"/>
                <w:szCs w:val="20"/>
                <w:lang w:val="de-AT"/>
              </w:rPr>
              <w:t>Kontingent für die Wohnversorgung von anerkannten Asylsuchenden</w:t>
            </w:r>
          </w:p>
        </w:tc>
        <w:tc>
          <w:tcPr>
            <w:tcW w:w="1167" w:type="dxa"/>
            <w:shd w:val="clear" w:color="000000" w:fill="FFFFFF"/>
            <w:vAlign w:val="center"/>
            <w:hideMark/>
          </w:tcPr>
          <w:p w:rsidR="005F5B63" w:rsidRPr="005C3243" w:rsidRDefault="005F5B63" w:rsidP="00142A4B">
            <w:pPr>
              <w:spacing w:after="0" w:line="240" w:lineRule="auto"/>
              <w:ind w:right="207"/>
              <w:jc w:val="right"/>
              <w:rPr>
                <w:rFonts w:cs="Tahoma"/>
                <w:color w:val="000000"/>
                <w:sz w:val="18"/>
                <w:szCs w:val="20"/>
              </w:rPr>
            </w:pPr>
            <w:r w:rsidRPr="005C3243">
              <w:rPr>
                <w:rFonts w:cs="Tahoma"/>
                <w:color w:val="000000"/>
                <w:sz w:val="18"/>
                <w:szCs w:val="20"/>
                <w:lang w:val="de-AT"/>
              </w:rPr>
              <w:t>26%</w:t>
            </w:r>
          </w:p>
        </w:tc>
        <w:tc>
          <w:tcPr>
            <w:tcW w:w="1101" w:type="dxa"/>
            <w:shd w:val="clear" w:color="auto" w:fill="auto"/>
            <w:noWrap/>
            <w:vAlign w:val="center"/>
            <w:hideMark/>
          </w:tcPr>
          <w:p w:rsidR="005F5B63" w:rsidRPr="005C3243" w:rsidRDefault="005F5B63" w:rsidP="00142A4B">
            <w:pPr>
              <w:spacing w:after="0" w:line="240" w:lineRule="auto"/>
              <w:ind w:right="207"/>
              <w:jc w:val="right"/>
              <w:rPr>
                <w:rFonts w:cs="Tahoma"/>
                <w:color w:val="000000"/>
                <w:sz w:val="18"/>
              </w:rPr>
            </w:pPr>
            <w:r w:rsidRPr="005C3243">
              <w:rPr>
                <w:rFonts w:cs="Tahoma"/>
                <w:color w:val="000000"/>
                <w:sz w:val="18"/>
              </w:rPr>
              <w:t>17</w:t>
            </w:r>
            <w:r>
              <w:rPr>
                <w:rFonts w:cs="Tahoma"/>
                <w:color w:val="000000"/>
                <w:sz w:val="18"/>
              </w:rPr>
              <w:t>%</w:t>
            </w:r>
          </w:p>
        </w:tc>
        <w:tc>
          <w:tcPr>
            <w:tcW w:w="1276" w:type="dxa"/>
            <w:shd w:val="clear" w:color="auto" w:fill="auto"/>
            <w:noWrap/>
            <w:vAlign w:val="center"/>
            <w:hideMark/>
          </w:tcPr>
          <w:p w:rsidR="005F5B63" w:rsidRPr="005C3243" w:rsidRDefault="005F5B63" w:rsidP="00142A4B">
            <w:pPr>
              <w:spacing w:after="0" w:line="240" w:lineRule="auto"/>
              <w:ind w:right="207"/>
              <w:jc w:val="right"/>
              <w:rPr>
                <w:rFonts w:cs="Tahoma"/>
                <w:color w:val="000000"/>
                <w:sz w:val="18"/>
              </w:rPr>
            </w:pPr>
            <w:r w:rsidRPr="005C3243">
              <w:rPr>
                <w:rFonts w:cs="Tahoma"/>
                <w:color w:val="000000"/>
                <w:sz w:val="18"/>
              </w:rPr>
              <w:t>18</w:t>
            </w:r>
            <w:r>
              <w:rPr>
                <w:rFonts w:cs="Tahoma"/>
                <w:color w:val="000000"/>
                <w:sz w:val="18"/>
              </w:rPr>
              <w:t>%</w:t>
            </w:r>
          </w:p>
        </w:tc>
        <w:tc>
          <w:tcPr>
            <w:tcW w:w="1126" w:type="dxa"/>
            <w:shd w:val="clear" w:color="auto" w:fill="auto"/>
            <w:noWrap/>
            <w:vAlign w:val="center"/>
            <w:hideMark/>
          </w:tcPr>
          <w:p w:rsidR="005F5B63" w:rsidRPr="005C3243" w:rsidRDefault="005F5B63" w:rsidP="00142A4B">
            <w:pPr>
              <w:spacing w:after="0" w:line="240" w:lineRule="auto"/>
              <w:ind w:right="207"/>
              <w:jc w:val="right"/>
              <w:rPr>
                <w:rFonts w:cs="Tahoma"/>
                <w:color w:val="000000"/>
                <w:sz w:val="18"/>
              </w:rPr>
            </w:pPr>
            <w:r w:rsidRPr="005C3243">
              <w:rPr>
                <w:rFonts w:cs="Tahoma"/>
                <w:color w:val="000000"/>
                <w:sz w:val="18"/>
              </w:rPr>
              <w:t>24</w:t>
            </w:r>
            <w:r>
              <w:rPr>
                <w:rFonts w:cs="Tahoma"/>
                <w:color w:val="000000"/>
                <w:sz w:val="18"/>
              </w:rPr>
              <w:t>%</w:t>
            </w:r>
          </w:p>
        </w:tc>
        <w:tc>
          <w:tcPr>
            <w:tcW w:w="1168" w:type="dxa"/>
            <w:vAlign w:val="center"/>
          </w:tcPr>
          <w:p w:rsidR="005F5B63" w:rsidRPr="005C3243" w:rsidRDefault="005F5B63" w:rsidP="00142A4B">
            <w:pPr>
              <w:spacing w:after="0" w:line="240" w:lineRule="auto"/>
              <w:ind w:right="207"/>
              <w:jc w:val="right"/>
              <w:rPr>
                <w:rFonts w:cs="Tahoma"/>
                <w:color w:val="000000"/>
                <w:sz w:val="18"/>
              </w:rPr>
            </w:pPr>
            <w:r w:rsidRPr="005C3243">
              <w:rPr>
                <w:rFonts w:cs="Tahoma"/>
                <w:color w:val="000000"/>
                <w:sz w:val="18"/>
              </w:rPr>
              <w:t>26</w:t>
            </w:r>
            <w:r>
              <w:rPr>
                <w:rFonts w:cs="Tahoma"/>
                <w:color w:val="000000"/>
                <w:sz w:val="18"/>
              </w:rPr>
              <w:t>%</w:t>
            </w:r>
          </w:p>
        </w:tc>
      </w:tr>
      <w:tr w:rsidR="005F5B63" w:rsidRPr="005C3243" w:rsidTr="00142A4B">
        <w:trPr>
          <w:trHeight w:val="315"/>
        </w:trPr>
        <w:tc>
          <w:tcPr>
            <w:tcW w:w="3544" w:type="dxa"/>
            <w:shd w:val="clear" w:color="000000" w:fill="FFFFFF"/>
            <w:noWrap/>
            <w:vAlign w:val="bottom"/>
            <w:hideMark/>
          </w:tcPr>
          <w:p w:rsidR="005F5B63" w:rsidRPr="005C3243" w:rsidRDefault="005F5B63" w:rsidP="00142A4B">
            <w:pPr>
              <w:spacing w:after="0" w:line="240" w:lineRule="auto"/>
              <w:rPr>
                <w:rFonts w:cs="Tahoma"/>
                <w:color w:val="000000"/>
                <w:sz w:val="18"/>
                <w:szCs w:val="20"/>
              </w:rPr>
            </w:pPr>
            <w:r w:rsidRPr="005C3243">
              <w:rPr>
                <w:rFonts w:cs="Tahoma"/>
                <w:color w:val="000000"/>
                <w:sz w:val="18"/>
                <w:szCs w:val="20"/>
                <w:lang w:val="de-AT"/>
              </w:rPr>
              <w:t>betreutes Wohnen für SeniorInnen</w:t>
            </w:r>
          </w:p>
        </w:tc>
        <w:tc>
          <w:tcPr>
            <w:tcW w:w="1167" w:type="dxa"/>
            <w:shd w:val="clear" w:color="000000" w:fill="FFFFFF"/>
            <w:vAlign w:val="center"/>
            <w:hideMark/>
          </w:tcPr>
          <w:p w:rsidR="005F5B63" w:rsidRPr="005C3243" w:rsidRDefault="005F5B63" w:rsidP="00142A4B">
            <w:pPr>
              <w:spacing w:after="0" w:line="240" w:lineRule="auto"/>
              <w:ind w:right="207"/>
              <w:jc w:val="right"/>
              <w:rPr>
                <w:rFonts w:cs="Tahoma"/>
                <w:color w:val="000000"/>
                <w:sz w:val="18"/>
                <w:szCs w:val="20"/>
              </w:rPr>
            </w:pPr>
            <w:r w:rsidRPr="005C3243">
              <w:rPr>
                <w:rFonts w:cs="Tahoma"/>
                <w:color w:val="000000"/>
                <w:sz w:val="18"/>
                <w:szCs w:val="20"/>
                <w:lang w:val="de-AT"/>
              </w:rPr>
              <w:t>42%</w:t>
            </w:r>
          </w:p>
        </w:tc>
        <w:tc>
          <w:tcPr>
            <w:tcW w:w="1101" w:type="dxa"/>
            <w:shd w:val="clear" w:color="auto" w:fill="auto"/>
            <w:noWrap/>
            <w:vAlign w:val="center"/>
            <w:hideMark/>
          </w:tcPr>
          <w:p w:rsidR="005F5B63" w:rsidRPr="005C3243" w:rsidRDefault="005F5B63" w:rsidP="00142A4B">
            <w:pPr>
              <w:spacing w:after="0" w:line="240" w:lineRule="auto"/>
              <w:ind w:right="207"/>
              <w:jc w:val="right"/>
              <w:rPr>
                <w:rFonts w:cs="Tahoma"/>
                <w:color w:val="000000"/>
                <w:sz w:val="18"/>
              </w:rPr>
            </w:pPr>
            <w:r w:rsidRPr="005C3243">
              <w:rPr>
                <w:rFonts w:cs="Tahoma"/>
                <w:color w:val="000000"/>
                <w:sz w:val="18"/>
              </w:rPr>
              <w:t>51</w:t>
            </w:r>
            <w:r>
              <w:rPr>
                <w:rFonts w:cs="Tahoma"/>
                <w:color w:val="000000"/>
                <w:sz w:val="18"/>
              </w:rPr>
              <w:t>%</w:t>
            </w:r>
          </w:p>
        </w:tc>
        <w:tc>
          <w:tcPr>
            <w:tcW w:w="1276" w:type="dxa"/>
            <w:shd w:val="clear" w:color="auto" w:fill="auto"/>
            <w:noWrap/>
            <w:vAlign w:val="center"/>
            <w:hideMark/>
          </w:tcPr>
          <w:p w:rsidR="005F5B63" w:rsidRPr="005C3243" w:rsidRDefault="005F5B63" w:rsidP="00142A4B">
            <w:pPr>
              <w:spacing w:after="0" w:line="240" w:lineRule="auto"/>
              <w:ind w:right="207"/>
              <w:jc w:val="right"/>
              <w:rPr>
                <w:rFonts w:cs="Tahoma"/>
                <w:color w:val="000000"/>
                <w:sz w:val="18"/>
              </w:rPr>
            </w:pPr>
            <w:r w:rsidRPr="005C3243">
              <w:rPr>
                <w:rFonts w:cs="Tahoma"/>
                <w:color w:val="000000"/>
                <w:sz w:val="18"/>
              </w:rPr>
              <w:t>61</w:t>
            </w:r>
            <w:r>
              <w:rPr>
                <w:rFonts w:cs="Tahoma"/>
                <w:color w:val="000000"/>
                <w:sz w:val="18"/>
              </w:rPr>
              <w:t>%</w:t>
            </w:r>
          </w:p>
        </w:tc>
        <w:tc>
          <w:tcPr>
            <w:tcW w:w="1126" w:type="dxa"/>
            <w:shd w:val="clear" w:color="auto" w:fill="auto"/>
            <w:noWrap/>
            <w:vAlign w:val="center"/>
            <w:hideMark/>
          </w:tcPr>
          <w:p w:rsidR="005F5B63" w:rsidRPr="005C3243" w:rsidRDefault="005F5B63" w:rsidP="00142A4B">
            <w:pPr>
              <w:spacing w:after="0" w:line="240" w:lineRule="auto"/>
              <w:ind w:right="207"/>
              <w:jc w:val="right"/>
              <w:rPr>
                <w:rFonts w:cs="Tahoma"/>
                <w:color w:val="000000"/>
                <w:sz w:val="18"/>
              </w:rPr>
            </w:pPr>
            <w:r w:rsidRPr="005C3243">
              <w:rPr>
                <w:rFonts w:cs="Tahoma"/>
                <w:color w:val="000000"/>
                <w:sz w:val="18"/>
              </w:rPr>
              <w:t>24</w:t>
            </w:r>
            <w:r>
              <w:rPr>
                <w:rFonts w:cs="Tahoma"/>
                <w:color w:val="000000"/>
                <w:sz w:val="18"/>
              </w:rPr>
              <w:t>%</w:t>
            </w:r>
          </w:p>
        </w:tc>
        <w:tc>
          <w:tcPr>
            <w:tcW w:w="1168" w:type="dxa"/>
            <w:vAlign w:val="center"/>
          </w:tcPr>
          <w:p w:rsidR="005F5B63" w:rsidRPr="005C3243" w:rsidRDefault="005F5B63" w:rsidP="00142A4B">
            <w:pPr>
              <w:spacing w:after="0" w:line="240" w:lineRule="auto"/>
              <w:ind w:right="207"/>
              <w:jc w:val="right"/>
              <w:rPr>
                <w:rFonts w:cs="Tahoma"/>
                <w:color w:val="000000"/>
                <w:sz w:val="18"/>
              </w:rPr>
            </w:pPr>
            <w:r w:rsidRPr="005C3243">
              <w:rPr>
                <w:rFonts w:cs="Tahoma"/>
                <w:color w:val="000000"/>
                <w:sz w:val="18"/>
              </w:rPr>
              <w:t>35</w:t>
            </w:r>
            <w:r>
              <w:rPr>
                <w:rFonts w:cs="Tahoma"/>
                <w:color w:val="000000"/>
                <w:sz w:val="18"/>
              </w:rPr>
              <w:t>%</w:t>
            </w:r>
          </w:p>
        </w:tc>
      </w:tr>
      <w:tr w:rsidR="005F5B63" w:rsidRPr="005C3243" w:rsidTr="00142A4B">
        <w:trPr>
          <w:trHeight w:val="315"/>
        </w:trPr>
        <w:tc>
          <w:tcPr>
            <w:tcW w:w="3544" w:type="dxa"/>
            <w:shd w:val="clear" w:color="000000" w:fill="FFFFFF"/>
            <w:noWrap/>
            <w:vAlign w:val="bottom"/>
            <w:hideMark/>
          </w:tcPr>
          <w:p w:rsidR="005F5B63" w:rsidRPr="005C3243" w:rsidRDefault="005F5B63" w:rsidP="00142A4B">
            <w:pPr>
              <w:spacing w:after="0" w:line="240" w:lineRule="auto"/>
              <w:rPr>
                <w:rFonts w:cs="Tahoma"/>
                <w:color w:val="000000"/>
                <w:sz w:val="18"/>
                <w:szCs w:val="20"/>
              </w:rPr>
            </w:pPr>
            <w:r w:rsidRPr="005C3243">
              <w:rPr>
                <w:rFonts w:cs="Tahoma"/>
                <w:color w:val="000000"/>
                <w:sz w:val="18"/>
                <w:szCs w:val="20"/>
                <w:lang w:val="de-AT"/>
              </w:rPr>
              <w:t>Startwohnungen für Jungfamilien</w:t>
            </w:r>
          </w:p>
        </w:tc>
        <w:tc>
          <w:tcPr>
            <w:tcW w:w="1167" w:type="dxa"/>
            <w:shd w:val="clear" w:color="000000" w:fill="FFFFFF"/>
            <w:vAlign w:val="center"/>
            <w:hideMark/>
          </w:tcPr>
          <w:p w:rsidR="005F5B63" w:rsidRPr="005C3243" w:rsidRDefault="005F5B63" w:rsidP="00142A4B">
            <w:pPr>
              <w:spacing w:after="0" w:line="240" w:lineRule="auto"/>
              <w:ind w:right="207"/>
              <w:jc w:val="right"/>
              <w:rPr>
                <w:rFonts w:cs="Tahoma"/>
                <w:color w:val="000000"/>
                <w:sz w:val="18"/>
                <w:szCs w:val="20"/>
              </w:rPr>
            </w:pPr>
            <w:r w:rsidRPr="005C3243">
              <w:rPr>
                <w:rFonts w:cs="Tahoma"/>
                <w:color w:val="000000"/>
                <w:sz w:val="18"/>
                <w:szCs w:val="20"/>
                <w:lang w:val="de-AT"/>
              </w:rPr>
              <w:t>33%</w:t>
            </w:r>
          </w:p>
        </w:tc>
        <w:tc>
          <w:tcPr>
            <w:tcW w:w="1101" w:type="dxa"/>
            <w:shd w:val="clear" w:color="auto" w:fill="auto"/>
            <w:noWrap/>
            <w:vAlign w:val="center"/>
            <w:hideMark/>
          </w:tcPr>
          <w:p w:rsidR="005F5B63" w:rsidRPr="005C3243" w:rsidRDefault="005F5B63" w:rsidP="00142A4B">
            <w:pPr>
              <w:spacing w:after="0" w:line="240" w:lineRule="auto"/>
              <w:ind w:right="207"/>
              <w:jc w:val="right"/>
              <w:rPr>
                <w:rFonts w:cs="Tahoma"/>
                <w:color w:val="000000"/>
                <w:sz w:val="18"/>
              </w:rPr>
            </w:pPr>
            <w:r w:rsidRPr="005C3243">
              <w:rPr>
                <w:rFonts w:cs="Tahoma"/>
                <w:color w:val="000000"/>
                <w:sz w:val="18"/>
              </w:rPr>
              <w:t>32</w:t>
            </w:r>
            <w:r>
              <w:rPr>
                <w:rFonts w:cs="Tahoma"/>
                <w:color w:val="000000"/>
                <w:sz w:val="18"/>
              </w:rPr>
              <w:t>%</w:t>
            </w:r>
          </w:p>
        </w:tc>
        <w:tc>
          <w:tcPr>
            <w:tcW w:w="1276" w:type="dxa"/>
            <w:shd w:val="clear" w:color="auto" w:fill="auto"/>
            <w:noWrap/>
            <w:vAlign w:val="center"/>
            <w:hideMark/>
          </w:tcPr>
          <w:p w:rsidR="005F5B63" w:rsidRPr="005C3243" w:rsidRDefault="005F5B63" w:rsidP="00142A4B">
            <w:pPr>
              <w:spacing w:after="0" w:line="240" w:lineRule="auto"/>
              <w:ind w:right="207"/>
              <w:jc w:val="right"/>
              <w:rPr>
                <w:rFonts w:cs="Tahoma"/>
                <w:color w:val="000000"/>
                <w:sz w:val="18"/>
              </w:rPr>
            </w:pPr>
            <w:r w:rsidRPr="005C3243">
              <w:rPr>
                <w:rFonts w:cs="Tahoma"/>
                <w:color w:val="000000"/>
                <w:sz w:val="18"/>
              </w:rPr>
              <w:t>52</w:t>
            </w:r>
            <w:r>
              <w:rPr>
                <w:rFonts w:cs="Tahoma"/>
                <w:color w:val="000000"/>
                <w:sz w:val="18"/>
              </w:rPr>
              <w:t>%</w:t>
            </w:r>
          </w:p>
        </w:tc>
        <w:tc>
          <w:tcPr>
            <w:tcW w:w="1126" w:type="dxa"/>
            <w:shd w:val="clear" w:color="auto" w:fill="auto"/>
            <w:noWrap/>
            <w:vAlign w:val="center"/>
            <w:hideMark/>
          </w:tcPr>
          <w:p w:rsidR="005F5B63" w:rsidRPr="005C3243" w:rsidRDefault="005F5B63" w:rsidP="00142A4B">
            <w:pPr>
              <w:spacing w:after="0" w:line="240" w:lineRule="auto"/>
              <w:ind w:right="207"/>
              <w:jc w:val="right"/>
              <w:rPr>
                <w:rFonts w:cs="Tahoma"/>
                <w:color w:val="000000"/>
                <w:sz w:val="18"/>
              </w:rPr>
            </w:pPr>
            <w:r w:rsidRPr="005C3243">
              <w:rPr>
                <w:rFonts w:cs="Tahoma"/>
                <w:color w:val="000000"/>
                <w:sz w:val="18"/>
              </w:rPr>
              <w:t>24</w:t>
            </w:r>
            <w:r>
              <w:rPr>
                <w:rFonts w:cs="Tahoma"/>
                <w:color w:val="000000"/>
                <w:sz w:val="18"/>
              </w:rPr>
              <w:t>%</w:t>
            </w:r>
          </w:p>
        </w:tc>
        <w:tc>
          <w:tcPr>
            <w:tcW w:w="1168" w:type="dxa"/>
            <w:vAlign w:val="center"/>
          </w:tcPr>
          <w:p w:rsidR="005F5B63" w:rsidRPr="005C3243" w:rsidRDefault="005F5B63" w:rsidP="00142A4B">
            <w:pPr>
              <w:spacing w:after="0" w:line="240" w:lineRule="auto"/>
              <w:ind w:right="207"/>
              <w:jc w:val="right"/>
              <w:rPr>
                <w:rFonts w:cs="Tahoma"/>
                <w:color w:val="000000"/>
                <w:sz w:val="18"/>
              </w:rPr>
            </w:pPr>
            <w:r w:rsidRPr="005C3243">
              <w:rPr>
                <w:rFonts w:cs="Tahoma"/>
                <w:color w:val="000000"/>
                <w:sz w:val="18"/>
              </w:rPr>
              <w:t>26</w:t>
            </w:r>
            <w:r>
              <w:rPr>
                <w:rFonts w:cs="Tahoma"/>
                <w:color w:val="000000"/>
                <w:sz w:val="18"/>
              </w:rPr>
              <w:t>%</w:t>
            </w:r>
          </w:p>
        </w:tc>
      </w:tr>
      <w:tr w:rsidR="005F5B63" w:rsidRPr="005C3243" w:rsidTr="00142A4B">
        <w:trPr>
          <w:trHeight w:val="315"/>
        </w:trPr>
        <w:tc>
          <w:tcPr>
            <w:tcW w:w="3544" w:type="dxa"/>
            <w:shd w:val="clear" w:color="000000" w:fill="FFFFFF"/>
            <w:noWrap/>
            <w:vAlign w:val="bottom"/>
            <w:hideMark/>
          </w:tcPr>
          <w:p w:rsidR="005F5B63" w:rsidRPr="005C3243" w:rsidRDefault="005F5B63" w:rsidP="00142A4B">
            <w:pPr>
              <w:spacing w:after="0" w:line="240" w:lineRule="auto"/>
              <w:rPr>
                <w:rFonts w:cs="Tahoma"/>
                <w:color w:val="000000"/>
                <w:sz w:val="18"/>
                <w:szCs w:val="20"/>
              </w:rPr>
            </w:pPr>
            <w:r w:rsidRPr="005C3243">
              <w:rPr>
                <w:rFonts w:cs="Tahoma"/>
                <w:color w:val="000000"/>
                <w:sz w:val="18"/>
                <w:szCs w:val="20"/>
                <w:lang w:val="de-AT"/>
              </w:rPr>
              <w:t>Kontingent für andere Zielgruppen</w:t>
            </w:r>
          </w:p>
        </w:tc>
        <w:tc>
          <w:tcPr>
            <w:tcW w:w="1167" w:type="dxa"/>
            <w:shd w:val="clear" w:color="000000" w:fill="FFFFFF"/>
            <w:vAlign w:val="center"/>
            <w:hideMark/>
          </w:tcPr>
          <w:p w:rsidR="005F5B63" w:rsidRPr="005C3243" w:rsidRDefault="005F5B63" w:rsidP="00142A4B">
            <w:pPr>
              <w:spacing w:after="0" w:line="240" w:lineRule="auto"/>
              <w:ind w:right="207"/>
              <w:jc w:val="right"/>
              <w:rPr>
                <w:rFonts w:cs="Tahoma"/>
                <w:color w:val="000000"/>
                <w:sz w:val="18"/>
                <w:szCs w:val="20"/>
              </w:rPr>
            </w:pPr>
            <w:r w:rsidRPr="005C3243">
              <w:rPr>
                <w:rFonts w:cs="Tahoma"/>
                <w:color w:val="000000"/>
                <w:sz w:val="18"/>
                <w:szCs w:val="20"/>
                <w:lang w:val="de-AT"/>
              </w:rPr>
              <w:t>30%</w:t>
            </w:r>
          </w:p>
        </w:tc>
        <w:tc>
          <w:tcPr>
            <w:tcW w:w="1101" w:type="dxa"/>
            <w:shd w:val="clear" w:color="auto" w:fill="auto"/>
            <w:noWrap/>
            <w:vAlign w:val="center"/>
            <w:hideMark/>
          </w:tcPr>
          <w:p w:rsidR="005F5B63" w:rsidRPr="005C3243" w:rsidRDefault="005F5B63" w:rsidP="00142A4B">
            <w:pPr>
              <w:spacing w:after="0" w:line="240" w:lineRule="auto"/>
              <w:ind w:right="207"/>
              <w:jc w:val="right"/>
              <w:rPr>
                <w:rFonts w:cs="Tahoma"/>
                <w:color w:val="000000"/>
                <w:sz w:val="18"/>
              </w:rPr>
            </w:pPr>
            <w:r w:rsidRPr="005C3243">
              <w:rPr>
                <w:rFonts w:cs="Tahoma"/>
                <w:color w:val="000000"/>
                <w:sz w:val="18"/>
              </w:rPr>
              <w:t>15</w:t>
            </w:r>
            <w:r>
              <w:rPr>
                <w:rFonts w:cs="Tahoma"/>
                <w:color w:val="000000"/>
                <w:sz w:val="18"/>
              </w:rPr>
              <w:t>%</w:t>
            </w:r>
          </w:p>
        </w:tc>
        <w:tc>
          <w:tcPr>
            <w:tcW w:w="1276" w:type="dxa"/>
            <w:shd w:val="clear" w:color="auto" w:fill="auto"/>
            <w:noWrap/>
            <w:vAlign w:val="center"/>
            <w:hideMark/>
          </w:tcPr>
          <w:p w:rsidR="005F5B63" w:rsidRPr="005C3243" w:rsidRDefault="005F5B63" w:rsidP="00142A4B">
            <w:pPr>
              <w:spacing w:after="0" w:line="240" w:lineRule="auto"/>
              <w:ind w:right="207"/>
              <w:jc w:val="right"/>
              <w:rPr>
                <w:rFonts w:cs="Tahoma"/>
                <w:color w:val="000000"/>
                <w:sz w:val="18"/>
              </w:rPr>
            </w:pPr>
            <w:r w:rsidRPr="005C3243">
              <w:rPr>
                <w:rFonts w:cs="Tahoma"/>
                <w:color w:val="000000"/>
                <w:sz w:val="18"/>
              </w:rPr>
              <w:t>25</w:t>
            </w:r>
            <w:r>
              <w:rPr>
                <w:rFonts w:cs="Tahoma"/>
                <w:color w:val="000000"/>
                <w:sz w:val="18"/>
              </w:rPr>
              <w:t>%</w:t>
            </w:r>
          </w:p>
        </w:tc>
        <w:tc>
          <w:tcPr>
            <w:tcW w:w="1126" w:type="dxa"/>
            <w:shd w:val="clear" w:color="auto" w:fill="auto"/>
            <w:noWrap/>
            <w:vAlign w:val="center"/>
            <w:hideMark/>
          </w:tcPr>
          <w:p w:rsidR="005F5B63" w:rsidRPr="005C3243" w:rsidRDefault="005F5B63" w:rsidP="00142A4B">
            <w:pPr>
              <w:spacing w:after="0" w:line="240" w:lineRule="auto"/>
              <w:ind w:right="207"/>
              <w:jc w:val="right"/>
              <w:rPr>
                <w:rFonts w:cs="Tahoma"/>
                <w:color w:val="000000"/>
                <w:sz w:val="18"/>
              </w:rPr>
            </w:pPr>
            <w:r w:rsidRPr="005C3243">
              <w:rPr>
                <w:rFonts w:cs="Tahoma"/>
                <w:color w:val="000000"/>
                <w:sz w:val="18"/>
              </w:rPr>
              <w:t>12</w:t>
            </w:r>
            <w:r>
              <w:rPr>
                <w:rFonts w:cs="Tahoma"/>
                <w:color w:val="000000"/>
                <w:sz w:val="18"/>
              </w:rPr>
              <w:t>%</w:t>
            </w:r>
          </w:p>
        </w:tc>
        <w:tc>
          <w:tcPr>
            <w:tcW w:w="1168" w:type="dxa"/>
            <w:vAlign w:val="center"/>
          </w:tcPr>
          <w:p w:rsidR="005F5B63" w:rsidRPr="005C3243" w:rsidRDefault="005F5B63" w:rsidP="00142A4B">
            <w:pPr>
              <w:spacing w:after="0" w:line="240" w:lineRule="auto"/>
              <w:ind w:right="207"/>
              <w:jc w:val="right"/>
              <w:rPr>
                <w:rFonts w:cs="Tahoma"/>
                <w:color w:val="000000"/>
                <w:sz w:val="18"/>
              </w:rPr>
            </w:pPr>
            <w:r w:rsidRPr="005C3243">
              <w:rPr>
                <w:rFonts w:cs="Tahoma"/>
                <w:color w:val="000000"/>
                <w:sz w:val="18"/>
              </w:rPr>
              <w:t>28</w:t>
            </w:r>
            <w:r>
              <w:rPr>
                <w:rFonts w:cs="Tahoma"/>
                <w:color w:val="000000"/>
                <w:sz w:val="18"/>
              </w:rPr>
              <w:t>%</w:t>
            </w:r>
          </w:p>
        </w:tc>
      </w:tr>
    </w:tbl>
    <w:p w:rsidR="005F5B63" w:rsidRDefault="005F5B63" w:rsidP="005F5B63"/>
    <w:p w:rsidR="005F5B63" w:rsidRDefault="005F5B63" w:rsidP="00FF2B86">
      <w:pPr>
        <w:pStyle w:val="Untertitel"/>
      </w:pPr>
      <w:r>
        <w:t>Tab. 26:</w:t>
      </w:r>
      <w:r>
        <w:tab/>
        <w:t>Einschätzungen zur administrativen Vergabepraxis, n = 157</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tblPr>
      <w:tblGrid>
        <w:gridCol w:w="5812"/>
        <w:gridCol w:w="851"/>
        <w:gridCol w:w="850"/>
        <w:gridCol w:w="1134"/>
      </w:tblGrid>
      <w:tr w:rsidR="005F5B63" w:rsidRPr="00805442" w:rsidTr="00142A4B">
        <w:trPr>
          <w:trHeight w:val="255"/>
        </w:trPr>
        <w:tc>
          <w:tcPr>
            <w:tcW w:w="5812" w:type="dxa"/>
            <w:shd w:val="clear" w:color="auto" w:fill="D6E3BC" w:themeFill="accent3" w:themeFillTint="66"/>
            <w:vAlign w:val="center"/>
            <w:hideMark/>
          </w:tcPr>
          <w:p w:rsidR="005F5B63" w:rsidRPr="00805442" w:rsidRDefault="005F5B63" w:rsidP="00142A4B">
            <w:pPr>
              <w:spacing w:after="0" w:line="240" w:lineRule="auto"/>
              <w:rPr>
                <w:rFonts w:ascii="Microsoft Sans Serif" w:hAnsi="Microsoft Sans Serif" w:cs="Microsoft Sans Serif"/>
                <w:sz w:val="18"/>
                <w:szCs w:val="20"/>
                <w:lang w:val="de-AT" w:eastAsia="de-AT"/>
              </w:rPr>
            </w:pPr>
          </w:p>
        </w:tc>
        <w:tc>
          <w:tcPr>
            <w:tcW w:w="851" w:type="dxa"/>
            <w:shd w:val="clear" w:color="auto" w:fill="D6E3BC" w:themeFill="accent3" w:themeFillTint="66"/>
            <w:vAlign w:val="center"/>
          </w:tcPr>
          <w:p w:rsidR="005F5B63" w:rsidRPr="00805442" w:rsidRDefault="005F5B63" w:rsidP="00142A4B">
            <w:pPr>
              <w:spacing w:after="0" w:line="240" w:lineRule="auto"/>
              <w:rPr>
                <w:rFonts w:ascii="Microsoft Sans Serif" w:hAnsi="Microsoft Sans Serif" w:cs="Microsoft Sans Serif"/>
                <w:sz w:val="18"/>
                <w:szCs w:val="20"/>
                <w:lang w:val="de-AT" w:eastAsia="de-AT"/>
              </w:rPr>
            </w:pPr>
            <w:r w:rsidRPr="00805442">
              <w:rPr>
                <w:rFonts w:ascii="Microsoft Sans Serif" w:hAnsi="Microsoft Sans Serif" w:cs="Microsoft Sans Serif"/>
                <w:sz w:val="18"/>
                <w:szCs w:val="20"/>
                <w:lang w:val="de-AT" w:eastAsia="de-AT"/>
              </w:rPr>
              <w:t>Zustim</w:t>
            </w:r>
            <w:r w:rsidRPr="00805442">
              <w:rPr>
                <w:rFonts w:ascii="Microsoft Sans Serif" w:hAnsi="Microsoft Sans Serif" w:cs="Microsoft Sans Serif"/>
                <w:sz w:val="18"/>
                <w:szCs w:val="20"/>
                <w:lang w:val="de-AT" w:eastAsia="de-AT"/>
              </w:rPr>
              <w:softHyphen/>
              <w:t>mung</w:t>
            </w:r>
          </w:p>
        </w:tc>
        <w:tc>
          <w:tcPr>
            <w:tcW w:w="850" w:type="dxa"/>
            <w:shd w:val="clear" w:color="auto" w:fill="D6E3BC" w:themeFill="accent3" w:themeFillTint="66"/>
            <w:vAlign w:val="center"/>
          </w:tcPr>
          <w:p w:rsidR="005F5B63" w:rsidRPr="00805442" w:rsidRDefault="005F5B63" w:rsidP="00142A4B">
            <w:pPr>
              <w:spacing w:after="0" w:line="240" w:lineRule="auto"/>
              <w:rPr>
                <w:rFonts w:ascii="Microsoft Sans Serif" w:hAnsi="Microsoft Sans Serif" w:cs="Microsoft Sans Serif"/>
                <w:sz w:val="18"/>
                <w:szCs w:val="20"/>
                <w:lang w:val="de-AT" w:eastAsia="de-AT"/>
              </w:rPr>
            </w:pPr>
            <w:r w:rsidRPr="00805442">
              <w:rPr>
                <w:rFonts w:ascii="Microsoft Sans Serif" w:hAnsi="Microsoft Sans Serif" w:cs="Microsoft Sans Serif"/>
                <w:sz w:val="18"/>
                <w:szCs w:val="20"/>
                <w:lang w:val="de-AT" w:eastAsia="de-AT"/>
              </w:rPr>
              <w:t>Ableh</w:t>
            </w:r>
            <w:r w:rsidRPr="00805442">
              <w:rPr>
                <w:rFonts w:ascii="Microsoft Sans Serif" w:hAnsi="Microsoft Sans Serif" w:cs="Microsoft Sans Serif"/>
                <w:sz w:val="18"/>
                <w:szCs w:val="20"/>
                <w:lang w:val="de-AT" w:eastAsia="de-AT"/>
              </w:rPr>
              <w:softHyphen/>
              <w:t>nung</w:t>
            </w:r>
          </w:p>
        </w:tc>
        <w:tc>
          <w:tcPr>
            <w:tcW w:w="1134" w:type="dxa"/>
            <w:shd w:val="clear" w:color="auto" w:fill="D6E3BC" w:themeFill="accent3" w:themeFillTint="66"/>
            <w:vAlign w:val="center"/>
          </w:tcPr>
          <w:p w:rsidR="005F5B63" w:rsidRPr="00805442" w:rsidRDefault="005F5B63" w:rsidP="00142A4B">
            <w:pPr>
              <w:spacing w:after="0" w:line="240" w:lineRule="auto"/>
              <w:rPr>
                <w:rFonts w:ascii="Microsoft Sans Serif" w:hAnsi="Microsoft Sans Serif" w:cs="Microsoft Sans Serif"/>
                <w:sz w:val="18"/>
                <w:szCs w:val="20"/>
                <w:lang w:val="de-AT" w:eastAsia="de-AT"/>
              </w:rPr>
            </w:pPr>
            <w:r>
              <w:rPr>
                <w:rFonts w:ascii="Microsoft Sans Serif" w:hAnsi="Microsoft Sans Serif" w:cs="Microsoft Sans Serif"/>
                <w:sz w:val="18"/>
                <w:szCs w:val="20"/>
                <w:lang w:val="de-AT" w:eastAsia="de-AT"/>
              </w:rPr>
              <w:t>weiß nicht</w:t>
            </w:r>
          </w:p>
        </w:tc>
      </w:tr>
      <w:tr w:rsidR="005F5B63" w:rsidRPr="00805442" w:rsidTr="00142A4B">
        <w:trPr>
          <w:trHeight w:val="255"/>
        </w:trPr>
        <w:tc>
          <w:tcPr>
            <w:tcW w:w="5812" w:type="dxa"/>
            <w:shd w:val="clear" w:color="auto" w:fill="FFFFFF" w:themeFill="background1"/>
            <w:vAlign w:val="bottom"/>
            <w:hideMark/>
          </w:tcPr>
          <w:p w:rsidR="005F5B63" w:rsidRPr="00805442" w:rsidRDefault="005F5B63" w:rsidP="00142A4B">
            <w:pPr>
              <w:spacing w:before="60" w:after="60" w:line="240" w:lineRule="auto"/>
              <w:rPr>
                <w:rFonts w:ascii="Microsoft Sans Serif" w:hAnsi="Microsoft Sans Serif" w:cs="Microsoft Sans Serif"/>
                <w:sz w:val="18"/>
                <w:szCs w:val="20"/>
                <w:lang w:val="de-AT" w:eastAsia="de-AT"/>
              </w:rPr>
            </w:pPr>
            <w:r w:rsidRPr="00805442">
              <w:rPr>
                <w:rFonts w:ascii="Microsoft Sans Serif" w:hAnsi="Microsoft Sans Serif" w:cs="Microsoft Sans Serif"/>
                <w:sz w:val="18"/>
                <w:szCs w:val="20"/>
                <w:lang w:val="de-AT" w:eastAsia="de-AT"/>
              </w:rPr>
              <w:t>In der Vergabe von Wohnungen sind die SachbearbeiterInnen a</w:t>
            </w:r>
            <w:r w:rsidRPr="00805442">
              <w:rPr>
                <w:rFonts w:ascii="Microsoft Sans Serif" w:hAnsi="Microsoft Sans Serif" w:cs="Microsoft Sans Serif"/>
                <w:sz w:val="18"/>
                <w:szCs w:val="20"/>
                <w:lang w:val="de-AT" w:eastAsia="de-AT"/>
              </w:rPr>
              <w:t>n</w:t>
            </w:r>
            <w:r w:rsidRPr="00805442">
              <w:rPr>
                <w:rFonts w:ascii="Microsoft Sans Serif" w:hAnsi="Microsoft Sans Serif" w:cs="Microsoft Sans Serif"/>
                <w:sz w:val="18"/>
                <w:szCs w:val="20"/>
                <w:lang w:val="de-AT" w:eastAsia="de-AT"/>
              </w:rPr>
              <w:t>gehalten, Haushalte mit österreichischer Staatsbürgerschaft vordrin</w:t>
            </w:r>
            <w:r w:rsidRPr="00805442">
              <w:rPr>
                <w:rFonts w:ascii="Microsoft Sans Serif" w:hAnsi="Microsoft Sans Serif" w:cs="Microsoft Sans Serif"/>
                <w:sz w:val="18"/>
                <w:szCs w:val="20"/>
                <w:lang w:val="de-AT" w:eastAsia="de-AT"/>
              </w:rPr>
              <w:t>g</w:t>
            </w:r>
            <w:r w:rsidRPr="00805442">
              <w:rPr>
                <w:rFonts w:ascii="Microsoft Sans Serif" w:hAnsi="Microsoft Sans Serif" w:cs="Microsoft Sans Serif"/>
                <w:sz w:val="18"/>
                <w:szCs w:val="20"/>
                <w:lang w:val="de-AT" w:eastAsia="de-AT"/>
              </w:rPr>
              <w:t>lich zu berücksichtigen.</w:t>
            </w:r>
          </w:p>
        </w:tc>
        <w:tc>
          <w:tcPr>
            <w:tcW w:w="851" w:type="dxa"/>
            <w:shd w:val="clear" w:color="auto" w:fill="FFFFFF" w:themeFill="background1"/>
            <w:vAlign w:val="center"/>
          </w:tcPr>
          <w:p w:rsidR="005F5B63" w:rsidRPr="00805442" w:rsidRDefault="005F5B63" w:rsidP="00142A4B">
            <w:pPr>
              <w:spacing w:after="0" w:line="240" w:lineRule="auto"/>
              <w:ind w:right="229"/>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19%</w:t>
            </w:r>
          </w:p>
        </w:tc>
        <w:tc>
          <w:tcPr>
            <w:tcW w:w="850" w:type="dxa"/>
            <w:shd w:val="clear" w:color="auto" w:fill="FFFFFF" w:themeFill="background1"/>
            <w:vAlign w:val="center"/>
          </w:tcPr>
          <w:p w:rsidR="005F5B63" w:rsidRPr="00805442" w:rsidRDefault="005F5B63" w:rsidP="00142A4B">
            <w:pPr>
              <w:spacing w:after="0" w:line="240" w:lineRule="auto"/>
              <w:ind w:right="229"/>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64%</w:t>
            </w:r>
          </w:p>
        </w:tc>
        <w:tc>
          <w:tcPr>
            <w:tcW w:w="1134" w:type="dxa"/>
            <w:shd w:val="clear" w:color="auto" w:fill="FFFFFF" w:themeFill="background1"/>
            <w:vAlign w:val="center"/>
          </w:tcPr>
          <w:p w:rsidR="005F5B63" w:rsidRPr="00805442" w:rsidRDefault="005F5B63" w:rsidP="00142A4B">
            <w:pPr>
              <w:spacing w:after="0" w:line="240" w:lineRule="auto"/>
              <w:ind w:right="229"/>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17%</w:t>
            </w:r>
          </w:p>
        </w:tc>
      </w:tr>
      <w:tr w:rsidR="005F5B63" w:rsidRPr="00805442" w:rsidTr="00142A4B">
        <w:trPr>
          <w:trHeight w:val="255"/>
        </w:trPr>
        <w:tc>
          <w:tcPr>
            <w:tcW w:w="5812" w:type="dxa"/>
            <w:shd w:val="clear" w:color="auto" w:fill="FFFFFF" w:themeFill="background1"/>
            <w:vAlign w:val="bottom"/>
            <w:hideMark/>
          </w:tcPr>
          <w:p w:rsidR="005F5B63" w:rsidRPr="00805442" w:rsidRDefault="005F5B63" w:rsidP="00142A4B">
            <w:pPr>
              <w:spacing w:before="60" w:after="60" w:line="240" w:lineRule="auto"/>
              <w:rPr>
                <w:rFonts w:ascii="Microsoft Sans Serif" w:hAnsi="Microsoft Sans Serif" w:cs="Microsoft Sans Serif"/>
                <w:sz w:val="18"/>
                <w:szCs w:val="20"/>
                <w:lang w:val="de-AT" w:eastAsia="de-AT"/>
              </w:rPr>
            </w:pPr>
            <w:r w:rsidRPr="00805442">
              <w:rPr>
                <w:rFonts w:ascii="Microsoft Sans Serif" w:hAnsi="Microsoft Sans Serif" w:cs="Microsoft Sans Serif"/>
                <w:sz w:val="18"/>
                <w:szCs w:val="20"/>
                <w:lang w:val="de-AT" w:eastAsia="de-AT"/>
              </w:rPr>
              <w:t>Bei der Reihung der WohnungswerberInnen nach Dringlichkeit werden alle wichtigen Bedarfslagen erfasst und in die Wertung einbezogen.</w:t>
            </w:r>
          </w:p>
        </w:tc>
        <w:tc>
          <w:tcPr>
            <w:tcW w:w="851" w:type="dxa"/>
            <w:shd w:val="clear" w:color="auto" w:fill="FFFFFF" w:themeFill="background1"/>
            <w:vAlign w:val="center"/>
          </w:tcPr>
          <w:p w:rsidR="005F5B63" w:rsidRPr="00805442" w:rsidRDefault="005F5B63" w:rsidP="00142A4B">
            <w:pPr>
              <w:spacing w:after="0" w:line="240" w:lineRule="auto"/>
              <w:ind w:right="229"/>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66%</w:t>
            </w:r>
          </w:p>
        </w:tc>
        <w:tc>
          <w:tcPr>
            <w:tcW w:w="850" w:type="dxa"/>
            <w:shd w:val="clear" w:color="auto" w:fill="FFFFFF" w:themeFill="background1"/>
            <w:vAlign w:val="center"/>
          </w:tcPr>
          <w:p w:rsidR="005F5B63" w:rsidRPr="00805442" w:rsidRDefault="005F5B63" w:rsidP="00142A4B">
            <w:pPr>
              <w:spacing w:after="0" w:line="240" w:lineRule="auto"/>
              <w:ind w:right="229"/>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18%</w:t>
            </w:r>
          </w:p>
        </w:tc>
        <w:tc>
          <w:tcPr>
            <w:tcW w:w="1134" w:type="dxa"/>
            <w:shd w:val="clear" w:color="auto" w:fill="FFFFFF" w:themeFill="background1"/>
            <w:vAlign w:val="center"/>
          </w:tcPr>
          <w:p w:rsidR="005F5B63" w:rsidRPr="00805442" w:rsidRDefault="005F5B63" w:rsidP="00142A4B">
            <w:pPr>
              <w:spacing w:after="0" w:line="240" w:lineRule="auto"/>
              <w:ind w:right="229"/>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16%</w:t>
            </w:r>
          </w:p>
        </w:tc>
      </w:tr>
      <w:tr w:rsidR="005F5B63" w:rsidRPr="00805442" w:rsidTr="00142A4B">
        <w:trPr>
          <w:trHeight w:val="255"/>
        </w:trPr>
        <w:tc>
          <w:tcPr>
            <w:tcW w:w="5812" w:type="dxa"/>
            <w:shd w:val="clear" w:color="auto" w:fill="FFFFFF" w:themeFill="background1"/>
            <w:vAlign w:val="bottom"/>
            <w:hideMark/>
          </w:tcPr>
          <w:p w:rsidR="005F5B63" w:rsidRPr="00805442" w:rsidRDefault="005F5B63" w:rsidP="00142A4B">
            <w:pPr>
              <w:spacing w:before="60" w:after="60" w:line="240" w:lineRule="auto"/>
              <w:rPr>
                <w:rFonts w:ascii="Microsoft Sans Serif" w:hAnsi="Microsoft Sans Serif" w:cs="Microsoft Sans Serif"/>
                <w:sz w:val="18"/>
                <w:szCs w:val="20"/>
                <w:lang w:val="de-AT" w:eastAsia="de-AT"/>
              </w:rPr>
            </w:pPr>
            <w:r w:rsidRPr="00805442">
              <w:rPr>
                <w:rFonts w:ascii="Microsoft Sans Serif" w:hAnsi="Microsoft Sans Serif" w:cs="Microsoft Sans Serif"/>
                <w:sz w:val="18"/>
                <w:szCs w:val="20"/>
                <w:lang w:val="de-AT" w:eastAsia="de-AT"/>
              </w:rPr>
              <w:t>Die Vergabekriterien lassen Spielraum, auf besondere Umstände ind</w:t>
            </w:r>
            <w:r w:rsidRPr="00805442">
              <w:rPr>
                <w:rFonts w:ascii="Microsoft Sans Serif" w:hAnsi="Microsoft Sans Serif" w:cs="Microsoft Sans Serif"/>
                <w:sz w:val="18"/>
                <w:szCs w:val="20"/>
                <w:lang w:val="de-AT" w:eastAsia="de-AT"/>
              </w:rPr>
              <w:t>i</w:t>
            </w:r>
            <w:r w:rsidRPr="00805442">
              <w:rPr>
                <w:rFonts w:ascii="Microsoft Sans Serif" w:hAnsi="Microsoft Sans Serif" w:cs="Microsoft Sans Serif"/>
                <w:sz w:val="18"/>
                <w:szCs w:val="20"/>
                <w:lang w:val="de-AT" w:eastAsia="de-AT"/>
              </w:rPr>
              <w:t>viduell einzugehen.</w:t>
            </w:r>
          </w:p>
        </w:tc>
        <w:tc>
          <w:tcPr>
            <w:tcW w:w="851" w:type="dxa"/>
            <w:shd w:val="clear" w:color="auto" w:fill="FFFFFF" w:themeFill="background1"/>
            <w:vAlign w:val="center"/>
          </w:tcPr>
          <w:p w:rsidR="005F5B63" w:rsidRPr="00805442" w:rsidRDefault="005F5B63" w:rsidP="00142A4B">
            <w:pPr>
              <w:spacing w:after="0" w:line="240" w:lineRule="auto"/>
              <w:ind w:right="229"/>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64%</w:t>
            </w:r>
          </w:p>
        </w:tc>
        <w:tc>
          <w:tcPr>
            <w:tcW w:w="850" w:type="dxa"/>
            <w:shd w:val="clear" w:color="auto" w:fill="FFFFFF" w:themeFill="background1"/>
            <w:vAlign w:val="center"/>
          </w:tcPr>
          <w:p w:rsidR="005F5B63" w:rsidRPr="00805442" w:rsidRDefault="005F5B63" w:rsidP="00142A4B">
            <w:pPr>
              <w:spacing w:after="0" w:line="240" w:lineRule="auto"/>
              <w:ind w:right="229"/>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19%</w:t>
            </w:r>
          </w:p>
        </w:tc>
        <w:tc>
          <w:tcPr>
            <w:tcW w:w="1134" w:type="dxa"/>
            <w:shd w:val="clear" w:color="auto" w:fill="FFFFFF" w:themeFill="background1"/>
            <w:vAlign w:val="center"/>
          </w:tcPr>
          <w:p w:rsidR="005F5B63" w:rsidRPr="00805442" w:rsidRDefault="005F5B63" w:rsidP="00142A4B">
            <w:pPr>
              <w:spacing w:after="0" w:line="240" w:lineRule="auto"/>
              <w:ind w:right="229"/>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17%</w:t>
            </w:r>
          </w:p>
        </w:tc>
      </w:tr>
      <w:tr w:rsidR="005F5B63" w:rsidRPr="00805442" w:rsidTr="00142A4B">
        <w:trPr>
          <w:trHeight w:val="255"/>
        </w:trPr>
        <w:tc>
          <w:tcPr>
            <w:tcW w:w="5812" w:type="dxa"/>
            <w:shd w:val="clear" w:color="auto" w:fill="FFFFFF" w:themeFill="background1"/>
            <w:vAlign w:val="bottom"/>
            <w:hideMark/>
          </w:tcPr>
          <w:p w:rsidR="005F5B63" w:rsidRPr="00805442" w:rsidRDefault="005F5B63" w:rsidP="00142A4B">
            <w:pPr>
              <w:spacing w:before="60" w:after="60" w:line="240" w:lineRule="auto"/>
              <w:rPr>
                <w:rFonts w:ascii="Microsoft Sans Serif" w:hAnsi="Microsoft Sans Serif" w:cs="Microsoft Sans Serif"/>
                <w:sz w:val="18"/>
                <w:szCs w:val="20"/>
                <w:lang w:val="de-AT" w:eastAsia="de-AT"/>
              </w:rPr>
            </w:pPr>
            <w:r w:rsidRPr="00805442">
              <w:rPr>
                <w:rFonts w:ascii="Microsoft Sans Serif" w:hAnsi="Microsoft Sans Serif" w:cs="Microsoft Sans Serif"/>
                <w:sz w:val="18"/>
                <w:szCs w:val="20"/>
                <w:lang w:val="de-AT" w:eastAsia="de-AT"/>
              </w:rPr>
              <w:t>Auch wenn die Wohnungsvergabe strikt nach den Gleichbehandlung</w:t>
            </w:r>
            <w:r w:rsidRPr="00805442">
              <w:rPr>
                <w:rFonts w:ascii="Microsoft Sans Serif" w:hAnsi="Microsoft Sans Serif" w:cs="Microsoft Sans Serif"/>
                <w:sz w:val="18"/>
                <w:szCs w:val="20"/>
                <w:lang w:val="de-AT" w:eastAsia="de-AT"/>
              </w:rPr>
              <w:t>s</w:t>
            </w:r>
            <w:r w:rsidRPr="00805442">
              <w:rPr>
                <w:rFonts w:ascii="Microsoft Sans Serif" w:hAnsi="Microsoft Sans Serif" w:cs="Microsoft Sans Serif"/>
                <w:sz w:val="18"/>
                <w:szCs w:val="20"/>
                <w:lang w:val="de-AT" w:eastAsia="de-AT"/>
              </w:rPr>
              <w:t>richtlinien erfolgt, kommt es auf dem Wohnungsmarkt zur Benachteil</w:t>
            </w:r>
            <w:r w:rsidRPr="00805442">
              <w:rPr>
                <w:rFonts w:ascii="Microsoft Sans Serif" w:hAnsi="Microsoft Sans Serif" w:cs="Microsoft Sans Serif"/>
                <w:sz w:val="18"/>
                <w:szCs w:val="20"/>
                <w:lang w:val="de-AT" w:eastAsia="de-AT"/>
              </w:rPr>
              <w:t>i</w:t>
            </w:r>
            <w:r w:rsidRPr="00805442">
              <w:rPr>
                <w:rFonts w:ascii="Microsoft Sans Serif" w:hAnsi="Microsoft Sans Serif" w:cs="Microsoft Sans Serif"/>
                <w:sz w:val="18"/>
                <w:szCs w:val="20"/>
                <w:lang w:val="de-AT" w:eastAsia="de-AT"/>
              </w:rPr>
              <w:t>gung von MigrantInnen.</w:t>
            </w:r>
          </w:p>
        </w:tc>
        <w:tc>
          <w:tcPr>
            <w:tcW w:w="851" w:type="dxa"/>
            <w:shd w:val="clear" w:color="auto" w:fill="FFFFFF" w:themeFill="background1"/>
            <w:vAlign w:val="center"/>
          </w:tcPr>
          <w:p w:rsidR="005F5B63" w:rsidRPr="00805442" w:rsidRDefault="005F5B63" w:rsidP="00142A4B">
            <w:pPr>
              <w:spacing w:after="0" w:line="240" w:lineRule="auto"/>
              <w:ind w:right="229"/>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46%</w:t>
            </w:r>
          </w:p>
        </w:tc>
        <w:tc>
          <w:tcPr>
            <w:tcW w:w="850" w:type="dxa"/>
            <w:shd w:val="clear" w:color="auto" w:fill="FFFFFF" w:themeFill="background1"/>
            <w:vAlign w:val="center"/>
          </w:tcPr>
          <w:p w:rsidR="005F5B63" w:rsidRPr="00805442" w:rsidRDefault="005F5B63" w:rsidP="00142A4B">
            <w:pPr>
              <w:spacing w:after="0" w:line="240" w:lineRule="auto"/>
              <w:ind w:right="229"/>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38%</w:t>
            </w:r>
          </w:p>
        </w:tc>
        <w:tc>
          <w:tcPr>
            <w:tcW w:w="1134" w:type="dxa"/>
            <w:shd w:val="clear" w:color="auto" w:fill="FFFFFF" w:themeFill="background1"/>
            <w:vAlign w:val="center"/>
          </w:tcPr>
          <w:p w:rsidR="005F5B63" w:rsidRPr="00805442" w:rsidRDefault="005F5B63" w:rsidP="00142A4B">
            <w:pPr>
              <w:spacing w:after="0" w:line="240" w:lineRule="auto"/>
              <w:ind w:right="229"/>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17%</w:t>
            </w:r>
          </w:p>
        </w:tc>
      </w:tr>
    </w:tbl>
    <w:p w:rsidR="005F5B63" w:rsidRDefault="005F5B63" w:rsidP="005F5B63"/>
    <w:p w:rsidR="005F5B63" w:rsidRDefault="005F5B63" w:rsidP="005F5B63"/>
    <w:p w:rsidR="005F5B63" w:rsidRDefault="005F5B63" w:rsidP="005F5B63">
      <w:pPr>
        <w:sectPr w:rsidR="005F5B63" w:rsidSect="00142A4B">
          <w:pgSz w:w="11906" w:h="16838"/>
          <w:pgMar w:top="1417" w:right="1417" w:bottom="1134" w:left="1417" w:header="708" w:footer="708" w:gutter="0"/>
          <w:cols w:space="708"/>
          <w:docGrid w:linePitch="360"/>
        </w:sectPr>
      </w:pPr>
    </w:p>
    <w:p w:rsidR="005F5B63" w:rsidRPr="00550083" w:rsidRDefault="005F5B63" w:rsidP="00FF2B86">
      <w:pPr>
        <w:pStyle w:val="Untertitel"/>
        <w:rPr>
          <w:rFonts w:eastAsia="Times New Roman"/>
        </w:rPr>
      </w:pPr>
      <w:r>
        <w:rPr>
          <w:rFonts w:eastAsia="Times New Roman"/>
        </w:rPr>
        <w:lastRenderedPageBreak/>
        <w:t>Tab. 27: Einschätzungen zur Vergabepraxis, nach Einrichtungsart</w:t>
      </w:r>
    </w:p>
    <w:tbl>
      <w:tblPr>
        <w:tblW w:w="137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954"/>
        <w:gridCol w:w="1559"/>
        <w:gridCol w:w="1559"/>
        <w:gridCol w:w="1559"/>
        <w:gridCol w:w="1559"/>
        <w:gridCol w:w="1560"/>
      </w:tblGrid>
      <w:tr w:rsidR="005F5B63" w:rsidRPr="00550083" w:rsidTr="00142A4B">
        <w:trPr>
          <w:trHeight w:val="300"/>
        </w:trPr>
        <w:tc>
          <w:tcPr>
            <w:tcW w:w="5954" w:type="dxa"/>
            <w:shd w:val="clear" w:color="auto" w:fill="D6E3BC" w:themeFill="accent3" w:themeFillTint="66"/>
            <w:vAlign w:val="center"/>
          </w:tcPr>
          <w:p w:rsidR="00587957" w:rsidRDefault="005F5B63" w:rsidP="00044AF0">
            <w:pPr>
              <w:spacing w:beforeLines="60" w:afterLines="60" w:line="240" w:lineRule="auto"/>
              <w:rPr>
                <w:rFonts w:cs="Tahoma"/>
                <w:color w:val="000000"/>
                <w:sz w:val="20"/>
                <w:szCs w:val="20"/>
              </w:rPr>
            </w:pPr>
            <w:r>
              <w:rPr>
                <w:rFonts w:cs="Tahoma"/>
                <w:color w:val="000000"/>
                <w:sz w:val="20"/>
                <w:szCs w:val="20"/>
              </w:rPr>
              <w:t>Einschätzungen</w:t>
            </w:r>
            <w:r w:rsidRPr="00550083">
              <w:rPr>
                <w:rFonts w:cs="Tahoma"/>
                <w:color w:val="000000"/>
                <w:sz w:val="20"/>
                <w:szCs w:val="20"/>
              </w:rPr>
              <w:t xml:space="preserve"> zur Wohnungsvergabe</w:t>
            </w:r>
            <w:r>
              <w:rPr>
                <w:rFonts w:cs="Tahoma"/>
                <w:color w:val="000000"/>
                <w:sz w:val="20"/>
                <w:szCs w:val="20"/>
              </w:rPr>
              <w:t>praxis</w:t>
            </w:r>
            <w:r w:rsidRPr="00550083">
              <w:rPr>
                <w:rFonts w:cs="Tahoma"/>
                <w:color w:val="000000"/>
                <w:sz w:val="20"/>
                <w:szCs w:val="20"/>
              </w:rPr>
              <w:t>, Zustimmung in Prozent</w:t>
            </w:r>
          </w:p>
        </w:tc>
        <w:tc>
          <w:tcPr>
            <w:tcW w:w="1559" w:type="dxa"/>
            <w:shd w:val="clear" w:color="auto" w:fill="D6E3BC" w:themeFill="accent3" w:themeFillTint="66"/>
            <w:noWrap/>
            <w:vAlign w:val="center"/>
            <w:hideMark/>
          </w:tcPr>
          <w:p w:rsidR="00587957" w:rsidRDefault="005F5B63" w:rsidP="00044AF0">
            <w:pPr>
              <w:spacing w:beforeLines="60" w:afterLines="60" w:line="240" w:lineRule="auto"/>
              <w:rPr>
                <w:rFonts w:cs="Tahoma"/>
                <w:color w:val="000000"/>
                <w:sz w:val="20"/>
                <w:szCs w:val="20"/>
              </w:rPr>
            </w:pPr>
            <w:r w:rsidRPr="00550083">
              <w:rPr>
                <w:rFonts w:cs="Tahoma"/>
                <w:color w:val="000000"/>
                <w:sz w:val="20"/>
                <w:szCs w:val="20"/>
              </w:rPr>
              <w:t>gesamt</w:t>
            </w:r>
          </w:p>
        </w:tc>
        <w:tc>
          <w:tcPr>
            <w:tcW w:w="1559" w:type="dxa"/>
            <w:shd w:val="clear" w:color="auto" w:fill="D6E3BC" w:themeFill="accent3" w:themeFillTint="66"/>
            <w:noWrap/>
            <w:vAlign w:val="center"/>
            <w:hideMark/>
          </w:tcPr>
          <w:p w:rsidR="00587957" w:rsidRDefault="005F5B63" w:rsidP="00044AF0">
            <w:pPr>
              <w:spacing w:beforeLines="60" w:afterLines="60" w:line="240" w:lineRule="auto"/>
              <w:rPr>
                <w:rFonts w:cs="Tahoma"/>
                <w:color w:val="000000"/>
                <w:sz w:val="20"/>
                <w:szCs w:val="20"/>
              </w:rPr>
            </w:pPr>
            <w:r w:rsidRPr="00550083">
              <w:rPr>
                <w:rFonts w:cs="Tahoma"/>
                <w:color w:val="000000"/>
                <w:sz w:val="20"/>
                <w:szCs w:val="20"/>
              </w:rPr>
              <w:t>Wohnungs</w:t>
            </w:r>
            <w:r w:rsidRPr="00550083">
              <w:rPr>
                <w:rFonts w:cs="Tahoma"/>
                <w:color w:val="000000"/>
                <w:sz w:val="20"/>
                <w:szCs w:val="20"/>
              </w:rPr>
              <w:softHyphen/>
              <w:t>ämter</w:t>
            </w:r>
          </w:p>
        </w:tc>
        <w:tc>
          <w:tcPr>
            <w:tcW w:w="1559" w:type="dxa"/>
            <w:shd w:val="clear" w:color="auto" w:fill="D6E3BC" w:themeFill="accent3" w:themeFillTint="66"/>
            <w:noWrap/>
            <w:vAlign w:val="center"/>
            <w:hideMark/>
          </w:tcPr>
          <w:p w:rsidR="00587957" w:rsidRDefault="005F5B63" w:rsidP="00044AF0">
            <w:pPr>
              <w:spacing w:beforeLines="60" w:afterLines="60" w:line="240" w:lineRule="auto"/>
              <w:rPr>
                <w:rFonts w:cs="Tahoma"/>
                <w:color w:val="000000"/>
                <w:sz w:val="20"/>
                <w:szCs w:val="20"/>
              </w:rPr>
            </w:pPr>
            <w:r w:rsidRPr="00550083">
              <w:rPr>
                <w:rFonts w:cs="Tahoma"/>
                <w:color w:val="000000"/>
                <w:sz w:val="20"/>
                <w:szCs w:val="20"/>
              </w:rPr>
              <w:t>gemeinnützige Bauträger</w:t>
            </w:r>
          </w:p>
        </w:tc>
        <w:tc>
          <w:tcPr>
            <w:tcW w:w="1559" w:type="dxa"/>
            <w:shd w:val="clear" w:color="auto" w:fill="D6E3BC" w:themeFill="accent3" w:themeFillTint="66"/>
            <w:noWrap/>
            <w:vAlign w:val="center"/>
            <w:hideMark/>
          </w:tcPr>
          <w:p w:rsidR="00587957" w:rsidRDefault="005F5B63" w:rsidP="00044AF0">
            <w:pPr>
              <w:spacing w:beforeLines="60" w:afterLines="60" w:line="240" w:lineRule="auto"/>
              <w:rPr>
                <w:rFonts w:cs="Tahoma"/>
                <w:color w:val="000000"/>
                <w:sz w:val="20"/>
                <w:szCs w:val="20"/>
              </w:rPr>
            </w:pPr>
            <w:r w:rsidRPr="00550083">
              <w:rPr>
                <w:rFonts w:cs="Tahoma"/>
                <w:color w:val="000000"/>
                <w:sz w:val="20"/>
                <w:szCs w:val="20"/>
              </w:rPr>
              <w:t>private Bautr</w:t>
            </w:r>
            <w:r w:rsidRPr="00550083">
              <w:rPr>
                <w:rFonts w:cs="Tahoma"/>
                <w:color w:val="000000"/>
                <w:sz w:val="20"/>
                <w:szCs w:val="20"/>
              </w:rPr>
              <w:t>ä</w:t>
            </w:r>
            <w:r w:rsidRPr="00550083">
              <w:rPr>
                <w:rFonts w:cs="Tahoma"/>
                <w:color w:val="000000"/>
                <w:sz w:val="20"/>
                <w:szCs w:val="20"/>
              </w:rPr>
              <w:t>ger</w:t>
            </w:r>
          </w:p>
        </w:tc>
        <w:tc>
          <w:tcPr>
            <w:tcW w:w="1560" w:type="dxa"/>
            <w:shd w:val="clear" w:color="auto" w:fill="D6E3BC" w:themeFill="accent3" w:themeFillTint="66"/>
            <w:noWrap/>
            <w:vAlign w:val="center"/>
            <w:hideMark/>
          </w:tcPr>
          <w:p w:rsidR="001E30B4" w:rsidRDefault="005F5B63" w:rsidP="00044AF0">
            <w:pPr>
              <w:spacing w:beforeLines="60" w:afterLines="60" w:line="240" w:lineRule="auto"/>
              <w:rPr>
                <w:rFonts w:cs="Tahoma"/>
                <w:color w:val="000000"/>
                <w:sz w:val="20"/>
                <w:szCs w:val="20"/>
              </w:rPr>
            </w:pPr>
            <w:r w:rsidRPr="00550083">
              <w:rPr>
                <w:rFonts w:cs="Tahoma"/>
                <w:color w:val="000000"/>
                <w:sz w:val="20"/>
                <w:szCs w:val="20"/>
              </w:rPr>
              <w:t>Beratungs</w:t>
            </w:r>
            <w:r w:rsidRPr="00550083">
              <w:rPr>
                <w:rFonts w:cs="Tahoma"/>
                <w:color w:val="000000"/>
                <w:sz w:val="20"/>
                <w:szCs w:val="20"/>
              </w:rPr>
              <w:softHyphen/>
              <w:t>einrichtungen</w:t>
            </w:r>
          </w:p>
        </w:tc>
      </w:tr>
      <w:tr w:rsidR="005F5B63" w:rsidRPr="00550083" w:rsidTr="00142A4B">
        <w:trPr>
          <w:trHeight w:val="300"/>
        </w:trPr>
        <w:tc>
          <w:tcPr>
            <w:tcW w:w="5954" w:type="dxa"/>
            <w:vAlign w:val="bottom"/>
          </w:tcPr>
          <w:p w:rsidR="005F5B63" w:rsidRPr="00805442" w:rsidRDefault="005F5B63" w:rsidP="00142A4B">
            <w:pPr>
              <w:spacing w:before="60" w:after="60" w:line="240" w:lineRule="auto"/>
              <w:rPr>
                <w:rFonts w:ascii="Microsoft Sans Serif" w:hAnsi="Microsoft Sans Serif" w:cs="Microsoft Sans Serif"/>
                <w:sz w:val="18"/>
                <w:szCs w:val="20"/>
                <w:lang w:val="de-AT" w:eastAsia="de-AT"/>
              </w:rPr>
            </w:pPr>
            <w:r w:rsidRPr="00805442">
              <w:rPr>
                <w:rFonts w:ascii="Microsoft Sans Serif" w:hAnsi="Microsoft Sans Serif" w:cs="Microsoft Sans Serif"/>
                <w:sz w:val="18"/>
                <w:szCs w:val="20"/>
                <w:lang w:val="de-AT" w:eastAsia="de-AT"/>
              </w:rPr>
              <w:t>In der Vergabe von Wohnungen sind die SachbearbeiterInnen angeha</w:t>
            </w:r>
            <w:r w:rsidRPr="00805442">
              <w:rPr>
                <w:rFonts w:ascii="Microsoft Sans Serif" w:hAnsi="Microsoft Sans Serif" w:cs="Microsoft Sans Serif"/>
                <w:sz w:val="18"/>
                <w:szCs w:val="20"/>
                <w:lang w:val="de-AT" w:eastAsia="de-AT"/>
              </w:rPr>
              <w:t>l</w:t>
            </w:r>
            <w:r w:rsidRPr="00805442">
              <w:rPr>
                <w:rFonts w:ascii="Microsoft Sans Serif" w:hAnsi="Microsoft Sans Serif" w:cs="Microsoft Sans Serif"/>
                <w:sz w:val="18"/>
                <w:szCs w:val="20"/>
                <w:lang w:val="de-AT" w:eastAsia="de-AT"/>
              </w:rPr>
              <w:t>ten, Haushalte mit österreichischer Staatsbürgerschaft vordringlich zu berücksichtigen.</w:t>
            </w:r>
          </w:p>
        </w:tc>
        <w:tc>
          <w:tcPr>
            <w:tcW w:w="1559" w:type="dxa"/>
            <w:shd w:val="clear" w:color="auto" w:fill="auto"/>
            <w:noWrap/>
            <w:vAlign w:val="center"/>
            <w:hideMark/>
          </w:tcPr>
          <w:p w:rsidR="005F5B63" w:rsidRPr="00805442" w:rsidRDefault="005F5B63" w:rsidP="00142A4B">
            <w:pPr>
              <w:spacing w:after="0" w:line="240" w:lineRule="auto"/>
              <w:ind w:right="229"/>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19%</w:t>
            </w:r>
          </w:p>
        </w:tc>
        <w:tc>
          <w:tcPr>
            <w:tcW w:w="1559" w:type="dxa"/>
            <w:shd w:val="clear" w:color="auto" w:fill="auto"/>
            <w:noWrap/>
            <w:vAlign w:val="center"/>
            <w:hideMark/>
          </w:tcPr>
          <w:p w:rsidR="00587957" w:rsidRDefault="005F5B63" w:rsidP="00044AF0">
            <w:pPr>
              <w:spacing w:beforeLines="60" w:afterLines="60" w:line="240" w:lineRule="auto"/>
              <w:ind w:right="355"/>
              <w:jc w:val="right"/>
              <w:rPr>
                <w:rFonts w:cs="Tahoma"/>
                <w:color w:val="000000"/>
                <w:sz w:val="20"/>
                <w:szCs w:val="20"/>
              </w:rPr>
            </w:pPr>
            <w:r>
              <w:rPr>
                <w:rFonts w:cs="Tahoma"/>
                <w:color w:val="000000"/>
                <w:sz w:val="20"/>
                <w:szCs w:val="20"/>
              </w:rPr>
              <w:t>8%</w:t>
            </w:r>
          </w:p>
        </w:tc>
        <w:tc>
          <w:tcPr>
            <w:tcW w:w="1559" w:type="dxa"/>
            <w:shd w:val="clear" w:color="auto" w:fill="auto"/>
            <w:noWrap/>
            <w:vAlign w:val="center"/>
            <w:hideMark/>
          </w:tcPr>
          <w:p w:rsidR="00587957" w:rsidRDefault="005F5B63" w:rsidP="00044AF0">
            <w:pPr>
              <w:spacing w:beforeLines="60" w:afterLines="60" w:line="240" w:lineRule="auto"/>
              <w:ind w:right="355"/>
              <w:jc w:val="right"/>
              <w:rPr>
                <w:rFonts w:cs="Tahoma"/>
                <w:color w:val="000000"/>
                <w:sz w:val="20"/>
                <w:szCs w:val="20"/>
              </w:rPr>
            </w:pPr>
            <w:r>
              <w:rPr>
                <w:rFonts w:cs="Tahoma"/>
                <w:color w:val="000000"/>
                <w:sz w:val="20"/>
                <w:szCs w:val="20"/>
              </w:rPr>
              <w:t>18%</w:t>
            </w:r>
          </w:p>
        </w:tc>
        <w:tc>
          <w:tcPr>
            <w:tcW w:w="1559" w:type="dxa"/>
            <w:shd w:val="clear" w:color="auto" w:fill="auto"/>
            <w:noWrap/>
            <w:vAlign w:val="center"/>
            <w:hideMark/>
          </w:tcPr>
          <w:p w:rsidR="00587957" w:rsidRDefault="005F5B63" w:rsidP="00044AF0">
            <w:pPr>
              <w:spacing w:beforeLines="60" w:afterLines="60" w:line="240" w:lineRule="auto"/>
              <w:ind w:right="355"/>
              <w:jc w:val="right"/>
              <w:rPr>
                <w:rFonts w:cs="Tahoma"/>
                <w:color w:val="000000"/>
                <w:sz w:val="20"/>
                <w:szCs w:val="20"/>
              </w:rPr>
            </w:pPr>
            <w:r>
              <w:rPr>
                <w:rFonts w:cs="Tahoma"/>
                <w:color w:val="000000"/>
                <w:sz w:val="20"/>
                <w:szCs w:val="20"/>
              </w:rPr>
              <w:t>19%</w:t>
            </w:r>
          </w:p>
        </w:tc>
        <w:tc>
          <w:tcPr>
            <w:tcW w:w="1560" w:type="dxa"/>
            <w:shd w:val="clear" w:color="auto" w:fill="auto"/>
            <w:noWrap/>
            <w:vAlign w:val="center"/>
            <w:hideMark/>
          </w:tcPr>
          <w:p w:rsidR="00587957" w:rsidRDefault="005F5B63" w:rsidP="00044AF0">
            <w:pPr>
              <w:spacing w:beforeLines="60" w:afterLines="60" w:line="240" w:lineRule="auto"/>
              <w:ind w:right="355"/>
              <w:jc w:val="right"/>
              <w:rPr>
                <w:rFonts w:cs="Tahoma"/>
                <w:color w:val="000000"/>
                <w:sz w:val="20"/>
                <w:szCs w:val="20"/>
              </w:rPr>
            </w:pPr>
            <w:r>
              <w:rPr>
                <w:rFonts w:cs="Tahoma"/>
                <w:color w:val="000000"/>
                <w:sz w:val="20"/>
                <w:szCs w:val="20"/>
              </w:rPr>
              <w:t>30%</w:t>
            </w:r>
          </w:p>
        </w:tc>
      </w:tr>
      <w:tr w:rsidR="005F5B63" w:rsidRPr="00550083" w:rsidTr="00142A4B">
        <w:trPr>
          <w:trHeight w:val="300"/>
        </w:trPr>
        <w:tc>
          <w:tcPr>
            <w:tcW w:w="5954" w:type="dxa"/>
            <w:vAlign w:val="bottom"/>
          </w:tcPr>
          <w:p w:rsidR="005F5B63" w:rsidRPr="00805442" w:rsidRDefault="005F5B63" w:rsidP="00142A4B">
            <w:pPr>
              <w:spacing w:before="60" w:after="60" w:line="240" w:lineRule="auto"/>
              <w:rPr>
                <w:rFonts w:ascii="Microsoft Sans Serif" w:hAnsi="Microsoft Sans Serif" w:cs="Microsoft Sans Serif"/>
                <w:sz w:val="18"/>
                <w:szCs w:val="20"/>
                <w:lang w:val="de-AT" w:eastAsia="de-AT"/>
              </w:rPr>
            </w:pPr>
            <w:r w:rsidRPr="00805442">
              <w:rPr>
                <w:rFonts w:ascii="Microsoft Sans Serif" w:hAnsi="Microsoft Sans Serif" w:cs="Microsoft Sans Serif"/>
                <w:sz w:val="18"/>
                <w:szCs w:val="20"/>
                <w:lang w:val="de-AT" w:eastAsia="de-AT"/>
              </w:rPr>
              <w:t>Bei der Reihung der WohnungswerberInnen nach Dringlichkeit werden alle wichtigen Bedarfslagen erfasst und in die Wertung einbezogen.</w:t>
            </w:r>
          </w:p>
        </w:tc>
        <w:tc>
          <w:tcPr>
            <w:tcW w:w="1559" w:type="dxa"/>
            <w:shd w:val="clear" w:color="auto" w:fill="auto"/>
            <w:noWrap/>
            <w:vAlign w:val="center"/>
            <w:hideMark/>
          </w:tcPr>
          <w:p w:rsidR="005F5B63" w:rsidRPr="00805442" w:rsidRDefault="005F5B63" w:rsidP="00142A4B">
            <w:pPr>
              <w:spacing w:after="0" w:line="240" w:lineRule="auto"/>
              <w:ind w:right="229"/>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66%</w:t>
            </w:r>
          </w:p>
        </w:tc>
        <w:tc>
          <w:tcPr>
            <w:tcW w:w="1559" w:type="dxa"/>
            <w:shd w:val="clear" w:color="auto" w:fill="auto"/>
            <w:noWrap/>
            <w:vAlign w:val="center"/>
            <w:hideMark/>
          </w:tcPr>
          <w:p w:rsidR="00587957" w:rsidRDefault="005F5B63" w:rsidP="00044AF0">
            <w:pPr>
              <w:spacing w:beforeLines="60" w:afterLines="60" w:line="240" w:lineRule="auto"/>
              <w:ind w:right="355"/>
              <w:jc w:val="right"/>
              <w:rPr>
                <w:rFonts w:cs="Tahoma"/>
                <w:color w:val="000000"/>
                <w:sz w:val="20"/>
                <w:szCs w:val="20"/>
              </w:rPr>
            </w:pPr>
            <w:r>
              <w:rPr>
                <w:rFonts w:cs="Tahoma"/>
                <w:color w:val="000000"/>
                <w:sz w:val="20"/>
                <w:szCs w:val="20"/>
              </w:rPr>
              <w:t>95%</w:t>
            </w:r>
          </w:p>
        </w:tc>
        <w:tc>
          <w:tcPr>
            <w:tcW w:w="1559" w:type="dxa"/>
            <w:shd w:val="clear" w:color="auto" w:fill="auto"/>
            <w:noWrap/>
            <w:vAlign w:val="center"/>
            <w:hideMark/>
          </w:tcPr>
          <w:p w:rsidR="00587957" w:rsidRDefault="005F5B63" w:rsidP="00044AF0">
            <w:pPr>
              <w:spacing w:beforeLines="60" w:afterLines="60" w:line="240" w:lineRule="auto"/>
              <w:ind w:right="355"/>
              <w:jc w:val="right"/>
              <w:rPr>
                <w:rFonts w:cs="Tahoma"/>
                <w:color w:val="000000"/>
                <w:sz w:val="20"/>
                <w:szCs w:val="20"/>
              </w:rPr>
            </w:pPr>
            <w:r>
              <w:rPr>
                <w:rFonts w:cs="Tahoma"/>
                <w:color w:val="000000"/>
                <w:sz w:val="20"/>
                <w:szCs w:val="20"/>
              </w:rPr>
              <w:t>81%</w:t>
            </w:r>
          </w:p>
        </w:tc>
        <w:tc>
          <w:tcPr>
            <w:tcW w:w="1559" w:type="dxa"/>
            <w:shd w:val="clear" w:color="auto" w:fill="auto"/>
            <w:noWrap/>
            <w:vAlign w:val="center"/>
            <w:hideMark/>
          </w:tcPr>
          <w:p w:rsidR="00587957" w:rsidRDefault="005F5B63" w:rsidP="00044AF0">
            <w:pPr>
              <w:spacing w:beforeLines="60" w:afterLines="60" w:line="240" w:lineRule="auto"/>
              <w:ind w:right="355"/>
              <w:jc w:val="right"/>
              <w:rPr>
                <w:rFonts w:cs="Tahoma"/>
                <w:color w:val="000000"/>
                <w:sz w:val="20"/>
                <w:szCs w:val="20"/>
              </w:rPr>
            </w:pPr>
            <w:r>
              <w:rPr>
                <w:rFonts w:cs="Tahoma"/>
                <w:color w:val="000000"/>
                <w:sz w:val="20"/>
                <w:szCs w:val="20"/>
              </w:rPr>
              <w:t>75%</w:t>
            </w:r>
          </w:p>
        </w:tc>
        <w:tc>
          <w:tcPr>
            <w:tcW w:w="1560" w:type="dxa"/>
            <w:shd w:val="clear" w:color="auto" w:fill="auto"/>
            <w:noWrap/>
            <w:vAlign w:val="center"/>
            <w:hideMark/>
          </w:tcPr>
          <w:p w:rsidR="00587957" w:rsidRDefault="005F5B63" w:rsidP="00044AF0">
            <w:pPr>
              <w:spacing w:beforeLines="60" w:afterLines="60" w:line="240" w:lineRule="auto"/>
              <w:ind w:right="355"/>
              <w:jc w:val="right"/>
              <w:rPr>
                <w:rFonts w:cs="Tahoma"/>
                <w:color w:val="000000"/>
                <w:sz w:val="20"/>
                <w:szCs w:val="20"/>
              </w:rPr>
            </w:pPr>
            <w:r>
              <w:rPr>
                <w:rFonts w:cs="Tahoma"/>
                <w:color w:val="000000"/>
                <w:sz w:val="20"/>
                <w:szCs w:val="20"/>
              </w:rPr>
              <w:t>60%</w:t>
            </w:r>
          </w:p>
        </w:tc>
      </w:tr>
      <w:tr w:rsidR="005F5B63" w:rsidRPr="00550083" w:rsidTr="00142A4B">
        <w:trPr>
          <w:trHeight w:val="300"/>
        </w:trPr>
        <w:tc>
          <w:tcPr>
            <w:tcW w:w="5954" w:type="dxa"/>
            <w:vAlign w:val="bottom"/>
          </w:tcPr>
          <w:p w:rsidR="005F5B63" w:rsidRPr="00805442" w:rsidRDefault="005F5B63" w:rsidP="00142A4B">
            <w:pPr>
              <w:spacing w:before="60" w:after="60" w:line="240" w:lineRule="auto"/>
              <w:rPr>
                <w:rFonts w:ascii="Microsoft Sans Serif" w:hAnsi="Microsoft Sans Serif" w:cs="Microsoft Sans Serif"/>
                <w:sz w:val="18"/>
                <w:szCs w:val="20"/>
                <w:lang w:val="de-AT" w:eastAsia="de-AT"/>
              </w:rPr>
            </w:pPr>
            <w:r w:rsidRPr="00805442">
              <w:rPr>
                <w:rFonts w:ascii="Microsoft Sans Serif" w:hAnsi="Microsoft Sans Serif" w:cs="Microsoft Sans Serif"/>
                <w:sz w:val="18"/>
                <w:szCs w:val="20"/>
                <w:lang w:val="de-AT" w:eastAsia="de-AT"/>
              </w:rPr>
              <w:t>Die Vergabekriterien lassen Spielraum, auf besondere Umstände indiv</w:t>
            </w:r>
            <w:r w:rsidRPr="00805442">
              <w:rPr>
                <w:rFonts w:ascii="Microsoft Sans Serif" w:hAnsi="Microsoft Sans Serif" w:cs="Microsoft Sans Serif"/>
                <w:sz w:val="18"/>
                <w:szCs w:val="20"/>
                <w:lang w:val="de-AT" w:eastAsia="de-AT"/>
              </w:rPr>
              <w:t>i</w:t>
            </w:r>
            <w:r w:rsidRPr="00805442">
              <w:rPr>
                <w:rFonts w:ascii="Microsoft Sans Serif" w:hAnsi="Microsoft Sans Serif" w:cs="Microsoft Sans Serif"/>
                <w:sz w:val="18"/>
                <w:szCs w:val="20"/>
                <w:lang w:val="de-AT" w:eastAsia="de-AT"/>
              </w:rPr>
              <w:t>duell einzugehen.</w:t>
            </w:r>
          </w:p>
        </w:tc>
        <w:tc>
          <w:tcPr>
            <w:tcW w:w="1559" w:type="dxa"/>
            <w:shd w:val="clear" w:color="auto" w:fill="auto"/>
            <w:noWrap/>
            <w:vAlign w:val="center"/>
            <w:hideMark/>
          </w:tcPr>
          <w:p w:rsidR="005F5B63" w:rsidRPr="00805442" w:rsidRDefault="005F5B63" w:rsidP="00142A4B">
            <w:pPr>
              <w:spacing w:after="0" w:line="240" w:lineRule="auto"/>
              <w:ind w:right="229"/>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64%</w:t>
            </w:r>
          </w:p>
        </w:tc>
        <w:tc>
          <w:tcPr>
            <w:tcW w:w="1559" w:type="dxa"/>
            <w:shd w:val="clear" w:color="auto" w:fill="auto"/>
            <w:noWrap/>
            <w:vAlign w:val="center"/>
            <w:hideMark/>
          </w:tcPr>
          <w:p w:rsidR="00587957" w:rsidRDefault="005F5B63" w:rsidP="00044AF0">
            <w:pPr>
              <w:spacing w:beforeLines="60" w:afterLines="60" w:line="240" w:lineRule="auto"/>
              <w:ind w:right="355"/>
              <w:jc w:val="right"/>
              <w:rPr>
                <w:rFonts w:cs="Tahoma"/>
                <w:color w:val="000000"/>
                <w:sz w:val="20"/>
                <w:szCs w:val="20"/>
              </w:rPr>
            </w:pPr>
            <w:r>
              <w:rPr>
                <w:rFonts w:cs="Tahoma"/>
                <w:color w:val="000000"/>
                <w:sz w:val="20"/>
                <w:szCs w:val="20"/>
              </w:rPr>
              <w:t>87%</w:t>
            </w:r>
          </w:p>
        </w:tc>
        <w:tc>
          <w:tcPr>
            <w:tcW w:w="1559" w:type="dxa"/>
            <w:shd w:val="clear" w:color="auto" w:fill="auto"/>
            <w:noWrap/>
            <w:vAlign w:val="center"/>
            <w:hideMark/>
          </w:tcPr>
          <w:p w:rsidR="00587957" w:rsidRDefault="005F5B63" w:rsidP="00044AF0">
            <w:pPr>
              <w:spacing w:beforeLines="60" w:afterLines="60" w:line="240" w:lineRule="auto"/>
              <w:ind w:right="355"/>
              <w:jc w:val="right"/>
              <w:rPr>
                <w:rFonts w:cs="Tahoma"/>
                <w:color w:val="000000"/>
                <w:sz w:val="20"/>
                <w:szCs w:val="20"/>
              </w:rPr>
            </w:pPr>
            <w:r>
              <w:rPr>
                <w:rFonts w:cs="Tahoma"/>
                <w:color w:val="000000"/>
                <w:sz w:val="20"/>
                <w:szCs w:val="20"/>
              </w:rPr>
              <w:t>84%</w:t>
            </w:r>
          </w:p>
        </w:tc>
        <w:tc>
          <w:tcPr>
            <w:tcW w:w="1559" w:type="dxa"/>
            <w:shd w:val="clear" w:color="auto" w:fill="auto"/>
            <w:noWrap/>
            <w:vAlign w:val="center"/>
            <w:hideMark/>
          </w:tcPr>
          <w:p w:rsidR="00587957" w:rsidRDefault="005F5B63" w:rsidP="00044AF0">
            <w:pPr>
              <w:spacing w:beforeLines="60" w:afterLines="60" w:line="240" w:lineRule="auto"/>
              <w:ind w:right="355"/>
              <w:jc w:val="right"/>
              <w:rPr>
                <w:rFonts w:cs="Tahoma"/>
                <w:color w:val="000000"/>
                <w:sz w:val="20"/>
                <w:szCs w:val="20"/>
              </w:rPr>
            </w:pPr>
            <w:r>
              <w:rPr>
                <w:rFonts w:cs="Tahoma"/>
                <w:color w:val="000000"/>
                <w:sz w:val="20"/>
                <w:szCs w:val="20"/>
              </w:rPr>
              <w:t>81%</w:t>
            </w:r>
          </w:p>
        </w:tc>
        <w:tc>
          <w:tcPr>
            <w:tcW w:w="1560" w:type="dxa"/>
            <w:shd w:val="clear" w:color="auto" w:fill="auto"/>
            <w:noWrap/>
            <w:vAlign w:val="center"/>
            <w:hideMark/>
          </w:tcPr>
          <w:p w:rsidR="00587957" w:rsidRDefault="005F5B63" w:rsidP="00044AF0">
            <w:pPr>
              <w:spacing w:beforeLines="60" w:afterLines="60" w:line="240" w:lineRule="auto"/>
              <w:ind w:right="355"/>
              <w:jc w:val="right"/>
              <w:rPr>
                <w:rFonts w:cs="Tahoma"/>
                <w:color w:val="000000"/>
                <w:sz w:val="20"/>
                <w:szCs w:val="20"/>
              </w:rPr>
            </w:pPr>
            <w:r>
              <w:rPr>
                <w:rFonts w:cs="Tahoma"/>
                <w:color w:val="000000"/>
                <w:sz w:val="20"/>
                <w:szCs w:val="20"/>
              </w:rPr>
              <w:t>55%</w:t>
            </w:r>
          </w:p>
        </w:tc>
      </w:tr>
      <w:tr w:rsidR="005F5B63" w:rsidRPr="00550083" w:rsidTr="00142A4B">
        <w:trPr>
          <w:trHeight w:val="300"/>
        </w:trPr>
        <w:tc>
          <w:tcPr>
            <w:tcW w:w="5954" w:type="dxa"/>
            <w:vAlign w:val="bottom"/>
          </w:tcPr>
          <w:p w:rsidR="005F5B63" w:rsidRPr="00805442" w:rsidRDefault="005F5B63" w:rsidP="00142A4B">
            <w:pPr>
              <w:spacing w:before="60" w:after="60" w:line="240" w:lineRule="auto"/>
              <w:rPr>
                <w:rFonts w:ascii="Microsoft Sans Serif" w:hAnsi="Microsoft Sans Serif" w:cs="Microsoft Sans Serif"/>
                <w:sz w:val="18"/>
                <w:szCs w:val="20"/>
                <w:lang w:val="de-AT" w:eastAsia="de-AT"/>
              </w:rPr>
            </w:pPr>
            <w:r w:rsidRPr="00805442">
              <w:rPr>
                <w:rFonts w:ascii="Microsoft Sans Serif" w:hAnsi="Microsoft Sans Serif" w:cs="Microsoft Sans Serif"/>
                <w:sz w:val="18"/>
                <w:szCs w:val="20"/>
                <w:lang w:val="de-AT" w:eastAsia="de-AT"/>
              </w:rPr>
              <w:t>Auch wenn die Wohnungsvergabe strikt nach den Gleichbehandlung</w:t>
            </w:r>
            <w:r w:rsidRPr="00805442">
              <w:rPr>
                <w:rFonts w:ascii="Microsoft Sans Serif" w:hAnsi="Microsoft Sans Serif" w:cs="Microsoft Sans Serif"/>
                <w:sz w:val="18"/>
                <w:szCs w:val="20"/>
                <w:lang w:val="de-AT" w:eastAsia="de-AT"/>
              </w:rPr>
              <w:t>s</w:t>
            </w:r>
            <w:r w:rsidRPr="00805442">
              <w:rPr>
                <w:rFonts w:ascii="Microsoft Sans Serif" w:hAnsi="Microsoft Sans Serif" w:cs="Microsoft Sans Serif"/>
                <w:sz w:val="18"/>
                <w:szCs w:val="20"/>
                <w:lang w:val="de-AT" w:eastAsia="de-AT"/>
              </w:rPr>
              <w:t>richtlinien erfolgt, kommt es auf dem Wohnungsmarkt zur Benachteil</w:t>
            </w:r>
            <w:r w:rsidRPr="00805442">
              <w:rPr>
                <w:rFonts w:ascii="Microsoft Sans Serif" w:hAnsi="Microsoft Sans Serif" w:cs="Microsoft Sans Serif"/>
                <w:sz w:val="18"/>
                <w:szCs w:val="20"/>
                <w:lang w:val="de-AT" w:eastAsia="de-AT"/>
              </w:rPr>
              <w:t>i</w:t>
            </w:r>
            <w:r w:rsidRPr="00805442">
              <w:rPr>
                <w:rFonts w:ascii="Microsoft Sans Serif" w:hAnsi="Microsoft Sans Serif" w:cs="Microsoft Sans Serif"/>
                <w:sz w:val="18"/>
                <w:szCs w:val="20"/>
                <w:lang w:val="de-AT" w:eastAsia="de-AT"/>
              </w:rPr>
              <w:t>gung von MigrantInnen.</w:t>
            </w:r>
          </w:p>
        </w:tc>
        <w:tc>
          <w:tcPr>
            <w:tcW w:w="1559" w:type="dxa"/>
            <w:shd w:val="clear" w:color="auto" w:fill="auto"/>
            <w:noWrap/>
            <w:vAlign w:val="center"/>
            <w:hideMark/>
          </w:tcPr>
          <w:p w:rsidR="005F5B63" w:rsidRPr="00805442" w:rsidRDefault="005F5B63" w:rsidP="00142A4B">
            <w:pPr>
              <w:spacing w:after="0" w:line="240" w:lineRule="auto"/>
              <w:ind w:right="229"/>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46%</w:t>
            </w:r>
          </w:p>
        </w:tc>
        <w:tc>
          <w:tcPr>
            <w:tcW w:w="1559" w:type="dxa"/>
            <w:shd w:val="clear" w:color="auto" w:fill="auto"/>
            <w:noWrap/>
            <w:vAlign w:val="center"/>
            <w:hideMark/>
          </w:tcPr>
          <w:p w:rsidR="00587957" w:rsidRDefault="005F5B63" w:rsidP="00044AF0">
            <w:pPr>
              <w:spacing w:beforeLines="60" w:afterLines="60" w:line="240" w:lineRule="auto"/>
              <w:ind w:right="355"/>
              <w:jc w:val="right"/>
              <w:rPr>
                <w:rFonts w:cs="Tahoma"/>
                <w:color w:val="000000"/>
                <w:sz w:val="20"/>
                <w:szCs w:val="20"/>
              </w:rPr>
            </w:pPr>
            <w:r>
              <w:rPr>
                <w:rFonts w:cs="Tahoma"/>
                <w:color w:val="000000"/>
                <w:sz w:val="20"/>
                <w:szCs w:val="20"/>
              </w:rPr>
              <w:t>31%</w:t>
            </w:r>
          </w:p>
        </w:tc>
        <w:tc>
          <w:tcPr>
            <w:tcW w:w="1559" w:type="dxa"/>
            <w:shd w:val="clear" w:color="auto" w:fill="auto"/>
            <w:noWrap/>
            <w:vAlign w:val="center"/>
            <w:hideMark/>
          </w:tcPr>
          <w:p w:rsidR="00587957" w:rsidRDefault="005F5B63" w:rsidP="00044AF0">
            <w:pPr>
              <w:spacing w:beforeLines="60" w:afterLines="60" w:line="240" w:lineRule="auto"/>
              <w:ind w:right="355"/>
              <w:jc w:val="right"/>
              <w:rPr>
                <w:rFonts w:cs="Tahoma"/>
                <w:color w:val="000000"/>
                <w:sz w:val="20"/>
                <w:szCs w:val="20"/>
              </w:rPr>
            </w:pPr>
            <w:r>
              <w:rPr>
                <w:rFonts w:cs="Tahoma"/>
                <w:color w:val="000000"/>
                <w:sz w:val="20"/>
                <w:szCs w:val="20"/>
              </w:rPr>
              <w:t>22%</w:t>
            </w:r>
          </w:p>
        </w:tc>
        <w:tc>
          <w:tcPr>
            <w:tcW w:w="1559" w:type="dxa"/>
            <w:shd w:val="clear" w:color="auto" w:fill="auto"/>
            <w:noWrap/>
            <w:vAlign w:val="center"/>
            <w:hideMark/>
          </w:tcPr>
          <w:p w:rsidR="00587957" w:rsidRDefault="005F5B63" w:rsidP="00044AF0">
            <w:pPr>
              <w:spacing w:beforeLines="60" w:afterLines="60" w:line="240" w:lineRule="auto"/>
              <w:ind w:right="355"/>
              <w:jc w:val="right"/>
              <w:rPr>
                <w:rFonts w:cs="Tahoma"/>
                <w:color w:val="000000"/>
                <w:sz w:val="20"/>
                <w:szCs w:val="20"/>
              </w:rPr>
            </w:pPr>
            <w:r>
              <w:rPr>
                <w:rFonts w:cs="Tahoma"/>
                <w:color w:val="000000"/>
                <w:sz w:val="20"/>
                <w:szCs w:val="20"/>
              </w:rPr>
              <w:t>28%</w:t>
            </w:r>
          </w:p>
        </w:tc>
        <w:tc>
          <w:tcPr>
            <w:tcW w:w="1560" w:type="dxa"/>
            <w:shd w:val="clear" w:color="auto" w:fill="auto"/>
            <w:noWrap/>
            <w:vAlign w:val="center"/>
            <w:hideMark/>
          </w:tcPr>
          <w:p w:rsidR="00587957" w:rsidRDefault="005F5B63" w:rsidP="00044AF0">
            <w:pPr>
              <w:spacing w:beforeLines="60" w:afterLines="60" w:line="240" w:lineRule="auto"/>
              <w:ind w:right="355"/>
              <w:jc w:val="right"/>
              <w:rPr>
                <w:rFonts w:cs="Tahoma"/>
                <w:color w:val="000000"/>
                <w:sz w:val="20"/>
                <w:szCs w:val="20"/>
              </w:rPr>
            </w:pPr>
            <w:r>
              <w:rPr>
                <w:rFonts w:cs="Tahoma"/>
                <w:color w:val="000000"/>
                <w:sz w:val="20"/>
                <w:szCs w:val="20"/>
              </w:rPr>
              <w:t>59%</w:t>
            </w:r>
          </w:p>
        </w:tc>
      </w:tr>
    </w:tbl>
    <w:p w:rsidR="005F5B63" w:rsidRDefault="005F5B63" w:rsidP="005F5B63"/>
    <w:p w:rsidR="005F5B63" w:rsidRDefault="005F5B63" w:rsidP="005F5B63"/>
    <w:p w:rsidR="005F5B63" w:rsidRDefault="005F5B63" w:rsidP="005F5B63"/>
    <w:p w:rsidR="005F5B63" w:rsidRDefault="005F5B63" w:rsidP="005F5B63">
      <w:pPr>
        <w:sectPr w:rsidR="005F5B63" w:rsidSect="00142A4B">
          <w:pgSz w:w="16838" w:h="11906" w:orient="landscape"/>
          <w:pgMar w:top="1418" w:right="1418" w:bottom="1418" w:left="1134" w:header="709" w:footer="709" w:gutter="0"/>
          <w:cols w:space="708"/>
          <w:docGrid w:linePitch="360"/>
        </w:sectPr>
      </w:pPr>
    </w:p>
    <w:p w:rsidR="005F5B63" w:rsidRDefault="005F5B63" w:rsidP="00FF2B86">
      <w:pPr>
        <w:pStyle w:val="Untertitel"/>
      </w:pPr>
      <w:r>
        <w:lastRenderedPageBreak/>
        <w:t>Tab. 28:</w:t>
      </w:r>
      <w:r>
        <w:tab/>
      </w:r>
      <w:r w:rsidRPr="00805442">
        <w:t>Um eine Benachteiligung von Nicht-ÖsterreicherInnen auf dem Wo</w:t>
      </w:r>
      <w:r w:rsidRPr="00805442">
        <w:t>h</w:t>
      </w:r>
      <w:r w:rsidRPr="00805442">
        <w:t>nungsmarkt nachhaltig abbauen zu können, bräuchte es entspreche</w:t>
      </w:r>
      <w:r w:rsidRPr="00805442">
        <w:t>n</w:t>
      </w:r>
      <w:r w:rsidRPr="00805442">
        <w:t>de Vorsorgen</w:t>
      </w:r>
      <w:r>
        <w:t>, n = 157</w:t>
      </w:r>
    </w:p>
    <w:tbl>
      <w:tblPr>
        <w:tblW w:w="89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683"/>
        <w:gridCol w:w="706"/>
        <w:gridCol w:w="707"/>
        <w:gridCol w:w="706"/>
        <w:gridCol w:w="707"/>
        <w:gridCol w:w="706"/>
        <w:gridCol w:w="707"/>
      </w:tblGrid>
      <w:tr w:rsidR="005F5B63" w:rsidRPr="00FF3E42" w:rsidTr="00142A4B">
        <w:trPr>
          <w:trHeight w:val="255"/>
        </w:trPr>
        <w:tc>
          <w:tcPr>
            <w:tcW w:w="4683" w:type="dxa"/>
            <w:tcBorders>
              <w:top w:val="nil"/>
              <w:left w:val="nil"/>
              <w:bottom w:val="nil"/>
            </w:tcBorders>
            <w:shd w:val="clear" w:color="auto" w:fill="FFFFFF" w:themeFill="background1"/>
            <w:vAlign w:val="bottom"/>
            <w:hideMark/>
          </w:tcPr>
          <w:p w:rsidR="005F5B63" w:rsidRPr="00C968A6" w:rsidRDefault="005F5B63" w:rsidP="00142A4B">
            <w:pPr>
              <w:spacing w:before="60" w:after="60" w:line="240" w:lineRule="auto"/>
              <w:rPr>
                <w:rFonts w:cs="Tahoma"/>
                <w:sz w:val="20"/>
                <w:szCs w:val="20"/>
                <w:lang w:eastAsia="de-AT"/>
              </w:rPr>
            </w:pPr>
          </w:p>
        </w:tc>
        <w:tc>
          <w:tcPr>
            <w:tcW w:w="1413" w:type="dxa"/>
            <w:gridSpan w:val="2"/>
            <w:shd w:val="clear" w:color="auto" w:fill="D6E3BC" w:themeFill="accent3" w:themeFillTint="66"/>
          </w:tcPr>
          <w:p w:rsidR="005F5B63" w:rsidRPr="00FF3E42" w:rsidRDefault="005F5B63" w:rsidP="00142A4B">
            <w:pPr>
              <w:spacing w:before="60" w:after="60" w:line="240" w:lineRule="auto"/>
              <w:rPr>
                <w:rFonts w:cs="Tahoma"/>
                <w:sz w:val="20"/>
                <w:szCs w:val="20"/>
                <w:lang w:val="de-AT" w:eastAsia="de-AT"/>
              </w:rPr>
            </w:pPr>
            <w:r w:rsidRPr="00FF3E42">
              <w:rPr>
                <w:rFonts w:cs="Tahoma"/>
                <w:sz w:val="20"/>
                <w:szCs w:val="20"/>
                <w:lang w:val="de-AT" w:eastAsia="de-AT"/>
              </w:rPr>
              <w:t>Zustimmung</w:t>
            </w:r>
          </w:p>
        </w:tc>
        <w:tc>
          <w:tcPr>
            <w:tcW w:w="1413" w:type="dxa"/>
            <w:gridSpan w:val="2"/>
            <w:shd w:val="clear" w:color="auto" w:fill="D6E3BC" w:themeFill="accent3" w:themeFillTint="66"/>
          </w:tcPr>
          <w:p w:rsidR="005F5B63" w:rsidRPr="00FF3E42" w:rsidRDefault="005F5B63" w:rsidP="00142A4B">
            <w:pPr>
              <w:spacing w:before="60" w:after="60" w:line="240" w:lineRule="auto"/>
              <w:rPr>
                <w:rFonts w:cs="Tahoma"/>
                <w:sz w:val="20"/>
                <w:szCs w:val="20"/>
                <w:lang w:val="de-AT" w:eastAsia="de-AT"/>
              </w:rPr>
            </w:pPr>
            <w:r w:rsidRPr="00FF3E42">
              <w:rPr>
                <w:rFonts w:cs="Tahoma"/>
                <w:sz w:val="20"/>
                <w:szCs w:val="20"/>
                <w:lang w:val="de-AT" w:eastAsia="de-AT"/>
              </w:rPr>
              <w:t>Ablehnung</w:t>
            </w:r>
          </w:p>
        </w:tc>
        <w:tc>
          <w:tcPr>
            <w:tcW w:w="1413" w:type="dxa"/>
            <w:gridSpan w:val="2"/>
            <w:shd w:val="clear" w:color="auto" w:fill="D6E3BC" w:themeFill="accent3" w:themeFillTint="66"/>
          </w:tcPr>
          <w:p w:rsidR="005F5B63" w:rsidRPr="00FF3E42" w:rsidRDefault="005F5B63" w:rsidP="00142A4B">
            <w:pPr>
              <w:spacing w:before="60" w:after="60" w:line="240" w:lineRule="auto"/>
              <w:rPr>
                <w:rFonts w:cs="Tahoma"/>
                <w:sz w:val="20"/>
                <w:szCs w:val="20"/>
                <w:lang w:val="de-AT" w:eastAsia="de-AT"/>
              </w:rPr>
            </w:pPr>
            <w:r w:rsidRPr="00FF3E42">
              <w:rPr>
                <w:rFonts w:cs="Tahoma"/>
                <w:sz w:val="20"/>
                <w:szCs w:val="20"/>
                <w:lang w:val="de-AT" w:eastAsia="de-AT"/>
              </w:rPr>
              <w:t>weiß nicht</w:t>
            </w:r>
          </w:p>
        </w:tc>
      </w:tr>
      <w:tr w:rsidR="005F5B63" w:rsidRPr="00FF3E42" w:rsidTr="00142A4B">
        <w:trPr>
          <w:trHeight w:val="255"/>
        </w:trPr>
        <w:tc>
          <w:tcPr>
            <w:tcW w:w="4683" w:type="dxa"/>
            <w:tcBorders>
              <w:top w:val="nil"/>
              <w:left w:val="nil"/>
            </w:tcBorders>
            <w:shd w:val="clear" w:color="auto" w:fill="FFFFFF" w:themeFill="background1"/>
            <w:vAlign w:val="bottom"/>
            <w:hideMark/>
          </w:tcPr>
          <w:p w:rsidR="005F5B63" w:rsidRPr="00C968A6" w:rsidRDefault="005F5B63" w:rsidP="00142A4B">
            <w:pPr>
              <w:spacing w:before="60" w:after="60" w:line="240" w:lineRule="auto"/>
              <w:rPr>
                <w:rFonts w:cs="Tahoma"/>
                <w:sz w:val="20"/>
                <w:szCs w:val="20"/>
                <w:lang w:eastAsia="de-AT"/>
              </w:rPr>
            </w:pPr>
          </w:p>
        </w:tc>
        <w:tc>
          <w:tcPr>
            <w:tcW w:w="706" w:type="dxa"/>
            <w:shd w:val="clear" w:color="auto" w:fill="D6E3BC" w:themeFill="accent3" w:themeFillTint="66"/>
          </w:tcPr>
          <w:p w:rsidR="005F5B63" w:rsidRPr="00FF3E42" w:rsidRDefault="005F5B63" w:rsidP="00142A4B">
            <w:pPr>
              <w:spacing w:before="60" w:after="60" w:line="240" w:lineRule="auto"/>
              <w:rPr>
                <w:rFonts w:cs="Tahoma"/>
                <w:sz w:val="20"/>
                <w:szCs w:val="20"/>
                <w:lang w:val="de-AT" w:eastAsia="de-AT"/>
              </w:rPr>
            </w:pPr>
            <w:r>
              <w:rPr>
                <w:rFonts w:cs="Tahoma"/>
                <w:sz w:val="20"/>
                <w:szCs w:val="20"/>
                <w:lang w:val="de-AT" w:eastAsia="de-AT"/>
              </w:rPr>
              <w:t>abs.</w:t>
            </w:r>
          </w:p>
        </w:tc>
        <w:tc>
          <w:tcPr>
            <w:tcW w:w="707" w:type="dxa"/>
            <w:shd w:val="clear" w:color="auto" w:fill="D6E3BC" w:themeFill="accent3" w:themeFillTint="66"/>
          </w:tcPr>
          <w:p w:rsidR="005F5B63" w:rsidRPr="00FF3E42" w:rsidRDefault="005F5B63" w:rsidP="00142A4B">
            <w:pPr>
              <w:spacing w:before="60" w:after="60" w:line="240" w:lineRule="auto"/>
              <w:rPr>
                <w:rFonts w:cs="Tahoma"/>
                <w:sz w:val="20"/>
                <w:szCs w:val="20"/>
                <w:lang w:val="de-AT" w:eastAsia="de-AT"/>
              </w:rPr>
            </w:pPr>
            <w:r>
              <w:rPr>
                <w:rFonts w:cs="Tahoma"/>
                <w:sz w:val="20"/>
                <w:szCs w:val="20"/>
                <w:lang w:val="de-AT" w:eastAsia="de-AT"/>
              </w:rPr>
              <w:t>in %</w:t>
            </w:r>
          </w:p>
        </w:tc>
        <w:tc>
          <w:tcPr>
            <w:tcW w:w="706" w:type="dxa"/>
            <w:shd w:val="clear" w:color="auto" w:fill="D6E3BC" w:themeFill="accent3" w:themeFillTint="66"/>
          </w:tcPr>
          <w:p w:rsidR="005F5B63" w:rsidRPr="00FF3E42" w:rsidRDefault="005F5B63" w:rsidP="00142A4B">
            <w:pPr>
              <w:spacing w:before="60" w:after="60" w:line="240" w:lineRule="auto"/>
              <w:rPr>
                <w:rFonts w:cs="Tahoma"/>
                <w:sz w:val="20"/>
                <w:szCs w:val="20"/>
                <w:lang w:val="de-AT" w:eastAsia="de-AT"/>
              </w:rPr>
            </w:pPr>
            <w:r>
              <w:rPr>
                <w:rFonts w:cs="Tahoma"/>
                <w:sz w:val="20"/>
                <w:szCs w:val="20"/>
                <w:lang w:val="de-AT" w:eastAsia="de-AT"/>
              </w:rPr>
              <w:t>abs.</w:t>
            </w:r>
          </w:p>
        </w:tc>
        <w:tc>
          <w:tcPr>
            <w:tcW w:w="707" w:type="dxa"/>
            <w:shd w:val="clear" w:color="auto" w:fill="D6E3BC" w:themeFill="accent3" w:themeFillTint="66"/>
          </w:tcPr>
          <w:p w:rsidR="005F5B63" w:rsidRPr="00FF3E42" w:rsidRDefault="005F5B63" w:rsidP="00142A4B">
            <w:pPr>
              <w:spacing w:before="60" w:after="60" w:line="240" w:lineRule="auto"/>
              <w:rPr>
                <w:rFonts w:cs="Tahoma"/>
                <w:sz w:val="20"/>
                <w:szCs w:val="20"/>
                <w:lang w:val="de-AT" w:eastAsia="de-AT"/>
              </w:rPr>
            </w:pPr>
            <w:r>
              <w:rPr>
                <w:rFonts w:cs="Tahoma"/>
                <w:sz w:val="20"/>
                <w:szCs w:val="20"/>
                <w:lang w:val="de-AT" w:eastAsia="de-AT"/>
              </w:rPr>
              <w:t>in %</w:t>
            </w:r>
          </w:p>
        </w:tc>
        <w:tc>
          <w:tcPr>
            <w:tcW w:w="706" w:type="dxa"/>
            <w:shd w:val="clear" w:color="auto" w:fill="D6E3BC" w:themeFill="accent3" w:themeFillTint="66"/>
          </w:tcPr>
          <w:p w:rsidR="005F5B63" w:rsidRPr="00FF3E42" w:rsidRDefault="005F5B63" w:rsidP="00142A4B">
            <w:pPr>
              <w:spacing w:before="60" w:after="60" w:line="240" w:lineRule="auto"/>
              <w:rPr>
                <w:rFonts w:cs="Tahoma"/>
                <w:sz w:val="20"/>
                <w:szCs w:val="20"/>
                <w:lang w:val="de-AT" w:eastAsia="de-AT"/>
              </w:rPr>
            </w:pPr>
            <w:r>
              <w:rPr>
                <w:rFonts w:cs="Tahoma"/>
                <w:sz w:val="20"/>
                <w:szCs w:val="20"/>
                <w:lang w:val="de-AT" w:eastAsia="de-AT"/>
              </w:rPr>
              <w:t>abs.</w:t>
            </w:r>
          </w:p>
        </w:tc>
        <w:tc>
          <w:tcPr>
            <w:tcW w:w="707" w:type="dxa"/>
            <w:shd w:val="clear" w:color="auto" w:fill="D6E3BC" w:themeFill="accent3" w:themeFillTint="66"/>
          </w:tcPr>
          <w:p w:rsidR="005F5B63" w:rsidRPr="00FF3E42" w:rsidRDefault="005F5B63" w:rsidP="00142A4B">
            <w:pPr>
              <w:spacing w:before="60" w:after="60" w:line="240" w:lineRule="auto"/>
              <w:rPr>
                <w:rFonts w:cs="Tahoma"/>
                <w:sz w:val="20"/>
                <w:szCs w:val="20"/>
                <w:lang w:val="de-AT" w:eastAsia="de-AT"/>
              </w:rPr>
            </w:pPr>
            <w:r>
              <w:rPr>
                <w:rFonts w:cs="Tahoma"/>
                <w:sz w:val="20"/>
                <w:szCs w:val="20"/>
                <w:lang w:val="de-AT" w:eastAsia="de-AT"/>
              </w:rPr>
              <w:t>in %</w:t>
            </w:r>
          </w:p>
        </w:tc>
      </w:tr>
      <w:tr w:rsidR="005F5B63" w:rsidRPr="00FF3E42" w:rsidTr="00142A4B">
        <w:trPr>
          <w:trHeight w:val="255"/>
        </w:trPr>
        <w:tc>
          <w:tcPr>
            <w:tcW w:w="4683" w:type="dxa"/>
            <w:shd w:val="clear" w:color="auto" w:fill="FFFFFF" w:themeFill="background1"/>
            <w:vAlign w:val="bottom"/>
            <w:hideMark/>
          </w:tcPr>
          <w:p w:rsidR="005F5B63" w:rsidRPr="00FF3E42" w:rsidRDefault="005F5B63" w:rsidP="00142A4B">
            <w:pPr>
              <w:spacing w:before="60" w:after="60" w:line="240" w:lineRule="auto"/>
              <w:rPr>
                <w:rFonts w:cs="Tahoma"/>
                <w:sz w:val="20"/>
                <w:szCs w:val="20"/>
                <w:lang w:val="de-AT" w:eastAsia="de-AT"/>
              </w:rPr>
            </w:pPr>
            <w:r w:rsidRPr="00FF3E42">
              <w:rPr>
                <w:rFonts w:cs="Tahoma"/>
                <w:sz w:val="20"/>
                <w:szCs w:val="20"/>
                <w:lang w:val="de-AT" w:eastAsia="de-AT"/>
              </w:rPr>
              <w:t>Festlegung von Zielvorgaben bei der Erstellung des Wohnbauförderungsbudgets</w:t>
            </w:r>
          </w:p>
        </w:tc>
        <w:tc>
          <w:tcPr>
            <w:tcW w:w="706" w:type="dxa"/>
            <w:shd w:val="clear" w:color="auto" w:fill="FFFFFF" w:themeFill="background1"/>
            <w:vAlign w:val="center"/>
          </w:tcPr>
          <w:p w:rsidR="005F5B63" w:rsidRPr="00FF3E42" w:rsidRDefault="005F5B63" w:rsidP="00142A4B">
            <w:pPr>
              <w:spacing w:before="60" w:after="60" w:line="240" w:lineRule="auto"/>
              <w:jc w:val="right"/>
              <w:rPr>
                <w:rFonts w:cs="Tahoma"/>
                <w:sz w:val="20"/>
                <w:szCs w:val="20"/>
                <w:lang w:val="de-AT" w:eastAsia="de-AT"/>
              </w:rPr>
            </w:pPr>
            <w:r>
              <w:rPr>
                <w:rFonts w:cs="Tahoma"/>
                <w:sz w:val="20"/>
                <w:szCs w:val="20"/>
                <w:lang w:val="de-AT" w:eastAsia="de-AT"/>
              </w:rPr>
              <w:t>82</w:t>
            </w:r>
          </w:p>
        </w:tc>
        <w:tc>
          <w:tcPr>
            <w:tcW w:w="707" w:type="dxa"/>
            <w:shd w:val="clear" w:color="auto" w:fill="FFFFFF" w:themeFill="background1"/>
            <w:vAlign w:val="center"/>
          </w:tcPr>
          <w:p w:rsidR="005F5B63" w:rsidRPr="00FF3E42" w:rsidRDefault="005F5B63" w:rsidP="00142A4B">
            <w:pPr>
              <w:spacing w:before="60" w:after="60" w:line="240" w:lineRule="auto"/>
              <w:jc w:val="right"/>
              <w:rPr>
                <w:rFonts w:cs="Tahoma"/>
                <w:sz w:val="20"/>
                <w:szCs w:val="20"/>
                <w:lang w:val="de-AT" w:eastAsia="de-AT"/>
              </w:rPr>
            </w:pPr>
            <w:r>
              <w:rPr>
                <w:rFonts w:cs="Tahoma"/>
                <w:sz w:val="20"/>
                <w:szCs w:val="20"/>
                <w:lang w:val="de-AT" w:eastAsia="de-AT"/>
              </w:rPr>
              <w:t>52%</w:t>
            </w:r>
          </w:p>
        </w:tc>
        <w:tc>
          <w:tcPr>
            <w:tcW w:w="706" w:type="dxa"/>
            <w:shd w:val="clear" w:color="auto" w:fill="FFFFFF" w:themeFill="background1"/>
            <w:vAlign w:val="center"/>
          </w:tcPr>
          <w:p w:rsidR="005F5B63" w:rsidRPr="00FF3E42" w:rsidRDefault="005F5B63" w:rsidP="00142A4B">
            <w:pPr>
              <w:spacing w:before="60" w:after="60" w:line="240" w:lineRule="auto"/>
              <w:jc w:val="right"/>
              <w:rPr>
                <w:rFonts w:cs="Tahoma"/>
                <w:sz w:val="20"/>
                <w:szCs w:val="20"/>
                <w:lang w:val="de-AT" w:eastAsia="de-AT"/>
              </w:rPr>
            </w:pPr>
            <w:r>
              <w:rPr>
                <w:rFonts w:cs="Tahoma"/>
                <w:sz w:val="20"/>
                <w:szCs w:val="20"/>
                <w:lang w:val="de-AT" w:eastAsia="de-AT"/>
              </w:rPr>
              <w:t>37</w:t>
            </w:r>
          </w:p>
        </w:tc>
        <w:tc>
          <w:tcPr>
            <w:tcW w:w="707" w:type="dxa"/>
            <w:shd w:val="clear" w:color="auto" w:fill="FFFFFF" w:themeFill="background1"/>
            <w:vAlign w:val="center"/>
          </w:tcPr>
          <w:p w:rsidR="005F5B63" w:rsidRPr="00FF3E42" w:rsidRDefault="005F5B63" w:rsidP="00142A4B">
            <w:pPr>
              <w:spacing w:before="60" w:after="60" w:line="240" w:lineRule="auto"/>
              <w:jc w:val="right"/>
              <w:rPr>
                <w:rFonts w:cs="Tahoma"/>
                <w:sz w:val="20"/>
                <w:szCs w:val="20"/>
                <w:lang w:val="de-AT" w:eastAsia="de-AT"/>
              </w:rPr>
            </w:pPr>
            <w:r>
              <w:rPr>
                <w:rFonts w:cs="Tahoma"/>
                <w:sz w:val="20"/>
                <w:szCs w:val="20"/>
                <w:lang w:val="de-AT" w:eastAsia="de-AT"/>
              </w:rPr>
              <w:t>24%</w:t>
            </w:r>
          </w:p>
        </w:tc>
        <w:tc>
          <w:tcPr>
            <w:tcW w:w="706" w:type="dxa"/>
            <w:shd w:val="clear" w:color="auto" w:fill="FFFFFF" w:themeFill="background1"/>
            <w:vAlign w:val="center"/>
          </w:tcPr>
          <w:p w:rsidR="005F5B63" w:rsidRPr="00FF3E42" w:rsidRDefault="005F5B63" w:rsidP="00142A4B">
            <w:pPr>
              <w:spacing w:before="60" w:after="60" w:line="240" w:lineRule="auto"/>
              <w:jc w:val="right"/>
              <w:rPr>
                <w:rFonts w:cs="Tahoma"/>
                <w:sz w:val="20"/>
                <w:szCs w:val="20"/>
                <w:lang w:val="de-AT" w:eastAsia="de-AT"/>
              </w:rPr>
            </w:pPr>
            <w:r>
              <w:rPr>
                <w:rFonts w:cs="Tahoma"/>
                <w:sz w:val="20"/>
                <w:szCs w:val="20"/>
                <w:lang w:val="de-AT" w:eastAsia="de-AT"/>
              </w:rPr>
              <w:t>38</w:t>
            </w:r>
          </w:p>
        </w:tc>
        <w:tc>
          <w:tcPr>
            <w:tcW w:w="707" w:type="dxa"/>
            <w:shd w:val="clear" w:color="auto" w:fill="FFFFFF" w:themeFill="background1"/>
            <w:vAlign w:val="center"/>
          </w:tcPr>
          <w:p w:rsidR="005F5B63" w:rsidRPr="00FF3E42" w:rsidRDefault="005F5B63" w:rsidP="00142A4B">
            <w:pPr>
              <w:spacing w:before="60" w:after="60" w:line="240" w:lineRule="auto"/>
              <w:jc w:val="right"/>
              <w:rPr>
                <w:rFonts w:cs="Tahoma"/>
                <w:sz w:val="20"/>
                <w:szCs w:val="20"/>
                <w:lang w:val="de-AT" w:eastAsia="de-AT"/>
              </w:rPr>
            </w:pPr>
            <w:r>
              <w:rPr>
                <w:rFonts w:cs="Tahoma"/>
                <w:sz w:val="20"/>
                <w:szCs w:val="20"/>
                <w:lang w:val="de-AT" w:eastAsia="de-AT"/>
              </w:rPr>
              <w:t>24%</w:t>
            </w:r>
          </w:p>
        </w:tc>
      </w:tr>
      <w:tr w:rsidR="005F5B63" w:rsidRPr="00FF3E42" w:rsidTr="00142A4B">
        <w:trPr>
          <w:trHeight w:val="255"/>
        </w:trPr>
        <w:tc>
          <w:tcPr>
            <w:tcW w:w="4683" w:type="dxa"/>
            <w:shd w:val="clear" w:color="auto" w:fill="FFFFFF" w:themeFill="background1"/>
            <w:vAlign w:val="bottom"/>
            <w:hideMark/>
          </w:tcPr>
          <w:p w:rsidR="005F5B63" w:rsidRPr="00FF3E42" w:rsidRDefault="005F5B63" w:rsidP="00142A4B">
            <w:pPr>
              <w:spacing w:before="60" w:after="60" w:line="240" w:lineRule="auto"/>
              <w:rPr>
                <w:rFonts w:cs="Tahoma"/>
                <w:sz w:val="20"/>
                <w:szCs w:val="20"/>
                <w:lang w:val="de-AT" w:eastAsia="de-AT"/>
              </w:rPr>
            </w:pPr>
            <w:r w:rsidRPr="00FF3E42">
              <w:rPr>
                <w:rFonts w:cs="Tahoma"/>
                <w:sz w:val="20"/>
                <w:szCs w:val="20"/>
                <w:lang w:val="de-AT" w:eastAsia="de-AT"/>
              </w:rPr>
              <w:t>Widmung von Fördermitteln für die bevorzugte Versorgung von MigrantInnen mit leistbaren Wo</w:t>
            </w:r>
            <w:r w:rsidRPr="00FF3E42">
              <w:rPr>
                <w:rFonts w:cs="Tahoma"/>
                <w:sz w:val="20"/>
                <w:szCs w:val="20"/>
                <w:lang w:val="de-AT" w:eastAsia="de-AT"/>
              </w:rPr>
              <w:t>h</w:t>
            </w:r>
            <w:r w:rsidRPr="00FF3E42">
              <w:rPr>
                <w:rFonts w:cs="Tahoma"/>
                <w:sz w:val="20"/>
                <w:szCs w:val="20"/>
                <w:lang w:val="de-AT" w:eastAsia="de-AT"/>
              </w:rPr>
              <w:t>nungen</w:t>
            </w:r>
          </w:p>
        </w:tc>
        <w:tc>
          <w:tcPr>
            <w:tcW w:w="706" w:type="dxa"/>
            <w:shd w:val="clear" w:color="auto" w:fill="FFFFFF" w:themeFill="background1"/>
            <w:vAlign w:val="center"/>
          </w:tcPr>
          <w:p w:rsidR="005F5B63" w:rsidRPr="00FF3E42" w:rsidRDefault="005F5B63" w:rsidP="00142A4B">
            <w:pPr>
              <w:spacing w:before="60" w:after="60" w:line="240" w:lineRule="auto"/>
              <w:jc w:val="right"/>
              <w:rPr>
                <w:rFonts w:cs="Tahoma"/>
                <w:sz w:val="20"/>
                <w:szCs w:val="20"/>
                <w:lang w:val="de-AT" w:eastAsia="de-AT"/>
              </w:rPr>
            </w:pPr>
            <w:r>
              <w:rPr>
                <w:rFonts w:cs="Tahoma"/>
                <w:sz w:val="20"/>
                <w:szCs w:val="20"/>
                <w:lang w:val="de-AT" w:eastAsia="de-AT"/>
              </w:rPr>
              <w:t>74</w:t>
            </w:r>
          </w:p>
        </w:tc>
        <w:tc>
          <w:tcPr>
            <w:tcW w:w="707" w:type="dxa"/>
            <w:shd w:val="clear" w:color="auto" w:fill="FFFFFF" w:themeFill="background1"/>
            <w:vAlign w:val="center"/>
          </w:tcPr>
          <w:p w:rsidR="005F5B63" w:rsidRPr="00FF3E42" w:rsidRDefault="005F5B63" w:rsidP="00142A4B">
            <w:pPr>
              <w:spacing w:before="60" w:after="60" w:line="240" w:lineRule="auto"/>
              <w:jc w:val="right"/>
              <w:rPr>
                <w:rFonts w:cs="Tahoma"/>
                <w:sz w:val="20"/>
                <w:szCs w:val="20"/>
                <w:lang w:val="de-AT" w:eastAsia="de-AT"/>
              </w:rPr>
            </w:pPr>
            <w:r>
              <w:rPr>
                <w:rFonts w:cs="Tahoma"/>
                <w:sz w:val="20"/>
                <w:szCs w:val="20"/>
                <w:lang w:val="de-AT" w:eastAsia="de-AT"/>
              </w:rPr>
              <w:t>47%</w:t>
            </w:r>
          </w:p>
        </w:tc>
        <w:tc>
          <w:tcPr>
            <w:tcW w:w="706" w:type="dxa"/>
            <w:shd w:val="clear" w:color="auto" w:fill="FFFFFF" w:themeFill="background1"/>
            <w:vAlign w:val="center"/>
          </w:tcPr>
          <w:p w:rsidR="005F5B63" w:rsidRPr="00FF3E42" w:rsidRDefault="005F5B63" w:rsidP="00142A4B">
            <w:pPr>
              <w:spacing w:before="60" w:after="60" w:line="240" w:lineRule="auto"/>
              <w:jc w:val="right"/>
              <w:rPr>
                <w:rFonts w:cs="Tahoma"/>
                <w:sz w:val="20"/>
                <w:szCs w:val="20"/>
                <w:lang w:val="de-AT" w:eastAsia="de-AT"/>
              </w:rPr>
            </w:pPr>
            <w:r>
              <w:rPr>
                <w:rFonts w:cs="Tahoma"/>
                <w:sz w:val="20"/>
                <w:szCs w:val="20"/>
                <w:lang w:val="de-AT" w:eastAsia="de-AT"/>
              </w:rPr>
              <w:t>57</w:t>
            </w:r>
          </w:p>
        </w:tc>
        <w:tc>
          <w:tcPr>
            <w:tcW w:w="707" w:type="dxa"/>
            <w:shd w:val="clear" w:color="auto" w:fill="FFFFFF" w:themeFill="background1"/>
            <w:vAlign w:val="center"/>
          </w:tcPr>
          <w:p w:rsidR="005F5B63" w:rsidRPr="00FF3E42" w:rsidRDefault="005F5B63" w:rsidP="00142A4B">
            <w:pPr>
              <w:spacing w:before="60" w:after="60" w:line="240" w:lineRule="auto"/>
              <w:jc w:val="right"/>
              <w:rPr>
                <w:rFonts w:cs="Tahoma"/>
                <w:sz w:val="20"/>
                <w:szCs w:val="20"/>
                <w:lang w:val="de-AT" w:eastAsia="de-AT"/>
              </w:rPr>
            </w:pPr>
            <w:r>
              <w:rPr>
                <w:rFonts w:cs="Tahoma"/>
                <w:sz w:val="20"/>
                <w:szCs w:val="20"/>
                <w:lang w:val="de-AT" w:eastAsia="de-AT"/>
              </w:rPr>
              <w:t>36%</w:t>
            </w:r>
          </w:p>
        </w:tc>
        <w:tc>
          <w:tcPr>
            <w:tcW w:w="706" w:type="dxa"/>
            <w:shd w:val="clear" w:color="auto" w:fill="FFFFFF" w:themeFill="background1"/>
            <w:vAlign w:val="center"/>
          </w:tcPr>
          <w:p w:rsidR="005F5B63" w:rsidRPr="00FF3E42" w:rsidRDefault="005F5B63" w:rsidP="00142A4B">
            <w:pPr>
              <w:spacing w:before="60" w:after="60" w:line="240" w:lineRule="auto"/>
              <w:jc w:val="right"/>
              <w:rPr>
                <w:rFonts w:cs="Tahoma"/>
                <w:sz w:val="20"/>
                <w:szCs w:val="20"/>
                <w:lang w:val="de-AT" w:eastAsia="de-AT"/>
              </w:rPr>
            </w:pPr>
            <w:r>
              <w:rPr>
                <w:rFonts w:cs="Tahoma"/>
                <w:sz w:val="20"/>
                <w:szCs w:val="20"/>
                <w:lang w:val="de-AT" w:eastAsia="de-AT"/>
              </w:rPr>
              <w:t>26</w:t>
            </w:r>
          </w:p>
        </w:tc>
        <w:tc>
          <w:tcPr>
            <w:tcW w:w="707" w:type="dxa"/>
            <w:shd w:val="clear" w:color="auto" w:fill="FFFFFF" w:themeFill="background1"/>
            <w:vAlign w:val="center"/>
          </w:tcPr>
          <w:p w:rsidR="005F5B63" w:rsidRPr="00FF3E42" w:rsidRDefault="005F5B63" w:rsidP="00142A4B">
            <w:pPr>
              <w:spacing w:before="60" w:after="60" w:line="240" w:lineRule="auto"/>
              <w:jc w:val="right"/>
              <w:rPr>
                <w:rFonts w:cs="Tahoma"/>
                <w:sz w:val="20"/>
                <w:szCs w:val="20"/>
                <w:lang w:val="de-AT" w:eastAsia="de-AT"/>
              </w:rPr>
            </w:pPr>
            <w:r>
              <w:rPr>
                <w:rFonts w:cs="Tahoma"/>
                <w:sz w:val="20"/>
                <w:szCs w:val="20"/>
                <w:lang w:val="de-AT" w:eastAsia="de-AT"/>
              </w:rPr>
              <w:t>17%</w:t>
            </w:r>
          </w:p>
        </w:tc>
      </w:tr>
      <w:tr w:rsidR="005F5B63" w:rsidRPr="00FF3E42" w:rsidTr="00142A4B">
        <w:trPr>
          <w:trHeight w:val="255"/>
        </w:trPr>
        <w:tc>
          <w:tcPr>
            <w:tcW w:w="4683" w:type="dxa"/>
            <w:shd w:val="clear" w:color="auto" w:fill="FFFFFF" w:themeFill="background1"/>
            <w:vAlign w:val="bottom"/>
            <w:hideMark/>
          </w:tcPr>
          <w:p w:rsidR="005F5B63" w:rsidRPr="00FF3E42" w:rsidRDefault="005F5B63" w:rsidP="00142A4B">
            <w:pPr>
              <w:spacing w:before="60" w:after="60" w:line="240" w:lineRule="auto"/>
              <w:rPr>
                <w:rFonts w:cs="Tahoma"/>
                <w:sz w:val="20"/>
                <w:szCs w:val="20"/>
                <w:lang w:val="de-AT" w:eastAsia="de-AT"/>
              </w:rPr>
            </w:pPr>
            <w:r w:rsidRPr="00FF3E42">
              <w:rPr>
                <w:rFonts w:cs="Tahoma"/>
                <w:sz w:val="20"/>
                <w:szCs w:val="20"/>
                <w:lang w:val="de-AT" w:eastAsia="de-AT"/>
              </w:rPr>
              <w:t>Schwerpunktsetzungen bei der Stadt- und Sie</w:t>
            </w:r>
            <w:r w:rsidRPr="00FF3E42">
              <w:rPr>
                <w:rFonts w:cs="Tahoma"/>
                <w:sz w:val="20"/>
                <w:szCs w:val="20"/>
                <w:lang w:val="de-AT" w:eastAsia="de-AT"/>
              </w:rPr>
              <w:t>d</w:t>
            </w:r>
            <w:r w:rsidRPr="00FF3E42">
              <w:rPr>
                <w:rFonts w:cs="Tahoma"/>
                <w:sz w:val="20"/>
                <w:szCs w:val="20"/>
                <w:lang w:val="de-AT" w:eastAsia="de-AT"/>
              </w:rPr>
              <w:t>lungsplanung</w:t>
            </w:r>
          </w:p>
        </w:tc>
        <w:tc>
          <w:tcPr>
            <w:tcW w:w="706" w:type="dxa"/>
            <w:shd w:val="clear" w:color="auto" w:fill="FFFFFF" w:themeFill="background1"/>
            <w:vAlign w:val="center"/>
          </w:tcPr>
          <w:p w:rsidR="005F5B63" w:rsidRPr="00FF3E42" w:rsidRDefault="005F5B63" w:rsidP="00142A4B">
            <w:pPr>
              <w:spacing w:before="60" w:after="60" w:line="240" w:lineRule="auto"/>
              <w:jc w:val="right"/>
              <w:rPr>
                <w:rFonts w:cs="Tahoma"/>
                <w:sz w:val="20"/>
                <w:szCs w:val="20"/>
                <w:lang w:val="de-AT" w:eastAsia="de-AT"/>
              </w:rPr>
            </w:pPr>
            <w:r>
              <w:rPr>
                <w:rFonts w:cs="Tahoma"/>
                <w:sz w:val="20"/>
                <w:szCs w:val="20"/>
                <w:lang w:val="de-AT" w:eastAsia="de-AT"/>
              </w:rPr>
              <w:t>107</w:t>
            </w:r>
          </w:p>
        </w:tc>
        <w:tc>
          <w:tcPr>
            <w:tcW w:w="707" w:type="dxa"/>
            <w:shd w:val="clear" w:color="auto" w:fill="FFFFFF" w:themeFill="background1"/>
            <w:vAlign w:val="center"/>
          </w:tcPr>
          <w:p w:rsidR="005F5B63" w:rsidRPr="00FF3E42" w:rsidRDefault="005F5B63" w:rsidP="00142A4B">
            <w:pPr>
              <w:spacing w:before="60" w:after="60" w:line="240" w:lineRule="auto"/>
              <w:jc w:val="right"/>
              <w:rPr>
                <w:rFonts w:cs="Tahoma"/>
                <w:sz w:val="20"/>
                <w:szCs w:val="20"/>
                <w:lang w:val="de-AT" w:eastAsia="de-AT"/>
              </w:rPr>
            </w:pPr>
            <w:r>
              <w:rPr>
                <w:rFonts w:cs="Tahoma"/>
                <w:sz w:val="20"/>
                <w:szCs w:val="20"/>
                <w:lang w:val="de-AT" w:eastAsia="de-AT"/>
              </w:rPr>
              <w:t>68%</w:t>
            </w:r>
          </w:p>
        </w:tc>
        <w:tc>
          <w:tcPr>
            <w:tcW w:w="706" w:type="dxa"/>
            <w:shd w:val="clear" w:color="auto" w:fill="FFFFFF" w:themeFill="background1"/>
            <w:vAlign w:val="center"/>
          </w:tcPr>
          <w:p w:rsidR="005F5B63" w:rsidRPr="00FF3E42" w:rsidRDefault="005F5B63" w:rsidP="00142A4B">
            <w:pPr>
              <w:spacing w:before="60" w:after="60" w:line="240" w:lineRule="auto"/>
              <w:jc w:val="right"/>
              <w:rPr>
                <w:rFonts w:cs="Tahoma"/>
                <w:sz w:val="20"/>
                <w:szCs w:val="20"/>
                <w:lang w:val="de-AT" w:eastAsia="de-AT"/>
              </w:rPr>
            </w:pPr>
            <w:r>
              <w:rPr>
                <w:rFonts w:cs="Tahoma"/>
                <w:sz w:val="20"/>
                <w:szCs w:val="20"/>
                <w:lang w:val="de-AT" w:eastAsia="de-AT"/>
              </w:rPr>
              <w:t>35</w:t>
            </w:r>
          </w:p>
        </w:tc>
        <w:tc>
          <w:tcPr>
            <w:tcW w:w="707" w:type="dxa"/>
            <w:shd w:val="clear" w:color="auto" w:fill="FFFFFF" w:themeFill="background1"/>
            <w:vAlign w:val="center"/>
          </w:tcPr>
          <w:p w:rsidR="005F5B63" w:rsidRPr="00FF3E42" w:rsidRDefault="005F5B63" w:rsidP="00142A4B">
            <w:pPr>
              <w:spacing w:before="60" w:after="60" w:line="240" w:lineRule="auto"/>
              <w:jc w:val="right"/>
              <w:rPr>
                <w:rFonts w:cs="Tahoma"/>
                <w:sz w:val="20"/>
                <w:szCs w:val="20"/>
                <w:lang w:val="de-AT" w:eastAsia="de-AT"/>
              </w:rPr>
            </w:pPr>
            <w:r>
              <w:rPr>
                <w:rFonts w:cs="Tahoma"/>
                <w:sz w:val="20"/>
                <w:szCs w:val="20"/>
                <w:lang w:val="de-AT" w:eastAsia="de-AT"/>
              </w:rPr>
              <w:t>22%</w:t>
            </w:r>
          </w:p>
        </w:tc>
        <w:tc>
          <w:tcPr>
            <w:tcW w:w="706" w:type="dxa"/>
            <w:shd w:val="clear" w:color="auto" w:fill="FFFFFF" w:themeFill="background1"/>
            <w:vAlign w:val="center"/>
          </w:tcPr>
          <w:p w:rsidR="005F5B63" w:rsidRPr="00FF3E42" w:rsidRDefault="005F5B63" w:rsidP="00142A4B">
            <w:pPr>
              <w:spacing w:before="60" w:after="60" w:line="240" w:lineRule="auto"/>
              <w:jc w:val="right"/>
              <w:rPr>
                <w:rFonts w:cs="Tahoma"/>
                <w:sz w:val="20"/>
                <w:szCs w:val="20"/>
                <w:lang w:val="de-AT" w:eastAsia="de-AT"/>
              </w:rPr>
            </w:pPr>
            <w:r>
              <w:rPr>
                <w:rFonts w:cs="Tahoma"/>
                <w:sz w:val="20"/>
                <w:szCs w:val="20"/>
                <w:lang w:val="de-AT" w:eastAsia="de-AT"/>
              </w:rPr>
              <w:t>15</w:t>
            </w:r>
          </w:p>
        </w:tc>
        <w:tc>
          <w:tcPr>
            <w:tcW w:w="707" w:type="dxa"/>
            <w:shd w:val="clear" w:color="auto" w:fill="FFFFFF" w:themeFill="background1"/>
            <w:vAlign w:val="center"/>
          </w:tcPr>
          <w:p w:rsidR="005F5B63" w:rsidRPr="00FF3E42" w:rsidRDefault="005F5B63" w:rsidP="00142A4B">
            <w:pPr>
              <w:spacing w:before="60" w:after="60" w:line="240" w:lineRule="auto"/>
              <w:jc w:val="right"/>
              <w:rPr>
                <w:rFonts w:cs="Tahoma"/>
                <w:sz w:val="20"/>
                <w:szCs w:val="20"/>
                <w:lang w:val="de-AT" w:eastAsia="de-AT"/>
              </w:rPr>
            </w:pPr>
            <w:r>
              <w:rPr>
                <w:rFonts w:cs="Tahoma"/>
                <w:sz w:val="20"/>
                <w:szCs w:val="20"/>
                <w:lang w:val="de-AT" w:eastAsia="de-AT"/>
              </w:rPr>
              <w:t>10%</w:t>
            </w:r>
          </w:p>
        </w:tc>
      </w:tr>
      <w:tr w:rsidR="005F5B63" w:rsidRPr="00FF3E42" w:rsidTr="00142A4B">
        <w:trPr>
          <w:trHeight w:val="255"/>
        </w:trPr>
        <w:tc>
          <w:tcPr>
            <w:tcW w:w="4683" w:type="dxa"/>
            <w:shd w:val="clear" w:color="auto" w:fill="FFFFFF" w:themeFill="background1"/>
            <w:vAlign w:val="bottom"/>
            <w:hideMark/>
          </w:tcPr>
          <w:p w:rsidR="005F5B63" w:rsidRPr="00FF3E42" w:rsidRDefault="005F5B63" w:rsidP="00142A4B">
            <w:pPr>
              <w:spacing w:before="60" w:after="60" w:line="240" w:lineRule="auto"/>
              <w:rPr>
                <w:rFonts w:cs="Tahoma"/>
                <w:sz w:val="20"/>
                <w:szCs w:val="20"/>
                <w:lang w:val="de-AT" w:eastAsia="de-AT"/>
              </w:rPr>
            </w:pPr>
            <w:r w:rsidRPr="00FF3E42">
              <w:rPr>
                <w:rFonts w:cs="Tahoma"/>
                <w:sz w:val="20"/>
                <w:szCs w:val="20"/>
                <w:lang w:val="de-AT" w:eastAsia="de-AT"/>
              </w:rPr>
              <w:t>begleitende Maßnahmen auf der Ebene der Hau</w:t>
            </w:r>
            <w:r w:rsidRPr="00FF3E42">
              <w:rPr>
                <w:rFonts w:cs="Tahoma"/>
                <w:sz w:val="20"/>
                <w:szCs w:val="20"/>
                <w:lang w:val="de-AT" w:eastAsia="de-AT"/>
              </w:rPr>
              <w:t>s</w:t>
            </w:r>
            <w:r w:rsidRPr="00FF3E42">
              <w:rPr>
                <w:rFonts w:cs="Tahoma"/>
                <w:sz w:val="20"/>
                <w:szCs w:val="20"/>
                <w:lang w:val="de-AT" w:eastAsia="de-AT"/>
              </w:rPr>
              <w:t>gemeinschaften</w:t>
            </w:r>
          </w:p>
        </w:tc>
        <w:tc>
          <w:tcPr>
            <w:tcW w:w="706" w:type="dxa"/>
            <w:shd w:val="clear" w:color="auto" w:fill="FFFFFF" w:themeFill="background1"/>
            <w:vAlign w:val="center"/>
          </w:tcPr>
          <w:p w:rsidR="005F5B63" w:rsidRPr="00FF3E42" w:rsidRDefault="005F5B63" w:rsidP="00142A4B">
            <w:pPr>
              <w:spacing w:before="60" w:after="60" w:line="240" w:lineRule="auto"/>
              <w:jc w:val="right"/>
              <w:rPr>
                <w:rFonts w:cs="Tahoma"/>
                <w:sz w:val="20"/>
                <w:szCs w:val="20"/>
                <w:lang w:val="de-AT" w:eastAsia="de-AT"/>
              </w:rPr>
            </w:pPr>
            <w:r>
              <w:rPr>
                <w:rFonts w:cs="Tahoma"/>
                <w:sz w:val="20"/>
                <w:szCs w:val="20"/>
                <w:lang w:val="de-AT" w:eastAsia="de-AT"/>
              </w:rPr>
              <w:t>121</w:t>
            </w:r>
          </w:p>
        </w:tc>
        <w:tc>
          <w:tcPr>
            <w:tcW w:w="707" w:type="dxa"/>
            <w:shd w:val="clear" w:color="auto" w:fill="FFFFFF" w:themeFill="background1"/>
            <w:vAlign w:val="center"/>
          </w:tcPr>
          <w:p w:rsidR="005F5B63" w:rsidRPr="00FF3E42" w:rsidRDefault="005F5B63" w:rsidP="00142A4B">
            <w:pPr>
              <w:spacing w:before="60" w:after="60" w:line="240" w:lineRule="auto"/>
              <w:jc w:val="right"/>
              <w:rPr>
                <w:rFonts w:cs="Tahoma"/>
                <w:sz w:val="20"/>
                <w:szCs w:val="20"/>
                <w:lang w:val="de-AT" w:eastAsia="de-AT"/>
              </w:rPr>
            </w:pPr>
            <w:r>
              <w:rPr>
                <w:rFonts w:cs="Tahoma"/>
                <w:sz w:val="20"/>
                <w:szCs w:val="20"/>
                <w:lang w:val="de-AT" w:eastAsia="de-AT"/>
              </w:rPr>
              <w:t>77%</w:t>
            </w:r>
          </w:p>
        </w:tc>
        <w:tc>
          <w:tcPr>
            <w:tcW w:w="706" w:type="dxa"/>
            <w:shd w:val="clear" w:color="auto" w:fill="FFFFFF" w:themeFill="background1"/>
            <w:vAlign w:val="center"/>
          </w:tcPr>
          <w:p w:rsidR="005F5B63" w:rsidRPr="00FF3E42" w:rsidRDefault="005F5B63" w:rsidP="00142A4B">
            <w:pPr>
              <w:spacing w:before="60" w:after="60" w:line="240" w:lineRule="auto"/>
              <w:jc w:val="right"/>
              <w:rPr>
                <w:rFonts w:cs="Tahoma"/>
                <w:sz w:val="20"/>
                <w:szCs w:val="20"/>
                <w:lang w:val="de-AT" w:eastAsia="de-AT"/>
              </w:rPr>
            </w:pPr>
            <w:r>
              <w:rPr>
                <w:rFonts w:cs="Tahoma"/>
                <w:sz w:val="20"/>
                <w:szCs w:val="20"/>
                <w:lang w:val="de-AT" w:eastAsia="de-AT"/>
              </w:rPr>
              <w:t>19</w:t>
            </w:r>
          </w:p>
        </w:tc>
        <w:tc>
          <w:tcPr>
            <w:tcW w:w="707" w:type="dxa"/>
            <w:shd w:val="clear" w:color="auto" w:fill="FFFFFF" w:themeFill="background1"/>
            <w:vAlign w:val="center"/>
          </w:tcPr>
          <w:p w:rsidR="005F5B63" w:rsidRPr="00FF3E42" w:rsidRDefault="005F5B63" w:rsidP="00142A4B">
            <w:pPr>
              <w:spacing w:before="60" w:after="60" w:line="240" w:lineRule="auto"/>
              <w:jc w:val="right"/>
              <w:rPr>
                <w:rFonts w:cs="Tahoma"/>
                <w:sz w:val="20"/>
                <w:szCs w:val="20"/>
                <w:lang w:val="de-AT" w:eastAsia="de-AT"/>
              </w:rPr>
            </w:pPr>
            <w:r>
              <w:rPr>
                <w:rFonts w:cs="Tahoma"/>
                <w:sz w:val="20"/>
                <w:szCs w:val="20"/>
                <w:lang w:val="de-AT" w:eastAsia="de-AT"/>
              </w:rPr>
              <w:t>12%</w:t>
            </w:r>
          </w:p>
        </w:tc>
        <w:tc>
          <w:tcPr>
            <w:tcW w:w="706" w:type="dxa"/>
            <w:shd w:val="clear" w:color="auto" w:fill="FFFFFF" w:themeFill="background1"/>
            <w:vAlign w:val="center"/>
          </w:tcPr>
          <w:p w:rsidR="005F5B63" w:rsidRPr="00FF3E42" w:rsidRDefault="005F5B63" w:rsidP="00142A4B">
            <w:pPr>
              <w:spacing w:before="60" w:after="60" w:line="240" w:lineRule="auto"/>
              <w:jc w:val="right"/>
              <w:rPr>
                <w:rFonts w:cs="Tahoma"/>
                <w:sz w:val="20"/>
                <w:szCs w:val="20"/>
                <w:lang w:val="de-AT" w:eastAsia="de-AT"/>
              </w:rPr>
            </w:pPr>
            <w:r>
              <w:rPr>
                <w:rFonts w:cs="Tahoma"/>
                <w:sz w:val="20"/>
                <w:szCs w:val="20"/>
                <w:lang w:val="de-AT" w:eastAsia="de-AT"/>
              </w:rPr>
              <w:t>17</w:t>
            </w:r>
          </w:p>
        </w:tc>
        <w:tc>
          <w:tcPr>
            <w:tcW w:w="707" w:type="dxa"/>
            <w:shd w:val="clear" w:color="auto" w:fill="FFFFFF" w:themeFill="background1"/>
            <w:vAlign w:val="center"/>
          </w:tcPr>
          <w:p w:rsidR="005F5B63" w:rsidRPr="00FF3E42" w:rsidRDefault="005F5B63" w:rsidP="00142A4B">
            <w:pPr>
              <w:spacing w:before="60" w:after="60" w:line="240" w:lineRule="auto"/>
              <w:jc w:val="right"/>
              <w:rPr>
                <w:rFonts w:cs="Tahoma"/>
                <w:sz w:val="20"/>
                <w:szCs w:val="20"/>
                <w:lang w:val="de-AT" w:eastAsia="de-AT"/>
              </w:rPr>
            </w:pPr>
            <w:r>
              <w:rPr>
                <w:rFonts w:cs="Tahoma"/>
                <w:sz w:val="20"/>
                <w:szCs w:val="20"/>
                <w:lang w:val="de-AT" w:eastAsia="de-AT"/>
              </w:rPr>
              <w:t>11%</w:t>
            </w:r>
          </w:p>
        </w:tc>
      </w:tr>
      <w:tr w:rsidR="005F5B63" w:rsidRPr="00FF3E42" w:rsidTr="00142A4B">
        <w:trPr>
          <w:trHeight w:val="255"/>
        </w:trPr>
        <w:tc>
          <w:tcPr>
            <w:tcW w:w="4683" w:type="dxa"/>
            <w:shd w:val="clear" w:color="auto" w:fill="FFFFFF" w:themeFill="background1"/>
            <w:vAlign w:val="bottom"/>
            <w:hideMark/>
          </w:tcPr>
          <w:p w:rsidR="005F5B63" w:rsidRPr="00FF3E42" w:rsidRDefault="005F5B63" w:rsidP="00142A4B">
            <w:pPr>
              <w:spacing w:before="60" w:after="60" w:line="240" w:lineRule="auto"/>
              <w:rPr>
                <w:rFonts w:cs="Tahoma"/>
                <w:sz w:val="20"/>
                <w:szCs w:val="20"/>
                <w:lang w:val="de-AT" w:eastAsia="de-AT"/>
              </w:rPr>
            </w:pPr>
            <w:r w:rsidRPr="00FF3E42">
              <w:rPr>
                <w:rFonts w:cs="Tahoma"/>
                <w:sz w:val="20"/>
                <w:szCs w:val="20"/>
                <w:lang w:val="de-AT" w:eastAsia="de-AT"/>
              </w:rPr>
              <w:t>Öffentlichkeitsarbeit zur Verbesserung der Akze</w:t>
            </w:r>
            <w:r w:rsidRPr="00FF3E42">
              <w:rPr>
                <w:rFonts w:cs="Tahoma"/>
                <w:sz w:val="20"/>
                <w:szCs w:val="20"/>
                <w:lang w:val="de-AT" w:eastAsia="de-AT"/>
              </w:rPr>
              <w:t>p</w:t>
            </w:r>
            <w:r w:rsidRPr="00FF3E42">
              <w:rPr>
                <w:rFonts w:cs="Tahoma"/>
                <w:sz w:val="20"/>
                <w:szCs w:val="20"/>
                <w:lang w:val="de-AT" w:eastAsia="de-AT"/>
              </w:rPr>
              <w:t>tanz für die Wohnversorgung von Haushalten mit nicht-österreichischer Staatsbürgerschaft</w:t>
            </w:r>
          </w:p>
        </w:tc>
        <w:tc>
          <w:tcPr>
            <w:tcW w:w="706" w:type="dxa"/>
            <w:shd w:val="clear" w:color="auto" w:fill="FFFFFF" w:themeFill="background1"/>
            <w:vAlign w:val="center"/>
          </w:tcPr>
          <w:p w:rsidR="005F5B63" w:rsidRPr="00FF3E42" w:rsidRDefault="005F5B63" w:rsidP="00142A4B">
            <w:pPr>
              <w:spacing w:before="60" w:after="60" w:line="240" w:lineRule="auto"/>
              <w:jc w:val="right"/>
              <w:rPr>
                <w:rFonts w:cs="Tahoma"/>
                <w:sz w:val="20"/>
                <w:szCs w:val="20"/>
                <w:lang w:val="de-AT" w:eastAsia="de-AT"/>
              </w:rPr>
            </w:pPr>
            <w:r>
              <w:rPr>
                <w:rFonts w:cs="Tahoma"/>
                <w:sz w:val="20"/>
                <w:szCs w:val="20"/>
                <w:lang w:val="de-AT" w:eastAsia="de-AT"/>
              </w:rPr>
              <w:t>122</w:t>
            </w:r>
          </w:p>
        </w:tc>
        <w:tc>
          <w:tcPr>
            <w:tcW w:w="707" w:type="dxa"/>
            <w:shd w:val="clear" w:color="auto" w:fill="FFFFFF" w:themeFill="background1"/>
            <w:vAlign w:val="center"/>
          </w:tcPr>
          <w:p w:rsidR="005F5B63" w:rsidRPr="00FF3E42" w:rsidRDefault="005F5B63" w:rsidP="00142A4B">
            <w:pPr>
              <w:spacing w:before="60" w:after="60" w:line="240" w:lineRule="auto"/>
              <w:jc w:val="right"/>
              <w:rPr>
                <w:rFonts w:cs="Tahoma"/>
                <w:sz w:val="20"/>
                <w:szCs w:val="20"/>
                <w:lang w:val="de-AT" w:eastAsia="de-AT"/>
              </w:rPr>
            </w:pPr>
            <w:r>
              <w:rPr>
                <w:rFonts w:cs="Tahoma"/>
                <w:sz w:val="20"/>
                <w:szCs w:val="20"/>
                <w:lang w:val="de-AT" w:eastAsia="de-AT"/>
              </w:rPr>
              <w:t>78%</w:t>
            </w:r>
          </w:p>
        </w:tc>
        <w:tc>
          <w:tcPr>
            <w:tcW w:w="706" w:type="dxa"/>
            <w:shd w:val="clear" w:color="auto" w:fill="FFFFFF" w:themeFill="background1"/>
            <w:vAlign w:val="center"/>
          </w:tcPr>
          <w:p w:rsidR="005F5B63" w:rsidRPr="00FF3E42" w:rsidRDefault="005F5B63" w:rsidP="00142A4B">
            <w:pPr>
              <w:spacing w:before="60" w:after="60" w:line="240" w:lineRule="auto"/>
              <w:jc w:val="right"/>
              <w:rPr>
                <w:rFonts w:cs="Tahoma"/>
                <w:sz w:val="20"/>
                <w:szCs w:val="20"/>
                <w:lang w:val="de-AT" w:eastAsia="de-AT"/>
              </w:rPr>
            </w:pPr>
            <w:r>
              <w:rPr>
                <w:rFonts w:cs="Tahoma"/>
                <w:sz w:val="20"/>
                <w:szCs w:val="20"/>
                <w:lang w:val="de-AT" w:eastAsia="de-AT"/>
              </w:rPr>
              <w:t>22</w:t>
            </w:r>
          </w:p>
        </w:tc>
        <w:tc>
          <w:tcPr>
            <w:tcW w:w="707" w:type="dxa"/>
            <w:shd w:val="clear" w:color="auto" w:fill="FFFFFF" w:themeFill="background1"/>
            <w:vAlign w:val="center"/>
          </w:tcPr>
          <w:p w:rsidR="005F5B63" w:rsidRPr="00FF3E42" w:rsidRDefault="005F5B63" w:rsidP="00142A4B">
            <w:pPr>
              <w:spacing w:before="60" w:after="60" w:line="240" w:lineRule="auto"/>
              <w:jc w:val="right"/>
              <w:rPr>
                <w:rFonts w:cs="Tahoma"/>
                <w:sz w:val="20"/>
                <w:szCs w:val="20"/>
                <w:lang w:val="de-AT" w:eastAsia="de-AT"/>
              </w:rPr>
            </w:pPr>
            <w:r>
              <w:rPr>
                <w:rFonts w:cs="Tahoma"/>
                <w:sz w:val="20"/>
                <w:szCs w:val="20"/>
                <w:lang w:val="de-AT" w:eastAsia="de-AT"/>
              </w:rPr>
              <w:t>14%</w:t>
            </w:r>
          </w:p>
        </w:tc>
        <w:tc>
          <w:tcPr>
            <w:tcW w:w="706" w:type="dxa"/>
            <w:shd w:val="clear" w:color="auto" w:fill="FFFFFF" w:themeFill="background1"/>
            <w:vAlign w:val="center"/>
          </w:tcPr>
          <w:p w:rsidR="005F5B63" w:rsidRPr="00FF3E42" w:rsidRDefault="005F5B63" w:rsidP="00142A4B">
            <w:pPr>
              <w:spacing w:before="60" w:after="60" w:line="240" w:lineRule="auto"/>
              <w:jc w:val="right"/>
              <w:rPr>
                <w:rFonts w:cs="Tahoma"/>
                <w:sz w:val="20"/>
                <w:szCs w:val="20"/>
                <w:lang w:val="de-AT" w:eastAsia="de-AT"/>
              </w:rPr>
            </w:pPr>
            <w:r>
              <w:rPr>
                <w:rFonts w:cs="Tahoma"/>
                <w:sz w:val="20"/>
                <w:szCs w:val="20"/>
                <w:lang w:val="de-AT" w:eastAsia="de-AT"/>
              </w:rPr>
              <w:t>13</w:t>
            </w:r>
          </w:p>
        </w:tc>
        <w:tc>
          <w:tcPr>
            <w:tcW w:w="707" w:type="dxa"/>
            <w:shd w:val="clear" w:color="auto" w:fill="FFFFFF" w:themeFill="background1"/>
            <w:vAlign w:val="center"/>
          </w:tcPr>
          <w:p w:rsidR="005F5B63" w:rsidRPr="00FF3E42" w:rsidRDefault="005F5B63" w:rsidP="00142A4B">
            <w:pPr>
              <w:spacing w:before="60" w:after="60" w:line="240" w:lineRule="auto"/>
              <w:jc w:val="right"/>
              <w:rPr>
                <w:rFonts w:cs="Tahoma"/>
                <w:sz w:val="20"/>
                <w:szCs w:val="20"/>
                <w:lang w:val="de-AT" w:eastAsia="de-AT"/>
              </w:rPr>
            </w:pPr>
            <w:r>
              <w:rPr>
                <w:rFonts w:cs="Tahoma"/>
                <w:sz w:val="20"/>
                <w:szCs w:val="20"/>
                <w:lang w:val="de-AT" w:eastAsia="de-AT"/>
              </w:rPr>
              <w:t>8%</w:t>
            </w:r>
          </w:p>
        </w:tc>
      </w:tr>
    </w:tbl>
    <w:p w:rsidR="005F5B63" w:rsidRDefault="005F5B63" w:rsidP="005F5B63"/>
    <w:p w:rsidR="005F5B63" w:rsidRDefault="005F5B63" w:rsidP="00FF2B86">
      <w:pPr>
        <w:pStyle w:val="Untertitel"/>
      </w:pPr>
      <w:r>
        <w:t>Tab. 29:</w:t>
      </w:r>
      <w:r>
        <w:tab/>
        <w:t>Bedarf nach ergänzenden Vorsorgen, nach Art der Einrichtung, Z</w:t>
      </w:r>
      <w:r>
        <w:t>u</w:t>
      </w:r>
      <w:r>
        <w:t>stimmung in Prozent</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612"/>
        <w:gridCol w:w="1132"/>
        <w:gridCol w:w="1133"/>
        <w:gridCol w:w="1132"/>
        <w:gridCol w:w="1133"/>
      </w:tblGrid>
      <w:tr w:rsidR="005F5B63" w:rsidRPr="006D2D07" w:rsidTr="00142A4B">
        <w:trPr>
          <w:trHeight w:val="255"/>
        </w:trPr>
        <w:tc>
          <w:tcPr>
            <w:tcW w:w="4612" w:type="dxa"/>
            <w:tcBorders>
              <w:top w:val="nil"/>
              <w:left w:val="nil"/>
            </w:tcBorders>
            <w:shd w:val="clear" w:color="auto" w:fill="FFFFFF" w:themeFill="background1"/>
            <w:vAlign w:val="bottom"/>
            <w:hideMark/>
          </w:tcPr>
          <w:p w:rsidR="005F5B63" w:rsidRPr="006D2D07" w:rsidRDefault="005F5B63" w:rsidP="00142A4B">
            <w:pPr>
              <w:spacing w:before="60" w:after="60" w:line="240" w:lineRule="auto"/>
              <w:rPr>
                <w:rFonts w:cs="Tahoma"/>
                <w:sz w:val="16"/>
                <w:szCs w:val="20"/>
                <w:lang w:eastAsia="de-AT"/>
              </w:rPr>
            </w:pPr>
          </w:p>
        </w:tc>
        <w:tc>
          <w:tcPr>
            <w:tcW w:w="1132" w:type="dxa"/>
            <w:tcBorders>
              <w:left w:val="nil"/>
            </w:tcBorders>
            <w:shd w:val="clear" w:color="auto" w:fill="D6E3BC" w:themeFill="accent3" w:themeFillTint="66"/>
          </w:tcPr>
          <w:p w:rsidR="005F5B63" w:rsidRPr="006D2D07" w:rsidRDefault="005F5B63" w:rsidP="00142A4B">
            <w:pPr>
              <w:spacing w:before="60" w:after="60" w:line="240" w:lineRule="auto"/>
              <w:rPr>
                <w:rFonts w:cs="Tahoma"/>
                <w:sz w:val="16"/>
                <w:szCs w:val="20"/>
                <w:lang w:eastAsia="de-AT"/>
              </w:rPr>
            </w:pPr>
            <w:r w:rsidRPr="006D2D07">
              <w:rPr>
                <w:rFonts w:cs="Tahoma"/>
                <w:sz w:val="16"/>
                <w:szCs w:val="20"/>
                <w:lang w:eastAsia="de-AT"/>
              </w:rPr>
              <w:t>Wohnungs-amt</w:t>
            </w:r>
          </w:p>
        </w:tc>
        <w:tc>
          <w:tcPr>
            <w:tcW w:w="1133" w:type="dxa"/>
            <w:tcBorders>
              <w:left w:val="nil"/>
            </w:tcBorders>
            <w:shd w:val="clear" w:color="auto" w:fill="D6E3BC" w:themeFill="accent3" w:themeFillTint="66"/>
          </w:tcPr>
          <w:p w:rsidR="005F5B63" w:rsidRPr="006D2D07" w:rsidRDefault="005F5B63" w:rsidP="00142A4B">
            <w:pPr>
              <w:spacing w:before="60" w:after="60" w:line="240" w:lineRule="auto"/>
              <w:rPr>
                <w:rFonts w:cs="Tahoma"/>
                <w:sz w:val="16"/>
                <w:szCs w:val="20"/>
                <w:lang w:eastAsia="de-AT"/>
              </w:rPr>
            </w:pPr>
            <w:r w:rsidRPr="006D2D07">
              <w:rPr>
                <w:rFonts w:cs="Tahoma"/>
                <w:sz w:val="16"/>
                <w:szCs w:val="20"/>
                <w:lang w:eastAsia="de-AT"/>
              </w:rPr>
              <w:t>gemeinnützi-ger Bauträger</w:t>
            </w:r>
          </w:p>
        </w:tc>
        <w:tc>
          <w:tcPr>
            <w:tcW w:w="1132" w:type="dxa"/>
            <w:tcBorders>
              <w:left w:val="nil"/>
            </w:tcBorders>
            <w:shd w:val="clear" w:color="auto" w:fill="D6E3BC" w:themeFill="accent3" w:themeFillTint="66"/>
          </w:tcPr>
          <w:p w:rsidR="005F5B63" w:rsidRPr="006D2D07" w:rsidRDefault="005F5B63" w:rsidP="00142A4B">
            <w:pPr>
              <w:spacing w:before="60" w:after="60" w:line="240" w:lineRule="auto"/>
              <w:rPr>
                <w:rFonts w:cs="Tahoma"/>
                <w:sz w:val="16"/>
                <w:szCs w:val="20"/>
                <w:lang w:eastAsia="de-AT"/>
              </w:rPr>
            </w:pPr>
            <w:r w:rsidRPr="006D2D07">
              <w:rPr>
                <w:rFonts w:cs="Tahoma"/>
                <w:sz w:val="16"/>
                <w:szCs w:val="20"/>
                <w:lang w:eastAsia="de-AT"/>
              </w:rPr>
              <w:t>privater Bauträger</w:t>
            </w:r>
          </w:p>
        </w:tc>
        <w:tc>
          <w:tcPr>
            <w:tcW w:w="1133" w:type="dxa"/>
            <w:tcBorders>
              <w:left w:val="nil"/>
            </w:tcBorders>
            <w:shd w:val="clear" w:color="auto" w:fill="D6E3BC" w:themeFill="accent3" w:themeFillTint="66"/>
          </w:tcPr>
          <w:p w:rsidR="005F5B63" w:rsidRPr="006D2D07" w:rsidRDefault="005F5B63" w:rsidP="00142A4B">
            <w:pPr>
              <w:spacing w:before="60" w:after="60" w:line="240" w:lineRule="auto"/>
              <w:rPr>
                <w:rFonts w:cs="Tahoma"/>
                <w:sz w:val="16"/>
                <w:szCs w:val="20"/>
                <w:lang w:eastAsia="de-AT"/>
              </w:rPr>
            </w:pPr>
            <w:r w:rsidRPr="006D2D07">
              <w:rPr>
                <w:rFonts w:cs="Tahoma"/>
                <w:sz w:val="16"/>
                <w:szCs w:val="20"/>
                <w:lang w:eastAsia="de-AT"/>
              </w:rPr>
              <w:t>Beratungs-einrichtung</w:t>
            </w:r>
          </w:p>
        </w:tc>
      </w:tr>
      <w:tr w:rsidR="005F5B63" w:rsidRPr="006D2D07" w:rsidTr="00142A4B">
        <w:trPr>
          <w:trHeight w:val="255"/>
        </w:trPr>
        <w:tc>
          <w:tcPr>
            <w:tcW w:w="4612" w:type="dxa"/>
            <w:shd w:val="clear" w:color="auto" w:fill="FFFFFF" w:themeFill="background1"/>
            <w:vAlign w:val="bottom"/>
            <w:hideMark/>
          </w:tcPr>
          <w:p w:rsidR="005F5B63" w:rsidRPr="006D2D07" w:rsidRDefault="005F5B63" w:rsidP="00142A4B">
            <w:pPr>
              <w:spacing w:before="60" w:after="60" w:line="240" w:lineRule="auto"/>
              <w:rPr>
                <w:rFonts w:cs="Tahoma"/>
                <w:sz w:val="16"/>
                <w:szCs w:val="20"/>
                <w:lang w:val="de-AT" w:eastAsia="de-AT"/>
              </w:rPr>
            </w:pPr>
            <w:r w:rsidRPr="006D2D07">
              <w:rPr>
                <w:rFonts w:cs="Tahoma"/>
                <w:sz w:val="16"/>
                <w:szCs w:val="20"/>
                <w:lang w:val="de-AT" w:eastAsia="de-AT"/>
              </w:rPr>
              <w:t>Festlegung von Zielvorgaben bei der Erstellung des Wohnba</w:t>
            </w:r>
            <w:r w:rsidRPr="006D2D07">
              <w:rPr>
                <w:rFonts w:cs="Tahoma"/>
                <w:sz w:val="16"/>
                <w:szCs w:val="20"/>
                <w:lang w:val="de-AT" w:eastAsia="de-AT"/>
              </w:rPr>
              <w:t>u</w:t>
            </w:r>
            <w:r w:rsidRPr="006D2D07">
              <w:rPr>
                <w:rFonts w:cs="Tahoma"/>
                <w:sz w:val="16"/>
                <w:szCs w:val="20"/>
                <w:lang w:val="de-AT" w:eastAsia="de-AT"/>
              </w:rPr>
              <w:t>förderungsbudgets</w:t>
            </w:r>
          </w:p>
        </w:tc>
        <w:tc>
          <w:tcPr>
            <w:tcW w:w="1132"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44%</w:t>
            </w:r>
          </w:p>
        </w:tc>
        <w:tc>
          <w:tcPr>
            <w:tcW w:w="1133"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50%</w:t>
            </w:r>
          </w:p>
        </w:tc>
        <w:tc>
          <w:tcPr>
            <w:tcW w:w="1132"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69%</w:t>
            </w:r>
          </w:p>
        </w:tc>
        <w:tc>
          <w:tcPr>
            <w:tcW w:w="1133"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59%</w:t>
            </w:r>
          </w:p>
        </w:tc>
      </w:tr>
      <w:tr w:rsidR="005F5B63" w:rsidRPr="006D2D07" w:rsidTr="00142A4B">
        <w:trPr>
          <w:trHeight w:val="255"/>
        </w:trPr>
        <w:tc>
          <w:tcPr>
            <w:tcW w:w="4612" w:type="dxa"/>
            <w:shd w:val="clear" w:color="auto" w:fill="FFFFFF" w:themeFill="background1"/>
            <w:vAlign w:val="bottom"/>
            <w:hideMark/>
          </w:tcPr>
          <w:p w:rsidR="005F5B63" w:rsidRPr="006D2D07" w:rsidRDefault="005F5B63" w:rsidP="00142A4B">
            <w:pPr>
              <w:spacing w:before="60" w:after="60" w:line="240" w:lineRule="auto"/>
              <w:rPr>
                <w:rFonts w:cs="Tahoma"/>
                <w:sz w:val="16"/>
                <w:szCs w:val="20"/>
                <w:lang w:val="de-AT" w:eastAsia="de-AT"/>
              </w:rPr>
            </w:pPr>
            <w:r w:rsidRPr="006D2D07">
              <w:rPr>
                <w:rFonts w:cs="Tahoma"/>
                <w:sz w:val="16"/>
                <w:szCs w:val="20"/>
                <w:lang w:val="de-AT" w:eastAsia="de-AT"/>
              </w:rPr>
              <w:t>Widmung von Fördermitteln für die bevorzugte Versorgung von MigrantInnen mit leistbaren Wohnungen</w:t>
            </w:r>
          </w:p>
        </w:tc>
        <w:tc>
          <w:tcPr>
            <w:tcW w:w="1132"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38%</w:t>
            </w:r>
          </w:p>
        </w:tc>
        <w:tc>
          <w:tcPr>
            <w:tcW w:w="1133"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34%</w:t>
            </w:r>
          </w:p>
        </w:tc>
        <w:tc>
          <w:tcPr>
            <w:tcW w:w="1132"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50%</w:t>
            </w:r>
          </w:p>
        </w:tc>
        <w:tc>
          <w:tcPr>
            <w:tcW w:w="1133"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51%</w:t>
            </w:r>
          </w:p>
        </w:tc>
      </w:tr>
      <w:tr w:rsidR="005F5B63" w:rsidRPr="006D2D07" w:rsidTr="00142A4B">
        <w:trPr>
          <w:trHeight w:val="255"/>
        </w:trPr>
        <w:tc>
          <w:tcPr>
            <w:tcW w:w="4612" w:type="dxa"/>
            <w:shd w:val="clear" w:color="auto" w:fill="FFFFFF" w:themeFill="background1"/>
            <w:vAlign w:val="bottom"/>
            <w:hideMark/>
          </w:tcPr>
          <w:p w:rsidR="005F5B63" w:rsidRPr="006D2D07" w:rsidRDefault="005F5B63" w:rsidP="00142A4B">
            <w:pPr>
              <w:spacing w:before="60" w:after="60" w:line="240" w:lineRule="auto"/>
              <w:rPr>
                <w:rFonts w:cs="Tahoma"/>
                <w:sz w:val="16"/>
                <w:szCs w:val="20"/>
                <w:lang w:val="de-AT" w:eastAsia="de-AT"/>
              </w:rPr>
            </w:pPr>
            <w:r w:rsidRPr="006D2D07">
              <w:rPr>
                <w:rFonts w:cs="Tahoma"/>
                <w:sz w:val="16"/>
                <w:szCs w:val="20"/>
                <w:lang w:val="de-AT" w:eastAsia="de-AT"/>
              </w:rPr>
              <w:t>Schwerpunktsetzungen bei der Stadt- und Siedlungsplanung</w:t>
            </w:r>
          </w:p>
        </w:tc>
        <w:tc>
          <w:tcPr>
            <w:tcW w:w="1132"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56%</w:t>
            </w:r>
          </w:p>
        </w:tc>
        <w:tc>
          <w:tcPr>
            <w:tcW w:w="1133"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53%</w:t>
            </w:r>
          </w:p>
        </w:tc>
        <w:tc>
          <w:tcPr>
            <w:tcW w:w="1132"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63%</w:t>
            </w:r>
          </w:p>
        </w:tc>
        <w:tc>
          <w:tcPr>
            <w:tcW w:w="1133"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76%</w:t>
            </w:r>
          </w:p>
        </w:tc>
      </w:tr>
      <w:tr w:rsidR="005F5B63" w:rsidRPr="006D2D07" w:rsidTr="00142A4B">
        <w:trPr>
          <w:trHeight w:val="255"/>
        </w:trPr>
        <w:tc>
          <w:tcPr>
            <w:tcW w:w="4612" w:type="dxa"/>
            <w:shd w:val="clear" w:color="auto" w:fill="FFFFFF" w:themeFill="background1"/>
            <w:vAlign w:val="bottom"/>
            <w:hideMark/>
          </w:tcPr>
          <w:p w:rsidR="005F5B63" w:rsidRPr="006D2D07" w:rsidRDefault="005F5B63" w:rsidP="00142A4B">
            <w:pPr>
              <w:spacing w:before="60" w:after="60" w:line="240" w:lineRule="auto"/>
              <w:rPr>
                <w:rFonts w:cs="Tahoma"/>
                <w:sz w:val="16"/>
                <w:szCs w:val="20"/>
                <w:lang w:val="de-AT" w:eastAsia="de-AT"/>
              </w:rPr>
            </w:pPr>
            <w:r w:rsidRPr="006D2D07">
              <w:rPr>
                <w:rFonts w:cs="Tahoma"/>
                <w:sz w:val="16"/>
                <w:szCs w:val="20"/>
                <w:lang w:val="de-AT" w:eastAsia="de-AT"/>
              </w:rPr>
              <w:t>begleitende Maßnahmen auf der Ebene der Hausgemeinscha</w:t>
            </w:r>
            <w:r w:rsidRPr="006D2D07">
              <w:rPr>
                <w:rFonts w:cs="Tahoma"/>
                <w:sz w:val="16"/>
                <w:szCs w:val="20"/>
                <w:lang w:val="de-AT" w:eastAsia="de-AT"/>
              </w:rPr>
              <w:t>f</w:t>
            </w:r>
            <w:r w:rsidRPr="006D2D07">
              <w:rPr>
                <w:rFonts w:cs="Tahoma"/>
                <w:sz w:val="16"/>
                <w:szCs w:val="20"/>
                <w:lang w:val="de-AT" w:eastAsia="de-AT"/>
              </w:rPr>
              <w:t>ten</w:t>
            </w:r>
          </w:p>
        </w:tc>
        <w:tc>
          <w:tcPr>
            <w:tcW w:w="1132"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74%</w:t>
            </w:r>
          </w:p>
        </w:tc>
        <w:tc>
          <w:tcPr>
            <w:tcW w:w="1133"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66%</w:t>
            </w:r>
          </w:p>
        </w:tc>
        <w:tc>
          <w:tcPr>
            <w:tcW w:w="1132"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75%</w:t>
            </w:r>
          </w:p>
        </w:tc>
        <w:tc>
          <w:tcPr>
            <w:tcW w:w="1133"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86%</w:t>
            </w:r>
          </w:p>
        </w:tc>
      </w:tr>
      <w:tr w:rsidR="005F5B63" w:rsidRPr="006D2D07" w:rsidTr="00142A4B">
        <w:trPr>
          <w:trHeight w:val="255"/>
        </w:trPr>
        <w:tc>
          <w:tcPr>
            <w:tcW w:w="4612" w:type="dxa"/>
            <w:shd w:val="clear" w:color="auto" w:fill="FFFFFF" w:themeFill="background1"/>
            <w:vAlign w:val="bottom"/>
            <w:hideMark/>
          </w:tcPr>
          <w:p w:rsidR="005F5B63" w:rsidRPr="006D2D07" w:rsidRDefault="005F5B63" w:rsidP="00142A4B">
            <w:pPr>
              <w:spacing w:before="60" w:after="60" w:line="240" w:lineRule="auto"/>
              <w:rPr>
                <w:rFonts w:cs="Tahoma"/>
                <w:sz w:val="16"/>
                <w:szCs w:val="20"/>
                <w:lang w:val="de-AT" w:eastAsia="de-AT"/>
              </w:rPr>
            </w:pPr>
            <w:r w:rsidRPr="006D2D07">
              <w:rPr>
                <w:rFonts w:cs="Tahoma"/>
                <w:sz w:val="16"/>
                <w:szCs w:val="20"/>
                <w:lang w:val="de-AT" w:eastAsia="de-AT"/>
              </w:rPr>
              <w:t>Öffentlichkeitsarbeit zur Verbesserung der Akzeptanz für die Wohnversorgung von Haushalten mit nicht-österreichischer Staatsbürgerschaft</w:t>
            </w:r>
          </w:p>
        </w:tc>
        <w:tc>
          <w:tcPr>
            <w:tcW w:w="1132"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67%</w:t>
            </w:r>
          </w:p>
        </w:tc>
        <w:tc>
          <w:tcPr>
            <w:tcW w:w="1133"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78%</w:t>
            </w:r>
          </w:p>
        </w:tc>
        <w:tc>
          <w:tcPr>
            <w:tcW w:w="1132"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81%</w:t>
            </w:r>
          </w:p>
        </w:tc>
        <w:tc>
          <w:tcPr>
            <w:tcW w:w="1133"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93%</w:t>
            </w:r>
          </w:p>
        </w:tc>
      </w:tr>
    </w:tbl>
    <w:p w:rsidR="005F5B63" w:rsidRPr="006D2D07" w:rsidRDefault="005F5B63" w:rsidP="005F5B63">
      <w:pPr>
        <w:rPr>
          <w:lang w:val="de-AT"/>
        </w:rPr>
      </w:pPr>
    </w:p>
    <w:p w:rsidR="005F5B63" w:rsidRDefault="005F5B63" w:rsidP="00FF2B86">
      <w:pPr>
        <w:pStyle w:val="Untertitel"/>
      </w:pPr>
      <w:r>
        <w:t>Tab. 30:</w:t>
      </w:r>
      <w:r>
        <w:tab/>
      </w:r>
      <w:r w:rsidRPr="00483645">
        <w:t>Für die Wohnversorgung von Haushalten mit besonderen Belastungen werden eigenständige Vergabeschienen und/oder Vorsorgen benötigt</w:t>
      </w:r>
      <w:r>
        <w:t xml:space="preserve"> (156 Antworten)</w:t>
      </w:r>
    </w:p>
    <w:tbl>
      <w:tblPr>
        <w:tblW w:w="857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686"/>
        <w:gridCol w:w="815"/>
        <w:gridCol w:w="815"/>
        <w:gridCol w:w="816"/>
        <w:gridCol w:w="815"/>
        <w:gridCol w:w="815"/>
        <w:gridCol w:w="816"/>
      </w:tblGrid>
      <w:tr w:rsidR="005F5B63" w:rsidRPr="00483645" w:rsidTr="00142A4B">
        <w:trPr>
          <w:trHeight w:val="255"/>
        </w:trPr>
        <w:tc>
          <w:tcPr>
            <w:tcW w:w="3686" w:type="dxa"/>
            <w:tcBorders>
              <w:top w:val="nil"/>
              <w:left w:val="nil"/>
              <w:bottom w:val="nil"/>
            </w:tcBorders>
            <w:shd w:val="clear" w:color="auto" w:fill="FFFFFF" w:themeFill="background1"/>
            <w:vAlign w:val="bottom"/>
            <w:hideMark/>
          </w:tcPr>
          <w:p w:rsidR="005F5B63" w:rsidRPr="00483645" w:rsidRDefault="005F5B63" w:rsidP="00142A4B">
            <w:pPr>
              <w:spacing w:after="0" w:line="240" w:lineRule="auto"/>
              <w:rPr>
                <w:rFonts w:ascii="Microsoft Sans Serif" w:hAnsi="Microsoft Sans Serif" w:cs="Microsoft Sans Serif"/>
                <w:sz w:val="20"/>
                <w:szCs w:val="20"/>
                <w:lang w:val="de-AT" w:eastAsia="de-AT"/>
              </w:rPr>
            </w:pPr>
          </w:p>
        </w:tc>
        <w:tc>
          <w:tcPr>
            <w:tcW w:w="1630" w:type="dxa"/>
            <w:gridSpan w:val="2"/>
            <w:shd w:val="clear" w:color="auto" w:fill="D6E3BC" w:themeFill="accent3" w:themeFillTint="66"/>
          </w:tcPr>
          <w:p w:rsidR="005F5B63" w:rsidRPr="00483645" w:rsidRDefault="005F5B63" w:rsidP="00142A4B">
            <w:pPr>
              <w:spacing w:after="0" w:line="240" w:lineRule="auto"/>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Zustimmung</w:t>
            </w:r>
          </w:p>
        </w:tc>
        <w:tc>
          <w:tcPr>
            <w:tcW w:w="1631" w:type="dxa"/>
            <w:gridSpan w:val="2"/>
            <w:shd w:val="clear" w:color="auto" w:fill="D6E3BC" w:themeFill="accent3" w:themeFillTint="66"/>
          </w:tcPr>
          <w:p w:rsidR="005F5B63" w:rsidRPr="00483645" w:rsidRDefault="005F5B63" w:rsidP="00142A4B">
            <w:pPr>
              <w:spacing w:after="0" w:line="240" w:lineRule="auto"/>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Ablehnung</w:t>
            </w:r>
          </w:p>
        </w:tc>
        <w:tc>
          <w:tcPr>
            <w:tcW w:w="1631" w:type="dxa"/>
            <w:gridSpan w:val="2"/>
            <w:shd w:val="clear" w:color="auto" w:fill="D6E3BC" w:themeFill="accent3" w:themeFillTint="66"/>
          </w:tcPr>
          <w:p w:rsidR="005F5B63" w:rsidRPr="00483645" w:rsidRDefault="005F5B63" w:rsidP="00142A4B">
            <w:pPr>
              <w:spacing w:after="0" w:line="240" w:lineRule="auto"/>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weiß nicht</w:t>
            </w:r>
          </w:p>
        </w:tc>
      </w:tr>
      <w:tr w:rsidR="005F5B63" w:rsidRPr="00483645" w:rsidTr="00142A4B">
        <w:trPr>
          <w:trHeight w:val="255"/>
        </w:trPr>
        <w:tc>
          <w:tcPr>
            <w:tcW w:w="3686" w:type="dxa"/>
            <w:tcBorders>
              <w:top w:val="nil"/>
              <w:left w:val="nil"/>
            </w:tcBorders>
            <w:shd w:val="clear" w:color="auto" w:fill="FFFFFF" w:themeFill="background1"/>
            <w:vAlign w:val="bottom"/>
            <w:hideMark/>
          </w:tcPr>
          <w:p w:rsidR="005F5B63" w:rsidRPr="00483645" w:rsidRDefault="005F5B63" w:rsidP="00142A4B">
            <w:pPr>
              <w:spacing w:after="0" w:line="240" w:lineRule="auto"/>
              <w:rPr>
                <w:rFonts w:ascii="Microsoft Sans Serif" w:hAnsi="Microsoft Sans Serif" w:cs="Microsoft Sans Serif"/>
                <w:sz w:val="20"/>
                <w:szCs w:val="20"/>
                <w:lang w:val="de-AT" w:eastAsia="de-AT"/>
              </w:rPr>
            </w:pPr>
          </w:p>
        </w:tc>
        <w:tc>
          <w:tcPr>
            <w:tcW w:w="815" w:type="dxa"/>
            <w:shd w:val="clear" w:color="auto" w:fill="D6E3BC" w:themeFill="accent3" w:themeFillTint="66"/>
          </w:tcPr>
          <w:p w:rsidR="005F5B63" w:rsidRDefault="005F5B63" w:rsidP="00142A4B">
            <w:pPr>
              <w:spacing w:after="0" w:line="240" w:lineRule="auto"/>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abs.</w:t>
            </w:r>
          </w:p>
        </w:tc>
        <w:tc>
          <w:tcPr>
            <w:tcW w:w="815" w:type="dxa"/>
            <w:shd w:val="clear" w:color="auto" w:fill="D6E3BC" w:themeFill="accent3" w:themeFillTint="66"/>
          </w:tcPr>
          <w:p w:rsidR="005F5B63" w:rsidRDefault="005F5B63" w:rsidP="00142A4B">
            <w:pPr>
              <w:spacing w:after="0" w:line="240" w:lineRule="auto"/>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in %</w:t>
            </w:r>
          </w:p>
        </w:tc>
        <w:tc>
          <w:tcPr>
            <w:tcW w:w="816" w:type="dxa"/>
            <w:shd w:val="clear" w:color="auto" w:fill="D6E3BC" w:themeFill="accent3" w:themeFillTint="66"/>
          </w:tcPr>
          <w:p w:rsidR="005F5B63" w:rsidRDefault="005F5B63" w:rsidP="00142A4B">
            <w:pPr>
              <w:spacing w:after="0" w:line="240" w:lineRule="auto"/>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abs.</w:t>
            </w:r>
          </w:p>
        </w:tc>
        <w:tc>
          <w:tcPr>
            <w:tcW w:w="815" w:type="dxa"/>
            <w:shd w:val="clear" w:color="auto" w:fill="D6E3BC" w:themeFill="accent3" w:themeFillTint="66"/>
          </w:tcPr>
          <w:p w:rsidR="005F5B63" w:rsidRDefault="005F5B63" w:rsidP="00142A4B">
            <w:pPr>
              <w:spacing w:after="0" w:line="240" w:lineRule="auto"/>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in %</w:t>
            </w:r>
          </w:p>
        </w:tc>
        <w:tc>
          <w:tcPr>
            <w:tcW w:w="815" w:type="dxa"/>
            <w:shd w:val="clear" w:color="auto" w:fill="D6E3BC" w:themeFill="accent3" w:themeFillTint="66"/>
          </w:tcPr>
          <w:p w:rsidR="005F5B63" w:rsidRDefault="005F5B63" w:rsidP="00142A4B">
            <w:pPr>
              <w:spacing w:after="0" w:line="240" w:lineRule="auto"/>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abs.</w:t>
            </w:r>
          </w:p>
        </w:tc>
        <w:tc>
          <w:tcPr>
            <w:tcW w:w="816" w:type="dxa"/>
            <w:shd w:val="clear" w:color="auto" w:fill="D6E3BC" w:themeFill="accent3" w:themeFillTint="66"/>
          </w:tcPr>
          <w:p w:rsidR="005F5B63" w:rsidRDefault="005F5B63" w:rsidP="00142A4B">
            <w:pPr>
              <w:spacing w:after="0" w:line="240" w:lineRule="auto"/>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in %</w:t>
            </w:r>
          </w:p>
        </w:tc>
      </w:tr>
      <w:tr w:rsidR="005F5B63" w:rsidRPr="00483645" w:rsidTr="00142A4B">
        <w:trPr>
          <w:trHeight w:val="255"/>
        </w:trPr>
        <w:tc>
          <w:tcPr>
            <w:tcW w:w="3686" w:type="dxa"/>
            <w:shd w:val="clear" w:color="auto" w:fill="FFFFFF" w:themeFill="background1"/>
            <w:vAlign w:val="bottom"/>
            <w:hideMark/>
          </w:tcPr>
          <w:p w:rsidR="005F5B63" w:rsidRPr="00483645" w:rsidRDefault="005F5B63" w:rsidP="00142A4B">
            <w:pPr>
              <w:spacing w:after="0" w:line="240" w:lineRule="auto"/>
              <w:rPr>
                <w:rFonts w:ascii="Microsoft Sans Serif" w:hAnsi="Microsoft Sans Serif" w:cs="Microsoft Sans Serif"/>
                <w:sz w:val="20"/>
                <w:szCs w:val="20"/>
                <w:lang w:val="de-AT" w:eastAsia="de-AT"/>
              </w:rPr>
            </w:pPr>
            <w:r w:rsidRPr="00483645">
              <w:rPr>
                <w:rFonts w:ascii="Microsoft Sans Serif" w:hAnsi="Microsoft Sans Serif" w:cs="Microsoft Sans Serif"/>
                <w:sz w:val="20"/>
                <w:szCs w:val="20"/>
                <w:lang w:val="de-AT" w:eastAsia="de-AT"/>
              </w:rPr>
              <w:t>Bereitstellung eines Kontingents für die Wohnversorgung von MigrantInnen</w:t>
            </w:r>
          </w:p>
        </w:tc>
        <w:tc>
          <w:tcPr>
            <w:tcW w:w="815" w:type="dxa"/>
            <w:shd w:val="clear" w:color="auto" w:fill="FFFFFF" w:themeFill="background1"/>
            <w:vAlign w:val="center"/>
          </w:tcPr>
          <w:p w:rsidR="005F5B63" w:rsidRPr="00483645" w:rsidRDefault="005F5B63" w:rsidP="00142A4B">
            <w:pPr>
              <w:spacing w:after="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79</w:t>
            </w:r>
          </w:p>
        </w:tc>
        <w:tc>
          <w:tcPr>
            <w:tcW w:w="815" w:type="dxa"/>
            <w:shd w:val="clear" w:color="auto" w:fill="FFFFFF" w:themeFill="background1"/>
            <w:vAlign w:val="center"/>
          </w:tcPr>
          <w:p w:rsidR="005F5B63" w:rsidRPr="00483645" w:rsidRDefault="005F5B63" w:rsidP="00142A4B">
            <w:pPr>
              <w:spacing w:after="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50%</w:t>
            </w:r>
          </w:p>
        </w:tc>
        <w:tc>
          <w:tcPr>
            <w:tcW w:w="816" w:type="dxa"/>
            <w:shd w:val="clear" w:color="auto" w:fill="FFFFFF" w:themeFill="background1"/>
            <w:vAlign w:val="center"/>
          </w:tcPr>
          <w:p w:rsidR="005F5B63" w:rsidRPr="00483645" w:rsidRDefault="005F5B63" w:rsidP="00142A4B">
            <w:pPr>
              <w:spacing w:after="0" w:line="240" w:lineRule="auto"/>
              <w:jc w:val="right"/>
              <w:rPr>
                <w:rFonts w:ascii="Microsoft Sans Serif" w:hAnsi="Microsoft Sans Serif" w:cs="Microsoft Sans Serif"/>
                <w:sz w:val="20"/>
                <w:szCs w:val="20"/>
                <w:lang w:val="de-AT" w:eastAsia="de-AT"/>
              </w:rPr>
            </w:pPr>
            <w:r w:rsidRPr="00483645">
              <w:rPr>
                <w:rFonts w:ascii="Microsoft Sans Serif" w:hAnsi="Microsoft Sans Serif" w:cs="Microsoft Sans Serif"/>
                <w:sz w:val="20"/>
                <w:szCs w:val="20"/>
                <w:lang w:val="de-AT" w:eastAsia="de-AT"/>
              </w:rPr>
              <w:t>58</w:t>
            </w:r>
          </w:p>
        </w:tc>
        <w:tc>
          <w:tcPr>
            <w:tcW w:w="815" w:type="dxa"/>
            <w:shd w:val="clear" w:color="auto" w:fill="FFFFFF" w:themeFill="background1"/>
            <w:vAlign w:val="center"/>
          </w:tcPr>
          <w:p w:rsidR="005F5B63" w:rsidRPr="00483645" w:rsidRDefault="005F5B63" w:rsidP="00142A4B">
            <w:pPr>
              <w:spacing w:after="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37%</w:t>
            </w:r>
          </w:p>
        </w:tc>
        <w:tc>
          <w:tcPr>
            <w:tcW w:w="815" w:type="dxa"/>
            <w:shd w:val="clear" w:color="auto" w:fill="FFFFFF" w:themeFill="background1"/>
            <w:vAlign w:val="center"/>
          </w:tcPr>
          <w:p w:rsidR="005F5B63" w:rsidRPr="00483645" w:rsidRDefault="005F5B63" w:rsidP="00142A4B">
            <w:pPr>
              <w:spacing w:after="0" w:line="240" w:lineRule="auto"/>
              <w:jc w:val="right"/>
              <w:rPr>
                <w:rFonts w:ascii="Microsoft Sans Serif" w:hAnsi="Microsoft Sans Serif" w:cs="Microsoft Sans Serif"/>
                <w:sz w:val="20"/>
                <w:szCs w:val="20"/>
                <w:lang w:val="de-AT" w:eastAsia="de-AT"/>
              </w:rPr>
            </w:pPr>
            <w:r w:rsidRPr="00483645">
              <w:rPr>
                <w:rFonts w:ascii="Microsoft Sans Serif" w:hAnsi="Microsoft Sans Serif" w:cs="Microsoft Sans Serif"/>
                <w:sz w:val="20"/>
                <w:szCs w:val="20"/>
                <w:lang w:val="de-AT" w:eastAsia="de-AT"/>
              </w:rPr>
              <w:t>20</w:t>
            </w:r>
          </w:p>
        </w:tc>
        <w:tc>
          <w:tcPr>
            <w:tcW w:w="816" w:type="dxa"/>
            <w:shd w:val="clear" w:color="auto" w:fill="FFFFFF" w:themeFill="background1"/>
            <w:vAlign w:val="center"/>
          </w:tcPr>
          <w:p w:rsidR="005F5B63" w:rsidRPr="00483645" w:rsidRDefault="005F5B63" w:rsidP="00142A4B">
            <w:pPr>
              <w:spacing w:after="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13%</w:t>
            </w:r>
          </w:p>
        </w:tc>
      </w:tr>
      <w:tr w:rsidR="005F5B63" w:rsidRPr="00483645" w:rsidTr="00142A4B">
        <w:trPr>
          <w:trHeight w:val="255"/>
        </w:trPr>
        <w:tc>
          <w:tcPr>
            <w:tcW w:w="3686" w:type="dxa"/>
            <w:shd w:val="clear" w:color="auto" w:fill="FFFFFF" w:themeFill="background1"/>
            <w:vAlign w:val="bottom"/>
            <w:hideMark/>
          </w:tcPr>
          <w:p w:rsidR="005F5B63" w:rsidRPr="00483645" w:rsidRDefault="005F5B63" w:rsidP="00142A4B">
            <w:pPr>
              <w:spacing w:after="0" w:line="240" w:lineRule="auto"/>
              <w:rPr>
                <w:rFonts w:ascii="Microsoft Sans Serif" w:hAnsi="Microsoft Sans Serif" w:cs="Microsoft Sans Serif"/>
                <w:sz w:val="20"/>
                <w:szCs w:val="20"/>
                <w:lang w:val="de-AT" w:eastAsia="de-AT"/>
              </w:rPr>
            </w:pPr>
            <w:r w:rsidRPr="00483645">
              <w:rPr>
                <w:rFonts w:ascii="Microsoft Sans Serif" w:hAnsi="Microsoft Sans Serif" w:cs="Microsoft Sans Serif"/>
                <w:sz w:val="20"/>
                <w:szCs w:val="20"/>
                <w:lang w:val="de-AT" w:eastAsia="de-AT"/>
              </w:rPr>
              <w:t>finanzielle Förderungen für belastete Familien</w:t>
            </w:r>
          </w:p>
        </w:tc>
        <w:tc>
          <w:tcPr>
            <w:tcW w:w="815" w:type="dxa"/>
            <w:shd w:val="clear" w:color="auto" w:fill="FFFFFF" w:themeFill="background1"/>
            <w:vAlign w:val="center"/>
          </w:tcPr>
          <w:p w:rsidR="005F5B63" w:rsidRPr="00483645" w:rsidRDefault="005F5B63" w:rsidP="00142A4B">
            <w:pPr>
              <w:spacing w:after="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122</w:t>
            </w:r>
          </w:p>
        </w:tc>
        <w:tc>
          <w:tcPr>
            <w:tcW w:w="815" w:type="dxa"/>
            <w:shd w:val="clear" w:color="auto" w:fill="FFFFFF" w:themeFill="background1"/>
            <w:vAlign w:val="center"/>
          </w:tcPr>
          <w:p w:rsidR="005F5B63" w:rsidRPr="00483645" w:rsidRDefault="005F5B63" w:rsidP="00142A4B">
            <w:pPr>
              <w:spacing w:after="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78%</w:t>
            </w:r>
          </w:p>
        </w:tc>
        <w:tc>
          <w:tcPr>
            <w:tcW w:w="816" w:type="dxa"/>
            <w:shd w:val="clear" w:color="auto" w:fill="FFFFFF" w:themeFill="background1"/>
            <w:vAlign w:val="center"/>
          </w:tcPr>
          <w:p w:rsidR="005F5B63" w:rsidRPr="00483645" w:rsidRDefault="005F5B63" w:rsidP="00142A4B">
            <w:pPr>
              <w:spacing w:after="0" w:line="240" w:lineRule="auto"/>
              <w:jc w:val="right"/>
              <w:rPr>
                <w:rFonts w:ascii="Microsoft Sans Serif" w:hAnsi="Microsoft Sans Serif" w:cs="Microsoft Sans Serif"/>
                <w:sz w:val="20"/>
                <w:szCs w:val="20"/>
                <w:lang w:val="de-AT" w:eastAsia="de-AT"/>
              </w:rPr>
            </w:pPr>
            <w:r w:rsidRPr="00483645">
              <w:rPr>
                <w:rFonts w:ascii="Microsoft Sans Serif" w:hAnsi="Microsoft Sans Serif" w:cs="Microsoft Sans Serif"/>
                <w:sz w:val="20"/>
                <w:szCs w:val="20"/>
                <w:lang w:val="de-AT" w:eastAsia="de-AT"/>
              </w:rPr>
              <w:t>20</w:t>
            </w:r>
          </w:p>
        </w:tc>
        <w:tc>
          <w:tcPr>
            <w:tcW w:w="815" w:type="dxa"/>
            <w:shd w:val="clear" w:color="auto" w:fill="FFFFFF" w:themeFill="background1"/>
            <w:vAlign w:val="center"/>
          </w:tcPr>
          <w:p w:rsidR="005F5B63" w:rsidRPr="00483645" w:rsidRDefault="005F5B63" w:rsidP="00142A4B">
            <w:pPr>
              <w:spacing w:after="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13%</w:t>
            </w:r>
          </w:p>
        </w:tc>
        <w:tc>
          <w:tcPr>
            <w:tcW w:w="815" w:type="dxa"/>
            <w:shd w:val="clear" w:color="auto" w:fill="FFFFFF" w:themeFill="background1"/>
            <w:vAlign w:val="center"/>
          </w:tcPr>
          <w:p w:rsidR="005F5B63" w:rsidRPr="00483645" w:rsidRDefault="005F5B63" w:rsidP="00142A4B">
            <w:pPr>
              <w:spacing w:after="0" w:line="240" w:lineRule="auto"/>
              <w:jc w:val="right"/>
              <w:rPr>
                <w:rFonts w:ascii="Microsoft Sans Serif" w:hAnsi="Microsoft Sans Serif" w:cs="Microsoft Sans Serif"/>
                <w:sz w:val="20"/>
                <w:szCs w:val="20"/>
                <w:lang w:val="de-AT" w:eastAsia="de-AT"/>
              </w:rPr>
            </w:pPr>
            <w:r w:rsidRPr="00483645">
              <w:rPr>
                <w:rFonts w:ascii="Microsoft Sans Serif" w:hAnsi="Microsoft Sans Serif" w:cs="Microsoft Sans Serif"/>
                <w:sz w:val="20"/>
                <w:szCs w:val="20"/>
                <w:lang w:val="de-AT" w:eastAsia="de-AT"/>
              </w:rPr>
              <w:t>15</w:t>
            </w:r>
          </w:p>
        </w:tc>
        <w:tc>
          <w:tcPr>
            <w:tcW w:w="816" w:type="dxa"/>
            <w:shd w:val="clear" w:color="auto" w:fill="FFFFFF" w:themeFill="background1"/>
            <w:vAlign w:val="center"/>
          </w:tcPr>
          <w:p w:rsidR="005F5B63" w:rsidRPr="00483645" w:rsidRDefault="005F5B63" w:rsidP="00142A4B">
            <w:pPr>
              <w:spacing w:after="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10%</w:t>
            </w:r>
          </w:p>
        </w:tc>
      </w:tr>
      <w:tr w:rsidR="005F5B63" w:rsidRPr="00483645" w:rsidTr="00142A4B">
        <w:trPr>
          <w:trHeight w:val="255"/>
        </w:trPr>
        <w:tc>
          <w:tcPr>
            <w:tcW w:w="3686" w:type="dxa"/>
            <w:shd w:val="clear" w:color="auto" w:fill="FFFFFF" w:themeFill="background1"/>
            <w:vAlign w:val="bottom"/>
            <w:hideMark/>
          </w:tcPr>
          <w:p w:rsidR="005F5B63" w:rsidRPr="00483645" w:rsidRDefault="005F5B63" w:rsidP="00142A4B">
            <w:pPr>
              <w:spacing w:after="0" w:line="240" w:lineRule="auto"/>
              <w:rPr>
                <w:rFonts w:ascii="Microsoft Sans Serif" w:hAnsi="Microsoft Sans Serif" w:cs="Microsoft Sans Serif"/>
                <w:sz w:val="20"/>
                <w:szCs w:val="20"/>
                <w:lang w:val="de-AT" w:eastAsia="de-AT"/>
              </w:rPr>
            </w:pPr>
            <w:r w:rsidRPr="00483645">
              <w:rPr>
                <w:rFonts w:ascii="Microsoft Sans Serif" w:hAnsi="Microsoft Sans Serif" w:cs="Microsoft Sans Serif"/>
                <w:sz w:val="20"/>
                <w:szCs w:val="20"/>
                <w:lang w:val="de-AT" w:eastAsia="de-AT"/>
              </w:rPr>
              <w:t>Beratungsangebote / soziale Arbeit in Wohnsiedlungen / Gemeinwesenarbeit</w:t>
            </w:r>
          </w:p>
        </w:tc>
        <w:tc>
          <w:tcPr>
            <w:tcW w:w="815" w:type="dxa"/>
            <w:shd w:val="clear" w:color="auto" w:fill="FFFFFF" w:themeFill="background1"/>
            <w:vAlign w:val="center"/>
          </w:tcPr>
          <w:p w:rsidR="005F5B63" w:rsidRPr="00483645" w:rsidRDefault="005F5B63" w:rsidP="00142A4B">
            <w:pPr>
              <w:spacing w:after="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127</w:t>
            </w:r>
          </w:p>
        </w:tc>
        <w:tc>
          <w:tcPr>
            <w:tcW w:w="815" w:type="dxa"/>
            <w:shd w:val="clear" w:color="auto" w:fill="FFFFFF" w:themeFill="background1"/>
            <w:vAlign w:val="center"/>
          </w:tcPr>
          <w:p w:rsidR="005F5B63" w:rsidRPr="00483645" w:rsidRDefault="005F5B63" w:rsidP="00142A4B">
            <w:pPr>
              <w:spacing w:after="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81%</w:t>
            </w:r>
          </w:p>
        </w:tc>
        <w:tc>
          <w:tcPr>
            <w:tcW w:w="816" w:type="dxa"/>
            <w:shd w:val="clear" w:color="auto" w:fill="FFFFFF" w:themeFill="background1"/>
            <w:vAlign w:val="center"/>
          </w:tcPr>
          <w:p w:rsidR="005F5B63" w:rsidRPr="00483645" w:rsidRDefault="005F5B63" w:rsidP="00142A4B">
            <w:pPr>
              <w:spacing w:after="0" w:line="240" w:lineRule="auto"/>
              <w:jc w:val="right"/>
              <w:rPr>
                <w:rFonts w:ascii="Microsoft Sans Serif" w:hAnsi="Microsoft Sans Serif" w:cs="Microsoft Sans Serif"/>
                <w:sz w:val="20"/>
                <w:szCs w:val="20"/>
                <w:lang w:val="de-AT" w:eastAsia="de-AT"/>
              </w:rPr>
            </w:pPr>
            <w:r w:rsidRPr="00483645">
              <w:rPr>
                <w:rFonts w:ascii="Microsoft Sans Serif" w:hAnsi="Microsoft Sans Serif" w:cs="Microsoft Sans Serif"/>
                <w:sz w:val="20"/>
                <w:szCs w:val="20"/>
                <w:lang w:val="de-AT" w:eastAsia="de-AT"/>
              </w:rPr>
              <w:t>15</w:t>
            </w:r>
          </w:p>
        </w:tc>
        <w:tc>
          <w:tcPr>
            <w:tcW w:w="815" w:type="dxa"/>
            <w:shd w:val="clear" w:color="auto" w:fill="FFFFFF" w:themeFill="background1"/>
            <w:vAlign w:val="center"/>
          </w:tcPr>
          <w:p w:rsidR="005F5B63" w:rsidRPr="00483645" w:rsidRDefault="005F5B63" w:rsidP="00142A4B">
            <w:pPr>
              <w:spacing w:after="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10%</w:t>
            </w:r>
          </w:p>
        </w:tc>
        <w:tc>
          <w:tcPr>
            <w:tcW w:w="815" w:type="dxa"/>
            <w:shd w:val="clear" w:color="auto" w:fill="FFFFFF" w:themeFill="background1"/>
            <w:vAlign w:val="center"/>
          </w:tcPr>
          <w:p w:rsidR="005F5B63" w:rsidRPr="00483645" w:rsidRDefault="005F5B63" w:rsidP="00142A4B">
            <w:pPr>
              <w:spacing w:after="0" w:line="240" w:lineRule="auto"/>
              <w:jc w:val="right"/>
              <w:rPr>
                <w:rFonts w:ascii="Microsoft Sans Serif" w:hAnsi="Microsoft Sans Serif" w:cs="Microsoft Sans Serif"/>
                <w:sz w:val="20"/>
                <w:szCs w:val="20"/>
                <w:lang w:val="de-AT" w:eastAsia="de-AT"/>
              </w:rPr>
            </w:pPr>
            <w:r w:rsidRPr="00483645">
              <w:rPr>
                <w:rFonts w:ascii="Microsoft Sans Serif" w:hAnsi="Microsoft Sans Serif" w:cs="Microsoft Sans Serif"/>
                <w:sz w:val="20"/>
                <w:szCs w:val="20"/>
                <w:lang w:val="de-AT" w:eastAsia="de-AT"/>
              </w:rPr>
              <w:t>15</w:t>
            </w:r>
          </w:p>
        </w:tc>
        <w:tc>
          <w:tcPr>
            <w:tcW w:w="816" w:type="dxa"/>
            <w:shd w:val="clear" w:color="auto" w:fill="FFFFFF" w:themeFill="background1"/>
            <w:vAlign w:val="center"/>
          </w:tcPr>
          <w:p w:rsidR="005F5B63" w:rsidRPr="00483645" w:rsidRDefault="005F5B63" w:rsidP="00142A4B">
            <w:pPr>
              <w:spacing w:after="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10%</w:t>
            </w:r>
          </w:p>
        </w:tc>
      </w:tr>
    </w:tbl>
    <w:p w:rsidR="005F5B63" w:rsidRDefault="005F5B63" w:rsidP="005F5B63">
      <w:pPr>
        <w:rPr>
          <w:lang w:val="de-AT"/>
        </w:rPr>
      </w:pPr>
    </w:p>
    <w:p w:rsidR="005F5B63" w:rsidRDefault="005F5B63" w:rsidP="005F5B63">
      <w:pPr>
        <w:spacing w:after="200" w:line="276" w:lineRule="auto"/>
      </w:pPr>
      <w:r>
        <w:br w:type="page"/>
      </w:r>
    </w:p>
    <w:p w:rsidR="005F5B63" w:rsidRDefault="005F5B63" w:rsidP="00FF2B86">
      <w:pPr>
        <w:pStyle w:val="Untertitel"/>
      </w:pPr>
      <w:r>
        <w:lastRenderedPageBreak/>
        <w:t>Tab. 31:</w:t>
      </w:r>
      <w:r>
        <w:tab/>
        <w:t>Bedarf nach spezifischen Vergabeschienen und Förderangeboten, nach Art der Einrichtung, Zustimmung in Prozent</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612"/>
        <w:gridCol w:w="1132"/>
        <w:gridCol w:w="1133"/>
        <w:gridCol w:w="1132"/>
        <w:gridCol w:w="1133"/>
      </w:tblGrid>
      <w:tr w:rsidR="005F5B63" w:rsidRPr="006D2D07" w:rsidTr="00142A4B">
        <w:trPr>
          <w:trHeight w:val="255"/>
        </w:trPr>
        <w:tc>
          <w:tcPr>
            <w:tcW w:w="4612" w:type="dxa"/>
            <w:tcBorders>
              <w:top w:val="nil"/>
              <w:left w:val="nil"/>
            </w:tcBorders>
            <w:shd w:val="clear" w:color="auto" w:fill="FFFFFF" w:themeFill="background1"/>
            <w:vAlign w:val="bottom"/>
            <w:hideMark/>
          </w:tcPr>
          <w:p w:rsidR="005F5B63" w:rsidRPr="006D2D07" w:rsidRDefault="005F5B63" w:rsidP="00142A4B">
            <w:pPr>
              <w:spacing w:before="60" w:after="60" w:line="240" w:lineRule="auto"/>
              <w:rPr>
                <w:rFonts w:cs="Tahoma"/>
                <w:sz w:val="16"/>
                <w:szCs w:val="20"/>
                <w:lang w:eastAsia="de-AT"/>
              </w:rPr>
            </w:pPr>
          </w:p>
        </w:tc>
        <w:tc>
          <w:tcPr>
            <w:tcW w:w="1132" w:type="dxa"/>
            <w:tcBorders>
              <w:left w:val="nil"/>
            </w:tcBorders>
            <w:shd w:val="clear" w:color="auto" w:fill="D6E3BC" w:themeFill="accent3" w:themeFillTint="66"/>
          </w:tcPr>
          <w:p w:rsidR="005F5B63" w:rsidRPr="006D2D07" w:rsidRDefault="005F5B63" w:rsidP="00142A4B">
            <w:pPr>
              <w:spacing w:before="60" w:after="60" w:line="240" w:lineRule="auto"/>
              <w:rPr>
                <w:rFonts w:cs="Tahoma"/>
                <w:sz w:val="16"/>
                <w:szCs w:val="20"/>
                <w:lang w:eastAsia="de-AT"/>
              </w:rPr>
            </w:pPr>
            <w:r w:rsidRPr="006D2D07">
              <w:rPr>
                <w:rFonts w:cs="Tahoma"/>
                <w:sz w:val="16"/>
                <w:szCs w:val="20"/>
                <w:lang w:eastAsia="de-AT"/>
              </w:rPr>
              <w:t>Wohnungs-amt</w:t>
            </w:r>
          </w:p>
        </w:tc>
        <w:tc>
          <w:tcPr>
            <w:tcW w:w="1133" w:type="dxa"/>
            <w:tcBorders>
              <w:left w:val="nil"/>
            </w:tcBorders>
            <w:shd w:val="clear" w:color="auto" w:fill="D6E3BC" w:themeFill="accent3" w:themeFillTint="66"/>
          </w:tcPr>
          <w:p w:rsidR="005F5B63" w:rsidRPr="006D2D07" w:rsidRDefault="005F5B63" w:rsidP="00142A4B">
            <w:pPr>
              <w:spacing w:before="60" w:after="60" w:line="240" w:lineRule="auto"/>
              <w:rPr>
                <w:rFonts w:cs="Tahoma"/>
                <w:sz w:val="16"/>
                <w:szCs w:val="20"/>
                <w:lang w:eastAsia="de-AT"/>
              </w:rPr>
            </w:pPr>
            <w:r w:rsidRPr="006D2D07">
              <w:rPr>
                <w:rFonts w:cs="Tahoma"/>
                <w:sz w:val="16"/>
                <w:szCs w:val="20"/>
                <w:lang w:eastAsia="de-AT"/>
              </w:rPr>
              <w:t>gemeinnützi-ger Bauträger</w:t>
            </w:r>
          </w:p>
        </w:tc>
        <w:tc>
          <w:tcPr>
            <w:tcW w:w="1132" w:type="dxa"/>
            <w:tcBorders>
              <w:left w:val="nil"/>
            </w:tcBorders>
            <w:shd w:val="clear" w:color="auto" w:fill="D6E3BC" w:themeFill="accent3" w:themeFillTint="66"/>
          </w:tcPr>
          <w:p w:rsidR="005F5B63" w:rsidRPr="006D2D07" w:rsidRDefault="005F5B63" w:rsidP="00142A4B">
            <w:pPr>
              <w:spacing w:before="60" w:after="60" w:line="240" w:lineRule="auto"/>
              <w:rPr>
                <w:rFonts w:cs="Tahoma"/>
                <w:sz w:val="16"/>
                <w:szCs w:val="20"/>
                <w:lang w:eastAsia="de-AT"/>
              </w:rPr>
            </w:pPr>
            <w:r w:rsidRPr="006D2D07">
              <w:rPr>
                <w:rFonts w:cs="Tahoma"/>
                <w:sz w:val="16"/>
                <w:szCs w:val="20"/>
                <w:lang w:eastAsia="de-AT"/>
              </w:rPr>
              <w:t>privater Bauträger</w:t>
            </w:r>
          </w:p>
        </w:tc>
        <w:tc>
          <w:tcPr>
            <w:tcW w:w="1133" w:type="dxa"/>
            <w:tcBorders>
              <w:left w:val="nil"/>
            </w:tcBorders>
            <w:shd w:val="clear" w:color="auto" w:fill="D6E3BC" w:themeFill="accent3" w:themeFillTint="66"/>
          </w:tcPr>
          <w:p w:rsidR="005F5B63" w:rsidRPr="006D2D07" w:rsidRDefault="005F5B63" w:rsidP="00142A4B">
            <w:pPr>
              <w:spacing w:before="60" w:after="60" w:line="240" w:lineRule="auto"/>
              <w:rPr>
                <w:rFonts w:cs="Tahoma"/>
                <w:sz w:val="16"/>
                <w:szCs w:val="20"/>
                <w:lang w:eastAsia="de-AT"/>
              </w:rPr>
            </w:pPr>
            <w:r w:rsidRPr="006D2D07">
              <w:rPr>
                <w:rFonts w:cs="Tahoma"/>
                <w:sz w:val="16"/>
                <w:szCs w:val="20"/>
                <w:lang w:eastAsia="de-AT"/>
              </w:rPr>
              <w:t>Beratungs-einrichtung</w:t>
            </w:r>
          </w:p>
        </w:tc>
      </w:tr>
      <w:tr w:rsidR="005F5B63" w:rsidRPr="006D2D07" w:rsidTr="00142A4B">
        <w:trPr>
          <w:trHeight w:val="255"/>
        </w:trPr>
        <w:tc>
          <w:tcPr>
            <w:tcW w:w="4612" w:type="dxa"/>
            <w:shd w:val="clear" w:color="auto" w:fill="FFFFFF" w:themeFill="background1"/>
            <w:vAlign w:val="bottom"/>
            <w:hideMark/>
          </w:tcPr>
          <w:p w:rsidR="005F5B63" w:rsidRPr="00483645" w:rsidRDefault="005F5B63" w:rsidP="00142A4B">
            <w:pPr>
              <w:spacing w:after="0" w:line="240" w:lineRule="auto"/>
              <w:rPr>
                <w:rFonts w:ascii="Microsoft Sans Serif" w:hAnsi="Microsoft Sans Serif" w:cs="Microsoft Sans Serif"/>
                <w:sz w:val="20"/>
                <w:szCs w:val="20"/>
                <w:lang w:val="de-AT" w:eastAsia="de-AT"/>
              </w:rPr>
            </w:pPr>
            <w:r w:rsidRPr="00483645">
              <w:rPr>
                <w:rFonts w:ascii="Microsoft Sans Serif" w:hAnsi="Microsoft Sans Serif" w:cs="Microsoft Sans Serif"/>
                <w:sz w:val="20"/>
                <w:szCs w:val="20"/>
                <w:lang w:val="de-AT" w:eastAsia="de-AT"/>
              </w:rPr>
              <w:t>Bereitstellung eines Kontingents für die Wohnve</w:t>
            </w:r>
            <w:r w:rsidRPr="00483645">
              <w:rPr>
                <w:rFonts w:ascii="Microsoft Sans Serif" w:hAnsi="Microsoft Sans Serif" w:cs="Microsoft Sans Serif"/>
                <w:sz w:val="20"/>
                <w:szCs w:val="20"/>
                <w:lang w:val="de-AT" w:eastAsia="de-AT"/>
              </w:rPr>
              <w:t>r</w:t>
            </w:r>
            <w:r w:rsidRPr="00483645">
              <w:rPr>
                <w:rFonts w:ascii="Microsoft Sans Serif" w:hAnsi="Microsoft Sans Serif" w:cs="Microsoft Sans Serif"/>
                <w:sz w:val="20"/>
                <w:szCs w:val="20"/>
                <w:lang w:val="de-AT" w:eastAsia="de-AT"/>
              </w:rPr>
              <w:t>sorgung von MigrantInnen</w:t>
            </w:r>
          </w:p>
        </w:tc>
        <w:tc>
          <w:tcPr>
            <w:tcW w:w="1132"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38%</w:t>
            </w:r>
          </w:p>
        </w:tc>
        <w:tc>
          <w:tcPr>
            <w:tcW w:w="1133"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47%</w:t>
            </w:r>
          </w:p>
        </w:tc>
        <w:tc>
          <w:tcPr>
            <w:tcW w:w="1132"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63%</w:t>
            </w:r>
          </w:p>
        </w:tc>
        <w:tc>
          <w:tcPr>
            <w:tcW w:w="1133"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61%</w:t>
            </w:r>
          </w:p>
        </w:tc>
      </w:tr>
      <w:tr w:rsidR="005F5B63" w:rsidRPr="006D2D07" w:rsidTr="00142A4B">
        <w:trPr>
          <w:trHeight w:val="255"/>
        </w:trPr>
        <w:tc>
          <w:tcPr>
            <w:tcW w:w="4612" w:type="dxa"/>
            <w:shd w:val="clear" w:color="auto" w:fill="FFFFFF" w:themeFill="background1"/>
            <w:vAlign w:val="bottom"/>
            <w:hideMark/>
          </w:tcPr>
          <w:p w:rsidR="005F5B63" w:rsidRPr="00483645" w:rsidRDefault="005F5B63" w:rsidP="00142A4B">
            <w:pPr>
              <w:spacing w:after="0" w:line="240" w:lineRule="auto"/>
              <w:rPr>
                <w:rFonts w:ascii="Microsoft Sans Serif" w:hAnsi="Microsoft Sans Serif" w:cs="Microsoft Sans Serif"/>
                <w:sz w:val="20"/>
                <w:szCs w:val="20"/>
                <w:lang w:val="de-AT" w:eastAsia="de-AT"/>
              </w:rPr>
            </w:pPr>
            <w:r w:rsidRPr="00483645">
              <w:rPr>
                <w:rFonts w:ascii="Microsoft Sans Serif" w:hAnsi="Microsoft Sans Serif" w:cs="Microsoft Sans Serif"/>
                <w:sz w:val="20"/>
                <w:szCs w:val="20"/>
                <w:lang w:val="de-AT" w:eastAsia="de-AT"/>
              </w:rPr>
              <w:t>finanzielle Förderungen für belastete Familien</w:t>
            </w:r>
          </w:p>
        </w:tc>
        <w:tc>
          <w:tcPr>
            <w:tcW w:w="1132"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77%</w:t>
            </w:r>
          </w:p>
        </w:tc>
        <w:tc>
          <w:tcPr>
            <w:tcW w:w="1133"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69%</w:t>
            </w:r>
          </w:p>
        </w:tc>
        <w:tc>
          <w:tcPr>
            <w:tcW w:w="1132"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88%</w:t>
            </w:r>
          </w:p>
        </w:tc>
        <w:tc>
          <w:tcPr>
            <w:tcW w:w="1133"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88%</w:t>
            </w:r>
          </w:p>
        </w:tc>
      </w:tr>
      <w:tr w:rsidR="005F5B63" w:rsidRPr="006D2D07" w:rsidTr="00142A4B">
        <w:trPr>
          <w:trHeight w:val="255"/>
        </w:trPr>
        <w:tc>
          <w:tcPr>
            <w:tcW w:w="4612" w:type="dxa"/>
            <w:shd w:val="clear" w:color="auto" w:fill="FFFFFF" w:themeFill="background1"/>
            <w:vAlign w:val="bottom"/>
            <w:hideMark/>
          </w:tcPr>
          <w:p w:rsidR="005F5B63" w:rsidRPr="00483645" w:rsidRDefault="005F5B63" w:rsidP="00142A4B">
            <w:pPr>
              <w:spacing w:after="0" w:line="240" w:lineRule="auto"/>
              <w:rPr>
                <w:rFonts w:ascii="Microsoft Sans Serif" w:hAnsi="Microsoft Sans Serif" w:cs="Microsoft Sans Serif"/>
                <w:sz w:val="20"/>
                <w:szCs w:val="20"/>
                <w:lang w:val="de-AT" w:eastAsia="de-AT"/>
              </w:rPr>
            </w:pPr>
            <w:r w:rsidRPr="00483645">
              <w:rPr>
                <w:rFonts w:ascii="Microsoft Sans Serif" w:hAnsi="Microsoft Sans Serif" w:cs="Microsoft Sans Serif"/>
                <w:sz w:val="20"/>
                <w:szCs w:val="20"/>
                <w:lang w:val="de-AT" w:eastAsia="de-AT"/>
              </w:rPr>
              <w:t>Beratungsangebote / soziale Arbeit in Wohnsie</w:t>
            </w:r>
            <w:r w:rsidRPr="00483645">
              <w:rPr>
                <w:rFonts w:ascii="Microsoft Sans Serif" w:hAnsi="Microsoft Sans Serif" w:cs="Microsoft Sans Serif"/>
                <w:sz w:val="20"/>
                <w:szCs w:val="20"/>
                <w:lang w:val="de-AT" w:eastAsia="de-AT"/>
              </w:rPr>
              <w:t>d</w:t>
            </w:r>
            <w:r w:rsidRPr="00483645">
              <w:rPr>
                <w:rFonts w:ascii="Microsoft Sans Serif" w:hAnsi="Microsoft Sans Serif" w:cs="Microsoft Sans Serif"/>
                <w:sz w:val="20"/>
                <w:szCs w:val="20"/>
                <w:lang w:val="de-AT" w:eastAsia="de-AT"/>
              </w:rPr>
              <w:t>lungen / Gemeinwesenarbeit</w:t>
            </w:r>
          </w:p>
        </w:tc>
        <w:tc>
          <w:tcPr>
            <w:tcW w:w="1132"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80%</w:t>
            </w:r>
          </w:p>
        </w:tc>
        <w:tc>
          <w:tcPr>
            <w:tcW w:w="1133"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66%</w:t>
            </w:r>
          </w:p>
        </w:tc>
        <w:tc>
          <w:tcPr>
            <w:tcW w:w="1132"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75%</w:t>
            </w:r>
          </w:p>
        </w:tc>
        <w:tc>
          <w:tcPr>
            <w:tcW w:w="1133"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90%</w:t>
            </w:r>
          </w:p>
        </w:tc>
      </w:tr>
    </w:tbl>
    <w:p w:rsidR="005F5B63" w:rsidRDefault="005F5B63" w:rsidP="005F5B63"/>
    <w:p w:rsidR="005F5B63" w:rsidRDefault="005F5B63" w:rsidP="00FF2B86">
      <w:pPr>
        <w:pStyle w:val="Untertitel"/>
      </w:pPr>
      <w:r>
        <w:t>Tab. 32:</w:t>
      </w:r>
      <w:r>
        <w:tab/>
        <w:t>Bedarf nach Anti-Diskriminierungsmaßnahmen, n = 157</w:t>
      </w:r>
    </w:p>
    <w:tbl>
      <w:tblPr>
        <w:tblW w:w="857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686"/>
        <w:gridCol w:w="815"/>
        <w:gridCol w:w="815"/>
        <w:gridCol w:w="816"/>
        <w:gridCol w:w="815"/>
        <w:gridCol w:w="815"/>
        <w:gridCol w:w="816"/>
      </w:tblGrid>
      <w:tr w:rsidR="005F5B63" w:rsidRPr="00483645" w:rsidTr="00142A4B">
        <w:trPr>
          <w:trHeight w:val="255"/>
        </w:trPr>
        <w:tc>
          <w:tcPr>
            <w:tcW w:w="3686" w:type="dxa"/>
            <w:tcBorders>
              <w:top w:val="nil"/>
              <w:left w:val="nil"/>
              <w:bottom w:val="nil"/>
            </w:tcBorders>
            <w:shd w:val="clear" w:color="auto" w:fill="FFFFFF" w:themeFill="background1"/>
            <w:vAlign w:val="bottom"/>
            <w:hideMark/>
          </w:tcPr>
          <w:p w:rsidR="005F5B63" w:rsidRPr="003E5B1B" w:rsidRDefault="005F5B63" w:rsidP="00142A4B">
            <w:pPr>
              <w:spacing w:after="0" w:line="240" w:lineRule="auto"/>
              <w:rPr>
                <w:rFonts w:ascii="Microsoft Sans Serif" w:hAnsi="Microsoft Sans Serif" w:cs="Microsoft Sans Serif"/>
                <w:sz w:val="20"/>
                <w:szCs w:val="20"/>
                <w:lang w:eastAsia="de-AT"/>
              </w:rPr>
            </w:pPr>
          </w:p>
        </w:tc>
        <w:tc>
          <w:tcPr>
            <w:tcW w:w="1630" w:type="dxa"/>
            <w:gridSpan w:val="2"/>
            <w:shd w:val="clear" w:color="auto" w:fill="D6E3BC" w:themeFill="accent3" w:themeFillTint="66"/>
          </w:tcPr>
          <w:p w:rsidR="005F5B63" w:rsidRPr="00483645" w:rsidRDefault="005F5B63" w:rsidP="00142A4B">
            <w:pPr>
              <w:spacing w:after="0" w:line="240" w:lineRule="auto"/>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Zustimmung</w:t>
            </w:r>
          </w:p>
        </w:tc>
        <w:tc>
          <w:tcPr>
            <w:tcW w:w="1631" w:type="dxa"/>
            <w:gridSpan w:val="2"/>
            <w:shd w:val="clear" w:color="auto" w:fill="D6E3BC" w:themeFill="accent3" w:themeFillTint="66"/>
          </w:tcPr>
          <w:p w:rsidR="005F5B63" w:rsidRPr="00483645" w:rsidRDefault="005F5B63" w:rsidP="00142A4B">
            <w:pPr>
              <w:spacing w:after="0" w:line="240" w:lineRule="auto"/>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Ablehnung</w:t>
            </w:r>
          </w:p>
        </w:tc>
        <w:tc>
          <w:tcPr>
            <w:tcW w:w="1631" w:type="dxa"/>
            <w:gridSpan w:val="2"/>
            <w:shd w:val="clear" w:color="auto" w:fill="D6E3BC" w:themeFill="accent3" w:themeFillTint="66"/>
          </w:tcPr>
          <w:p w:rsidR="005F5B63" w:rsidRPr="00483645" w:rsidRDefault="005F5B63" w:rsidP="00142A4B">
            <w:pPr>
              <w:spacing w:after="0" w:line="240" w:lineRule="auto"/>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weiß nicht</w:t>
            </w:r>
          </w:p>
        </w:tc>
      </w:tr>
      <w:tr w:rsidR="005F5B63" w:rsidRPr="00483645" w:rsidTr="00142A4B">
        <w:trPr>
          <w:trHeight w:val="255"/>
        </w:trPr>
        <w:tc>
          <w:tcPr>
            <w:tcW w:w="3686" w:type="dxa"/>
            <w:tcBorders>
              <w:top w:val="nil"/>
              <w:left w:val="nil"/>
            </w:tcBorders>
            <w:shd w:val="clear" w:color="auto" w:fill="FFFFFF" w:themeFill="background1"/>
            <w:vAlign w:val="bottom"/>
            <w:hideMark/>
          </w:tcPr>
          <w:p w:rsidR="005F5B63" w:rsidRPr="00483645" w:rsidRDefault="005F5B63" w:rsidP="00142A4B">
            <w:pPr>
              <w:spacing w:after="0" w:line="240" w:lineRule="auto"/>
              <w:rPr>
                <w:rFonts w:ascii="Microsoft Sans Serif" w:hAnsi="Microsoft Sans Serif" w:cs="Microsoft Sans Serif"/>
                <w:sz w:val="20"/>
                <w:szCs w:val="20"/>
                <w:lang w:val="de-AT" w:eastAsia="de-AT"/>
              </w:rPr>
            </w:pPr>
          </w:p>
        </w:tc>
        <w:tc>
          <w:tcPr>
            <w:tcW w:w="815" w:type="dxa"/>
            <w:shd w:val="clear" w:color="auto" w:fill="D6E3BC" w:themeFill="accent3" w:themeFillTint="66"/>
          </w:tcPr>
          <w:p w:rsidR="005F5B63" w:rsidRDefault="005F5B63" w:rsidP="00142A4B">
            <w:pPr>
              <w:spacing w:after="0" w:line="240" w:lineRule="auto"/>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abs.</w:t>
            </w:r>
          </w:p>
        </w:tc>
        <w:tc>
          <w:tcPr>
            <w:tcW w:w="815" w:type="dxa"/>
            <w:shd w:val="clear" w:color="auto" w:fill="D6E3BC" w:themeFill="accent3" w:themeFillTint="66"/>
          </w:tcPr>
          <w:p w:rsidR="005F5B63" w:rsidRDefault="005F5B63" w:rsidP="00142A4B">
            <w:pPr>
              <w:spacing w:after="0" w:line="240" w:lineRule="auto"/>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in %</w:t>
            </w:r>
          </w:p>
        </w:tc>
        <w:tc>
          <w:tcPr>
            <w:tcW w:w="816" w:type="dxa"/>
            <w:shd w:val="clear" w:color="auto" w:fill="D6E3BC" w:themeFill="accent3" w:themeFillTint="66"/>
          </w:tcPr>
          <w:p w:rsidR="005F5B63" w:rsidRDefault="005F5B63" w:rsidP="00142A4B">
            <w:pPr>
              <w:spacing w:after="0" w:line="240" w:lineRule="auto"/>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abs.</w:t>
            </w:r>
          </w:p>
        </w:tc>
        <w:tc>
          <w:tcPr>
            <w:tcW w:w="815" w:type="dxa"/>
            <w:shd w:val="clear" w:color="auto" w:fill="D6E3BC" w:themeFill="accent3" w:themeFillTint="66"/>
          </w:tcPr>
          <w:p w:rsidR="005F5B63" w:rsidRDefault="005F5B63" w:rsidP="00142A4B">
            <w:pPr>
              <w:spacing w:after="0" w:line="240" w:lineRule="auto"/>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in %</w:t>
            </w:r>
          </w:p>
        </w:tc>
        <w:tc>
          <w:tcPr>
            <w:tcW w:w="815" w:type="dxa"/>
            <w:shd w:val="clear" w:color="auto" w:fill="D6E3BC" w:themeFill="accent3" w:themeFillTint="66"/>
          </w:tcPr>
          <w:p w:rsidR="005F5B63" w:rsidRDefault="005F5B63" w:rsidP="00142A4B">
            <w:pPr>
              <w:spacing w:after="0" w:line="240" w:lineRule="auto"/>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abs.</w:t>
            </w:r>
          </w:p>
        </w:tc>
        <w:tc>
          <w:tcPr>
            <w:tcW w:w="816" w:type="dxa"/>
            <w:shd w:val="clear" w:color="auto" w:fill="D6E3BC" w:themeFill="accent3" w:themeFillTint="66"/>
          </w:tcPr>
          <w:p w:rsidR="005F5B63" w:rsidRDefault="005F5B63" w:rsidP="00142A4B">
            <w:pPr>
              <w:spacing w:after="0" w:line="240" w:lineRule="auto"/>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in %</w:t>
            </w:r>
          </w:p>
        </w:tc>
      </w:tr>
      <w:tr w:rsidR="005F5B63" w:rsidRPr="00483645" w:rsidTr="00142A4B">
        <w:trPr>
          <w:trHeight w:val="255"/>
        </w:trPr>
        <w:tc>
          <w:tcPr>
            <w:tcW w:w="3686" w:type="dxa"/>
            <w:shd w:val="clear" w:color="auto" w:fill="FFFFFF" w:themeFill="background1"/>
            <w:vAlign w:val="bottom"/>
            <w:hideMark/>
          </w:tcPr>
          <w:p w:rsidR="005F5B63" w:rsidRPr="003E5B1B" w:rsidRDefault="005F5B63" w:rsidP="00142A4B">
            <w:pPr>
              <w:spacing w:after="0" w:line="240" w:lineRule="auto"/>
              <w:rPr>
                <w:rFonts w:cs="Tahoma"/>
                <w:sz w:val="18"/>
                <w:szCs w:val="20"/>
                <w:lang w:val="de-AT" w:eastAsia="de-AT"/>
              </w:rPr>
            </w:pPr>
            <w:r w:rsidRPr="003E5B1B">
              <w:rPr>
                <w:rFonts w:cs="Tahoma"/>
                <w:sz w:val="18"/>
                <w:szCs w:val="20"/>
                <w:lang w:val="de-AT" w:eastAsia="de-AT"/>
              </w:rPr>
              <w:t>Aus- und Weiterbildung für die Sachbearbe</w:t>
            </w:r>
            <w:r w:rsidRPr="003E5B1B">
              <w:rPr>
                <w:rFonts w:cs="Tahoma"/>
                <w:sz w:val="18"/>
                <w:szCs w:val="20"/>
                <w:lang w:val="de-AT" w:eastAsia="de-AT"/>
              </w:rPr>
              <w:t>i</w:t>
            </w:r>
            <w:r w:rsidRPr="003E5B1B">
              <w:rPr>
                <w:rFonts w:cs="Tahoma"/>
                <w:sz w:val="18"/>
                <w:szCs w:val="20"/>
                <w:lang w:val="de-AT" w:eastAsia="de-AT"/>
              </w:rPr>
              <w:t>terInnen</w:t>
            </w:r>
          </w:p>
        </w:tc>
        <w:tc>
          <w:tcPr>
            <w:tcW w:w="815" w:type="dxa"/>
            <w:shd w:val="clear" w:color="auto" w:fill="FFFFFF" w:themeFill="background1"/>
            <w:vAlign w:val="center"/>
          </w:tcPr>
          <w:p w:rsidR="005F5B63" w:rsidRPr="00483645" w:rsidRDefault="005F5B63" w:rsidP="00142A4B">
            <w:pPr>
              <w:spacing w:after="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126</w:t>
            </w:r>
          </w:p>
        </w:tc>
        <w:tc>
          <w:tcPr>
            <w:tcW w:w="815" w:type="dxa"/>
            <w:shd w:val="clear" w:color="auto" w:fill="FFFFFF" w:themeFill="background1"/>
            <w:vAlign w:val="center"/>
          </w:tcPr>
          <w:p w:rsidR="005F5B63" w:rsidRPr="00483645" w:rsidRDefault="005F5B63" w:rsidP="00142A4B">
            <w:pPr>
              <w:spacing w:after="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80%</w:t>
            </w:r>
          </w:p>
        </w:tc>
        <w:tc>
          <w:tcPr>
            <w:tcW w:w="816" w:type="dxa"/>
            <w:shd w:val="clear" w:color="auto" w:fill="FFFFFF" w:themeFill="background1"/>
            <w:vAlign w:val="center"/>
          </w:tcPr>
          <w:p w:rsidR="005F5B63" w:rsidRPr="00483645" w:rsidRDefault="005F5B63" w:rsidP="00142A4B">
            <w:pPr>
              <w:spacing w:after="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20</w:t>
            </w:r>
          </w:p>
        </w:tc>
        <w:tc>
          <w:tcPr>
            <w:tcW w:w="815" w:type="dxa"/>
            <w:shd w:val="clear" w:color="auto" w:fill="FFFFFF" w:themeFill="background1"/>
            <w:vAlign w:val="center"/>
          </w:tcPr>
          <w:p w:rsidR="005F5B63" w:rsidRPr="00483645" w:rsidRDefault="005F5B63" w:rsidP="00142A4B">
            <w:pPr>
              <w:spacing w:after="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13%</w:t>
            </w:r>
          </w:p>
        </w:tc>
        <w:tc>
          <w:tcPr>
            <w:tcW w:w="815" w:type="dxa"/>
            <w:shd w:val="clear" w:color="auto" w:fill="FFFFFF" w:themeFill="background1"/>
            <w:vAlign w:val="center"/>
          </w:tcPr>
          <w:p w:rsidR="005F5B63" w:rsidRPr="00483645" w:rsidRDefault="005F5B63" w:rsidP="00142A4B">
            <w:pPr>
              <w:spacing w:after="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11</w:t>
            </w:r>
          </w:p>
        </w:tc>
        <w:tc>
          <w:tcPr>
            <w:tcW w:w="816" w:type="dxa"/>
            <w:shd w:val="clear" w:color="auto" w:fill="FFFFFF" w:themeFill="background1"/>
            <w:vAlign w:val="center"/>
          </w:tcPr>
          <w:p w:rsidR="005F5B63" w:rsidRPr="00483645" w:rsidRDefault="005F5B63" w:rsidP="00142A4B">
            <w:pPr>
              <w:spacing w:after="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7%</w:t>
            </w:r>
          </w:p>
        </w:tc>
      </w:tr>
      <w:tr w:rsidR="005F5B63" w:rsidRPr="00483645" w:rsidTr="00142A4B">
        <w:trPr>
          <w:trHeight w:val="255"/>
        </w:trPr>
        <w:tc>
          <w:tcPr>
            <w:tcW w:w="3686" w:type="dxa"/>
            <w:shd w:val="clear" w:color="auto" w:fill="FFFFFF" w:themeFill="background1"/>
            <w:vAlign w:val="bottom"/>
            <w:hideMark/>
          </w:tcPr>
          <w:p w:rsidR="005F5B63" w:rsidRPr="003E5B1B" w:rsidRDefault="005F5B63" w:rsidP="00142A4B">
            <w:pPr>
              <w:spacing w:after="0" w:line="240" w:lineRule="auto"/>
              <w:rPr>
                <w:rFonts w:cs="Tahoma"/>
                <w:sz w:val="18"/>
                <w:szCs w:val="20"/>
                <w:lang w:val="de-AT" w:eastAsia="de-AT"/>
              </w:rPr>
            </w:pPr>
            <w:r w:rsidRPr="003E5B1B">
              <w:rPr>
                <w:rFonts w:cs="Tahoma"/>
                <w:sz w:val="18"/>
                <w:szCs w:val="20"/>
                <w:lang w:val="de-AT" w:eastAsia="de-AT"/>
              </w:rPr>
              <w:t>Einstellung von SpezialistInnen / Soziala</w:t>
            </w:r>
            <w:r w:rsidRPr="003E5B1B">
              <w:rPr>
                <w:rFonts w:cs="Tahoma"/>
                <w:sz w:val="18"/>
                <w:szCs w:val="20"/>
                <w:lang w:val="de-AT" w:eastAsia="de-AT"/>
              </w:rPr>
              <w:t>r</w:t>
            </w:r>
            <w:r w:rsidRPr="003E5B1B">
              <w:rPr>
                <w:rFonts w:cs="Tahoma"/>
                <w:sz w:val="18"/>
                <w:szCs w:val="20"/>
                <w:lang w:val="de-AT" w:eastAsia="de-AT"/>
              </w:rPr>
              <w:t>beiterInnen</w:t>
            </w:r>
          </w:p>
        </w:tc>
        <w:tc>
          <w:tcPr>
            <w:tcW w:w="815" w:type="dxa"/>
            <w:shd w:val="clear" w:color="auto" w:fill="FFFFFF" w:themeFill="background1"/>
            <w:vAlign w:val="center"/>
          </w:tcPr>
          <w:p w:rsidR="005F5B63" w:rsidRPr="00483645" w:rsidRDefault="005F5B63" w:rsidP="00142A4B">
            <w:pPr>
              <w:spacing w:after="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108</w:t>
            </w:r>
          </w:p>
        </w:tc>
        <w:tc>
          <w:tcPr>
            <w:tcW w:w="815" w:type="dxa"/>
            <w:shd w:val="clear" w:color="auto" w:fill="FFFFFF" w:themeFill="background1"/>
            <w:vAlign w:val="center"/>
          </w:tcPr>
          <w:p w:rsidR="005F5B63" w:rsidRPr="00483645" w:rsidRDefault="005F5B63" w:rsidP="00142A4B">
            <w:pPr>
              <w:spacing w:after="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69%</w:t>
            </w:r>
          </w:p>
        </w:tc>
        <w:tc>
          <w:tcPr>
            <w:tcW w:w="816" w:type="dxa"/>
            <w:shd w:val="clear" w:color="auto" w:fill="FFFFFF" w:themeFill="background1"/>
            <w:vAlign w:val="center"/>
          </w:tcPr>
          <w:p w:rsidR="005F5B63" w:rsidRPr="00483645" w:rsidRDefault="005F5B63" w:rsidP="00142A4B">
            <w:pPr>
              <w:spacing w:after="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36</w:t>
            </w:r>
          </w:p>
        </w:tc>
        <w:tc>
          <w:tcPr>
            <w:tcW w:w="815" w:type="dxa"/>
            <w:shd w:val="clear" w:color="auto" w:fill="FFFFFF" w:themeFill="background1"/>
            <w:vAlign w:val="center"/>
          </w:tcPr>
          <w:p w:rsidR="005F5B63" w:rsidRPr="00483645" w:rsidRDefault="005F5B63" w:rsidP="00142A4B">
            <w:pPr>
              <w:spacing w:after="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23%</w:t>
            </w:r>
          </w:p>
        </w:tc>
        <w:tc>
          <w:tcPr>
            <w:tcW w:w="815" w:type="dxa"/>
            <w:shd w:val="clear" w:color="auto" w:fill="FFFFFF" w:themeFill="background1"/>
            <w:vAlign w:val="center"/>
          </w:tcPr>
          <w:p w:rsidR="005F5B63" w:rsidRPr="00483645" w:rsidRDefault="005F5B63" w:rsidP="00142A4B">
            <w:pPr>
              <w:spacing w:after="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13</w:t>
            </w:r>
          </w:p>
        </w:tc>
        <w:tc>
          <w:tcPr>
            <w:tcW w:w="816" w:type="dxa"/>
            <w:shd w:val="clear" w:color="auto" w:fill="FFFFFF" w:themeFill="background1"/>
            <w:vAlign w:val="center"/>
          </w:tcPr>
          <w:p w:rsidR="005F5B63" w:rsidRPr="00483645" w:rsidRDefault="005F5B63" w:rsidP="00142A4B">
            <w:pPr>
              <w:spacing w:after="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8%</w:t>
            </w:r>
          </w:p>
        </w:tc>
      </w:tr>
      <w:tr w:rsidR="005F5B63" w:rsidRPr="00483645" w:rsidTr="00142A4B">
        <w:trPr>
          <w:trHeight w:val="255"/>
        </w:trPr>
        <w:tc>
          <w:tcPr>
            <w:tcW w:w="3686" w:type="dxa"/>
            <w:shd w:val="clear" w:color="auto" w:fill="FFFFFF" w:themeFill="background1"/>
            <w:vAlign w:val="bottom"/>
            <w:hideMark/>
          </w:tcPr>
          <w:p w:rsidR="005F5B63" w:rsidRPr="003E5B1B" w:rsidRDefault="005F5B63" w:rsidP="00142A4B">
            <w:pPr>
              <w:spacing w:after="0" w:line="240" w:lineRule="auto"/>
              <w:rPr>
                <w:rFonts w:cs="Tahoma"/>
                <w:sz w:val="18"/>
                <w:szCs w:val="20"/>
                <w:lang w:val="de-AT" w:eastAsia="de-AT"/>
              </w:rPr>
            </w:pPr>
            <w:r w:rsidRPr="003E5B1B">
              <w:rPr>
                <w:rFonts w:cs="Tahoma"/>
                <w:sz w:val="18"/>
                <w:szCs w:val="20"/>
                <w:lang w:val="de-AT" w:eastAsia="de-AT"/>
              </w:rPr>
              <w:t>positive Diskriminierung bei Planung und Vergabe von Mitteln aus der Wohnbauförd</w:t>
            </w:r>
            <w:r w:rsidRPr="003E5B1B">
              <w:rPr>
                <w:rFonts w:cs="Tahoma"/>
                <w:sz w:val="18"/>
                <w:szCs w:val="20"/>
                <w:lang w:val="de-AT" w:eastAsia="de-AT"/>
              </w:rPr>
              <w:t>e</w:t>
            </w:r>
            <w:r w:rsidRPr="003E5B1B">
              <w:rPr>
                <w:rFonts w:cs="Tahoma"/>
                <w:sz w:val="18"/>
                <w:szCs w:val="20"/>
                <w:lang w:val="de-AT" w:eastAsia="de-AT"/>
              </w:rPr>
              <w:t>rung</w:t>
            </w:r>
          </w:p>
        </w:tc>
        <w:tc>
          <w:tcPr>
            <w:tcW w:w="815" w:type="dxa"/>
            <w:shd w:val="clear" w:color="auto" w:fill="FFFFFF" w:themeFill="background1"/>
            <w:vAlign w:val="center"/>
          </w:tcPr>
          <w:p w:rsidR="005F5B63" w:rsidRPr="00483645" w:rsidRDefault="005F5B63" w:rsidP="00142A4B">
            <w:pPr>
              <w:spacing w:after="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68</w:t>
            </w:r>
          </w:p>
        </w:tc>
        <w:tc>
          <w:tcPr>
            <w:tcW w:w="815" w:type="dxa"/>
            <w:shd w:val="clear" w:color="auto" w:fill="FFFFFF" w:themeFill="background1"/>
            <w:vAlign w:val="center"/>
          </w:tcPr>
          <w:p w:rsidR="005F5B63" w:rsidRPr="00483645" w:rsidRDefault="005F5B63" w:rsidP="00142A4B">
            <w:pPr>
              <w:spacing w:after="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43%</w:t>
            </w:r>
          </w:p>
        </w:tc>
        <w:tc>
          <w:tcPr>
            <w:tcW w:w="816" w:type="dxa"/>
            <w:shd w:val="clear" w:color="auto" w:fill="FFFFFF" w:themeFill="background1"/>
            <w:vAlign w:val="center"/>
          </w:tcPr>
          <w:p w:rsidR="005F5B63" w:rsidRPr="00483645" w:rsidRDefault="005F5B63" w:rsidP="00142A4B">
            <w:pPr>
              <w:spacing w:after="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54</w:t>
            </w:r>
          </w:p>
        </w:tc>
        <w:tc>
          <w:tcPr>
            <w:tcW w:w="815" w:type="dxa"/>
            <w:shd w:val="clear" w:color="auto" w:fill="FFFFFF" w:themeFill="background1"/>
            <w:vAlign w:val="center"/>
          </w:tcPr>
          <w:p w:rsidR="005F5B63" w:rsidRPr="00483645" w:rsidRDefault="005F5B63" w:rsidP="00142A4B">
            <w:pPr>
              <w:spacing w:after="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34%</w:t>
            </w:r>
          </w:p>
        </w:tc>
        <w:tc>
          <w:tcPr>
            <w:tcW w:w="815" w:type="dxa"/>
            <w:shd w:val="clear" w:color="auto" w:fill="FFFFFF" w:themeFill="background1"/>
            <w:vAlign w:val="center"/>
          </w:tcPr>
          <w:p w:rsidR="005F5B63" w:rsidRPr="00483645" w:rsidRDefault="005F5B63" w:rsidP="00142A4B">
            <w:pPr>
              <w:spacing w:after="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35</w:t>
            </w:r>
          </w:p>
        </w:tc>
        <w:tc>
          <w:tcPr>
            <w:tcW w:w="816" w:type="dxa"/>
            <w:shd w:val="clear" w:color="auto" w:fill="FFFFFF" w:themeFill="background1"/>
            <w:vAlign w:val="center"/>
          </w:tcPr>
          <w:p w:rsidR="005F5B63" w:rsidRPr="00483645" w:rsidRDefault="005F5B63" w:rsidP="00142A4B">
            <w:pPr>
              <w:spacing w:after="0" w:line="240" w:lineRule="auto"/>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22%</w:t>
            </w:r>
          </w:p>
        </w:tc>
      </w:tr>
    </w:tbl>
    <w:p w:rsidR="005F5B63" w:rsidRPr="003E5B1B" w:rsidRDefault="005F5B63" w:rsidP="005F5B63"/>
    <w:p w:rsidR="005F5B63" w:rsidRDefault="005F5B63" w:rsidP="00FF2B86">
      <w:pPr>
        <w:pStyle w:val="Untertitel"/>
      </w:pPr>
      <w:r>
        <w:t>Tab. 33:</w:t>
      </w:r>
      <w:r>
        <w:tab/>
        <w:t>Bedarf nach Anti-Diskriminierungsmaßnahmen, nach Art der Einric</w:t>
      </w:r>
      <w:r>
        <w:t>h</w:t>
      </w:r>
      <w:r>
        <w:t>tung, Zustimmung in Prozent</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612"/>
        <w:gridCol w:w="1132"/>
        <w:gridCol w:w="1133"/>
        <w:gridCol w:w="1132"/>
        <w:gridCol w:w="1133"/>
      </w:tblGrid>
      <w:tr w:rsidR="005F5B63" w:rsidRPr="006D2D07" w:rsidTr="00142A4B">
        <w:trPr>
          <w:trHeight w:val="255"/>
        </w:trPr>
        <w:tc>
          <w:tcPr>
            <w:tcW w:w="4612" w:type="dxa"/>
            <w:tcBorders>
              <w:top w:val="nil"/>
              <w:left w:val="nil"/>
            </w:tcBorders>
            <w:shd w:val="clear" w:color="auto" w:fill="FFFFFF" w:themeFill="background1"/>
            <w:vAlign w:val="bottom"/>
            <w:hideMark/>
          </w:tcPr>
          <w:p w:rsidR="005F5B63" w:rsidRPr="003E5B1B" w:rsidRDefault="005F5B63" w:rsidP="00142A4B">
            <w:pPr>
              <w:spacing w:before="60" w:after="60" w:line="240" w:lineRule="auto"/>
              <w:rPr>
                <w:rFonts w:cs="Tahoma"/>
                <w:sz w:val="18"/>
                <w:szCs w:val="20"/>
                <w:lang w:eastAsia="de-AT"/>
              </w:rPr>
            </w:pPr>
          </w:p>
        </w:tc>
        <w:tc>
          <w:tcPr>
            <w:tcW w:w="1132" w:type="dxa"/>
            <w:tcBorders>
              <w:left w:val="nil"/>
            </w:tcBorders>
            <w:shd w:val="clear" w:color="auto" w:fill="D6E3BC" w:themeFill="accent3" w:themeFillTint="66"/>
          </w:tcPr>
          <w:p w:rsidR="005F5B63" w:rsidRPr="006D2D07" w:rsidRDefault="005F5B63" w:rsidP="00142A4B">
            <w:pPr>
              <w:spacing w:before="60" w:after="60" w:line="240" w:lineRule="auto"/>
              <w:rPr>
                <w:rFonts w:cs="Tahoma"/>
                <w:sz w:val="16"/>
                <w:szCs w:val="20"/>
                <w:lang w:eastAsia="de-AT"/>
              </w:rPr>
            </w:pPr>
            <w:r w:rsidRPr="006D2D07">
              <w:rPr>
                <w:rFonts w:cs="Tahoma"/>
                <w:sz w:val="16"/>
                <w:szCs w:val="20"/>
                <w:lang w:eastAsia="de-AT"/>
              </w:rPr>
              <w:t>Wohnungs-amt</w:t>
            </w:r>
          </w:p>
        </w:tc>
        <w:tc>
          <w:tcPr>
            <w:tcW w:w="1133" w:type="dxa"/>
            <w:tcBorders>
              <w:left w:val="nil"/>
            </w:tcBorders>
            <w:shd w:val="clear" w:color="auto" w:fill="D6E3BC" w:themeFill="accent3" w:themeFillTint="66"/>
          </w:tcPr>
          <w:p w:rsidR="005F5B63" w:rsidRPr="006D2D07" w:rsidRDefault="005F5B63" w:rsidP="00142A4B">
            <w:pPr>
              <w:spacing w:before="60" w:after="60" w:line="240" w:lineRule="auto"/>
              <w:rPr>
                <w:rFonts w:cs="Tahoma"/>
                <w:sz w:val="16"/>
                <w:szCs w:val="20"/>
                <w:lang w:eastAsia="de-AT"/>
              </w:rPr>
            </w:pPr>
            <w:r w:rsidRPr="006D2D07">
              <w:rPr>
                <w:rFonts w:cs="Tahoma"/>
                <w:sz w:val="16"/>
                <w:szCs w:val="20"/>
                <w:lang w:eastAsia="de-AT"/>
              </w:rPr>
              <w:t>gemeinnützi-ger Bauträger</w:t>
            </w:r>
          </w:p>
        </w:tc>
        <w:tc>
          <w:tcPr>
            <w:tcW w:w="1132" w:type="dxa"/>
            <w:tcBorders>
              <w:left w:val="nil"/>
            </w:tcBorders>
            <w:shd w:val="clear" w:color="auto" w:fill="D6E3BC" w:themeFill="accent3" w:themeFillTint="66"/>
          </w:tcPr>
          <w:p w:rsidR="005F5B63" w:rsidRPr="006D2D07" w:rsidRDefault="005F5B63" w:rsidP="00142A4B">
            <w:pPr>
              <w:spacing w:before="60" w:after="60" w:line="240" w:lineRule="auto"/>
              <w:rPr>
                <w:rFonts w:cs="Tahoma"/>
                <w:sz w:val="16"/>
                <w:szCs w:val="20"/>
                <w:lang w:eastAsia="de-AT"/>
              </w:rPr>
            </w:pPr>
            <w:r w:rsidRPr="006D2D07">
              <w:rPr>
                <w:rFonts w:cs="Tahoma"/>
                <w:sz w:val="16"/>
                <w:szCs w:val="20"/>
                <w:lang w:eastAsia="de-AT"/>
              </w:rPr>
              <w:t>privater Bauträger</w:t>
            </w:r>
          </w:p>
        </w:tc>
        <w:tc>
          <w:tcPr>
            <w:tcW w:w="1133" w:type="dxa"/>
            <w:tcBorders>
              <w:left w:val="nil"/>
            </w:tcBorders>
            <w:shd w:val="clear" w:color="auto" w:fill="D6E3BC" w:themeFill="accent3" w:themeFillTint="66"/>
          </w:tcPr>
          <w:p w:rsidR="005F5B63" w:rsidRPr="006D2D07" w:rsidRDefault="005F5B63" w:rsidP="00142A4B">
            <w:pPr>
              <w:spacing w:before="60" w:after="60" w:line="240" w:lineRule="auto"/>
              <w:rPr>
                <w:rFonts w:cs="Tahoma"/>
                <w:sz w:val="16"/>
                <w:szCs w:val="20"/>
                <w:lang w:eastAsia="de-AT"/>
              </w:rPr>
            </w:pPr>
            <w:r w:rsidRPr="006D2D07">
              <w:rPr>
                <w:rFonts w:cs="Tahoma"/>
                <w:sz w:val="16"/>
                <w:szCs w:val="20"/>
                <w:lang w:eastAsia="de-AT"/>
              </w:rPr>
              <w:t>Beratungs-einrichtung</w:t>
            </w:r>
          </w:p>
        </w:tc>
      </w:tr>
      <w:tr w:rsidR="005F5B63" w:rsidRPr="006D2D07" w:rsidTr="00142A4B">
        <w:trPr>
          <w:trHeight w:val="255"/>
        </w:trPr>
        <w:tc>
          <w:tcPr>
            <w:tcW w:w="4612" w:type="dxa"/>
            <w:shd w:val="clear" w:color="auto" w:fill="FFFFFF" w:themeFill="background1"/>
            <w:vAlign w:val="bottom"/>
            <w:hideMark/>
          </w:tcPr>
          <w:p w:rsidR="005F5B63" w:rsidRPr="003E5B1B" w:rsidRDefault="005F5B63" w:rsidP="00142A4B">
            <w:pPr>
              <w:spacing w:after="0" w:line="240" w:lineRule="auto"/>
              <w:rPr>
                <w:rFonts w:cs="Tahoma"/>
                <w:sz w:val="18"/>
                <w:szCs w:val="20"/>
                <w:lang w:val="de-AT" w:eastAsia="de-AT"/>
              </w:rPr>
            </w:pPr>
            <w:r w:rsidRPr="003E5B1B">
              <w:rPr>
                <w:rFonts w:cs="Tahoma"/>
                <w:sz w:val="18"/>
                <w:szCs w:val="20"/>
                <w:lang w:val="de-AT" w:eastAsia="de-AT"/>
              </w:rPr>
              <w:t>Aus- und Weiterbildung für die SachbearbeiterInnen</w:t>
            </w:r>
          </w:p>
        </w:tc>
        <w:tc>
          <w:tcPr>
            <w:tcW w:w="1132"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67%</w:t>
            </w:r>
          </w:p>
        </w:tc>
        <w:tc>
          <w:tcPr>
            <w:tcW w:w="1133"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69%</w:t>
            </w:r>
          </w:p>
        </w:tc>
        <w:tc>
          <w:tcPr>
            <w:tcW w:w="1132"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81%</w:t>
            </w:r>
          </w:p>
        </w:tc>
        <w:tc>
          <w:tcPr>
            <w:tcW w:w="1133"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89%</w:t>
            </w:r>
          </w:p>
        </w:tc>
      </w:tr>
      <w:tr w:rsidR="005F5B63" w:rsidRPr="006D2D07" w:rsidTr="00142A4B">
        <w:trPr>
          <w:trHeight w:val="255"/>
        </w:trPr>
        <w:tc>
          <w:tcPr>
            <w:tcW w:w="4612" w:type="dxa"/>
            <w:shd w:val="clear" w:color="auto" w:fill="FFFFFF" w:themeFill="background1"/>
            <w:vAlign w:val="bottom"/>
            <w:hideMark/>
          </w:tcPr>
          <w:p w:rsidR="005F5B63" w:rsidRPr="003E5B1B" w:rsidRDefault="005F5B63" w:rsidP="00142A4B">
            <w:pPr>
              <w:spacing w:after="0" w:line="240" w:lineRule="auto"/>
              <w:rPr>
                <w:rFonts w:cs="Tahoma"/>
                <w:sz w:val="18"/>
                <w:szCs w:val="20"/>
                <w:lang w:val="de-AT" w:eastAsia="de-AT"/>
              </w:rPr>
            </w:pPr>
            <w:r w:rsidRPr="003E5B1B">
              <w:rPr>
                <w:rFonts w:cs="Tahoma"/>
                <w:sz w:val="18"/>
                <w:szCs w:val="20"/>
                <w:lang w:val="de-AT" w:eastAsia="de-AT"/>
              </w:rPr>
              <w:t>Einstellung von SpezialistInnen / SozialarbeiterInnen</w:t>
            </w:r>
          </w:p>
        </w:tc>
        <w:tc>
          <w:tcPr>
            <w:tcW w:w="1132"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49%</w:t>
            </w:r>
          </w:p>
        </w:tc>
        <w:tc>
          <w:tcPr>
            <w:tcW w:w="1133"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53%</w:t>
            </w:r>
          </w:p>
        </w:tc>
        <w:tc>
          <w:tcPr>
            <w:tcW w:w="1132"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69%</w:t>
            </w:r>
          </w:p>
        </w:tc>
        <w:tc>
          <w:tcPr>
            <w:tcW w:w="1133"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80%</w:t>
            </w:r>
          </w:p>
        </w:tc>
      </w:tr>
      <w:tr w:rsidR="005F5B63" w:rsidRPr="006D2D07" w:rsidTr="00142A4B">
        <w:trPr>
          <w:trHeight w:val="255"/>
        </w:trPr>
        <w:tc>
          <w:tcPr>
            <w:tcW w:w="4612" w:type="dxa"/>
            <w:shd w:val="clear" w:color="auto" w:fill="FFFFFF" w:themeFill="background1"/>
            <w:vAlign w:val="bottom"/>
            <w:hideMark/>
          </w:tcPr>
          <w:p w:rsidR="005F5B63" w:rsidRPr="003E5B1B" w:rsidRDefault="005F5B63" w:rsidP="00142A4B">
            <w:pPr>
              <w:spacing w:after="0" w:line="240" w:lineRule="auto"/>
              <w:rPr>
                <w:rFonts w:cs="Tahoma"/>
                <w:sz w:val="18"/>
                <w:szCs w:val="20"/>
                <w:lang w:val="de-AT" w:eastAsia="de-AT"/>
              </w:rPr>
            </w:pPr>
            <w:r w:rsidRPr="003E5B1B">
              <w:rPr>
                <w:rFonts w:cs="Tahoma"/>
                <w:sz w:val="18"/>
                <w:szCs w:val="20"/>
                <w:lang w:val="de-AT" w:eastAsia="de-AT"/>
              </w:rPr>
              <w:t>positive Diskriminierung bei Planung und Vergabe von Mitteln aus der Wohnbauförderung</w:t>
            </w:r>
          </w:p>
        </w:tc>
        <w:tc>
          <w:tcPr>
            <w:tcW w:w="1132"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33%</w:t>
            </w:r>
          </w:p>
        </w:tc>
        <w:tc>
          <w:tcPr>
            <w:tcW w:w="1133"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34%</w:t>
            </w:r>
          </w:p>
        </w:tc>
        <w:tc>
          <w:tcPr>
            <w:tcW w:w="1132"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50%</w:t>
            </w:r>
          </w:p>
        </w:tc>
        <w:tc>
          <w:tcPr>
            <w:tcW w:w="1133"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48%</w:t>
            </w:r>
          </w:p>
        </w:tc>
      </w:tr>
    </w:tbl>
    <w:p w:rsidR="005F5B63" w:rsidRDefault="005F5B63" w:rsidP="005F5B63"/>
    <w:p w:rsidR="005F5B63" w:rsidRPr="00A64692" w:rsidRDefault="005F5B63" w:rsidP="00FF2B86">
      <w:pPr>
        <w:pStyle w:val="Untertitel"/>
      </w:pPr>
      <w:r>
        <w:t>Tab. 34:</w:t>
      </w:r>
      <w:r>
        <w:tab/>
      </w:r>
      <w:r w:rsidRPr="001D276D">
        <w:t>Zur Aktualität des Themas "Equality in Housing"</w:t>
      </w:r>
      <w:r>
        <w:t>, n = 142</w:t>
      </w:r>
    </w:p>
    <w:tbl>
      <w:tblPr>
        <w:tblW w:w="89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553"/>
        <w:gridCol w:w="728"/>
        <w:gridCol w:w="728"/>
        <w:gridCol w:w="728"/>
        <w:gridCol w:w="728"/>
        <w:gridCol w:w="728"/>
        <w:gridCol w:w="729"/>
      </w:tblGrid>
      <w:tr w:rsidR="005F5B63" w:rsidRPr="00483645" w:rsidTr="00142A4B">
        <w:trPr>
          <w:trHeight w:val="255"/>
        </w:trPr>
        <w:tc>
          <w:tcPr>
            <w:tcW w:w="4553" w:type="dxa"/>
            <w:tcBorders>
              <w:top w:val="nil"/>
              <w:left w:val="nil"/>
              <w:bottom w:val="nil"/>
            </w:tcBorders>
            <w:shd w:val="clear" w:color="auto" w:fill="FFFFFF" w:themeFill="background1"/>
            <w:vAlign w:val="bottom"/>
            <w:hideMark/>
          </w:tcPr>
          <w:p w:rsidR="005F5B63" w:rsidRPr="00381E6E" w:rsidRDefault="005F5B63" w:rsidP="00142A4B">
            <w:pPr>
              <w:spacing w:before="60" w:after="60" w:line="240" w:lineRule="auto"/>
              <w:rPr>
                <w:rFonts w:ascii="Microsoft Sans Serif" w:hAnsi="Microsoft Sans Serif" w:cs="Microsoft Sans Serif"/>
                <w:sz w:val="18"/>
                <w:szCs w:val="20"/>
                <w:lang w:val="de-AT" w:eastAsia="de-AT"/>
              </w:rPr>
            </w:pPr>
          </w:p>
        </w:tc>
        <w:tc>
          <w:tcPr>
            <w:tcW w:w="1456" w:type="dxa"/>
            <w:gridSpan w:val="2"/>
            <w:shd w:val="clear" w:color="auto" w:fill="D6E3BC" w:themeFill="accent3" w:themeFillTint="66"/>
          </w:tcPr>
          <w:p w:rsidR="005F5B63" w:rsidRPr="00483645" w:rsidRDefault="005F5B63" w:rsidP="00142A4B">
            <w:pPr>
              <w:spacing w:before="60" w:after="60" w:line="240" w:lineRule="auto"/>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Zustimmung</w:t>
            </w:r>
          </w:p>
        </w:tc>
        <w:tc>
          <w:tcPr>
            <w:tcW w:w="1456" w:type="dxa"/>
            <w:gridSpan w:val="2"/>
            <w:shd w:val="clear" w:color="auto" w:fill="D6E3BC" w:themeFill="accent3" w:themeFillTint="66"/>
          </w:tcPr>
          <w:p w:rsidR="005F5B63" w:rsidRPr="00483645" w:rsidRDefault="005F5B63" w:rsidP="00142A4B">
            <w:pPr>
              <w:spacing w:before="60" w:after="60" w:line="240" w:lineRule="auto"/>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Ablehnung</w:t>
            </w:r>
          </w:p>
        </w:tc>
        <w:tc>
          <w:tcPr>
            <w:tcW w:w="1457" w:type="dxa"/>
            <w:gridSpan w:val="2"/>
            <w:shd w:val="clear" w:color="auto" w:fill="D6E3BC" w:themeFill="accent3" w:themeFillTint="66"/>
          </w:tcPr>
          <w:p w:rsidR="005F5B63" w:rsidRPr="00483645" w:rsidRDefault="005F5B63" w:rsidP="00142A4B">
            <w:pPr>
              <w:spacing w:before="60" w:after="60" w:line="240" w:lineRule="auto"/>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weiß nicht</w:t>
            </w:r>
          </w:p>
        </w:tc>
      </w:tr>
      <w:tr w:rsidR="005F5B63" w:rsidRPr="00483645" w:rsidTr="00142A4B">
        <w:trPr>
          <w:trHeight w:val="255"/>
        </w:trPr>
        <w:tc>
          <w:tcPr>
            <w:tcW w:w="4553" w:type="dxa"/>
            <w:tcBorders>
              <w:top w:val="nil"/>
              <w:left w:val="nil"/>
            </w:tcBorders>
            <w:shd w:val="clear" w:color="auto" w:fill="FFFFFF" w:themeFill="background1"/>
            <w:vAlign w:val="bottom"/>
            <w:hideMark/>
          </w:tcPr>
          <w:p w:rsidR="005F5B63" w:rsidRPr="00381E6E" w:rsidRDefault="005F5B63" w:rsidP="00142A4B">
            <w:pPr>
              <w:spacing w:before="60" w:after="60" w:line="240" w:lineRule="auto"/>
              <w:rPr>
                <w:rFonts w:ascii="Microsoft Sans Serif" w:hAnsi="Microsoft Sans Serif" w:cs="Microsoft Sans Serif"/>
                <w:sz w:val="18"/>
                <w:szCs w:val="20"/>
                <w:lang w:val="de-AT" w:eastAsia="de-AT"/>
              </w:rPr>
            </w:pPr>
          </w:p>
        </w:tc>
        <w:tc>
          <w:tcPr>
            <w:tcW w:w="728" w:type="dxa"/>
            <w:shd w:val="clear" w:color="auto" w:fill="D6E3BC" w:themeFill="accent3" w:themeFillTint="66"/>
          </w:tcPr>
          <w:p w:rsidR="005F5B63" w:rsidRDefault="005F5B63" w:rsidP="00142A4B">
            <w:pPr>
              <w:spacing w:before="60" w:after="60" w:line="240" w:lineRule="auto"/>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abs.</w:t>
            </w:r>
          </w:p>
        </w:tc>
        <w:tc>
          <w:tcPr>
            <w:tcW w:w="728" w:type="dxa"/>
            <w:shd w:val="clear" w:color="auto" w:fill="D6E3BC" w:themeFill="accent3" w:themeFillTint="66"/>
          </w:tcPr>
          <w:p w:rsidR="005F5B63" w:rsidRDefault="005F5B63" w:rsidP="00142A4B">
            <w:pPr>
              <w:spacing w:before="60" w:after="60" w:line="240" w:lineRule="auto"/>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in %</w:t>
            </w:r>
          </w:p>
        </w:tc>
        <w:tc>
          <w:tcPr>
            <w:tcW w:w="728" w:type="dxa"/>
            <w:shd w:val="clear" w:color="auto" w:fill="D6E3BC" w:themeFill="accent3" w:themeFillTint="66"/>
          </w:tcPr>
          <w:p w:rsidR="005F5B63" w:rsidRDefault="005F5B63" w:rsidP="00142A4B">
            <w:pPr>
              <w:spacing w:before="60" w:after="60" w:line="240" w:lineRule="auto"/>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abs.</w:t>
            </w:r>
          </w:p>
        </w:tc>
        <w:tc>
          <w:tcPr>
            <w:tcW w:w="728" w:type="dxa"/>
            <w:shd w:val="clear" w:color="auto" w:fill="D6E3BC" w:themeFill="accent3" w:themeFillTint="66"/>
          </w:tcPr>
          <w:p w:rsidR="005F5B63" w:rsidRDefault="005F5B63" w:rsidP="00142A4B">
            <w:pPr>
              <w:spacing w:before="60" w:after="60" w:line="240" w:lineRule="auto"/>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in %</w:t>
            </w:r>
          </w:p>
        </w:tc>
        <w:tc>
          <w:tcPr>
            <w:tcW w:w="728" w:type="dxa"/>
            <w:shd w:val="clear" w:color="auto" w:fill="D6E3BC" w:themeFill="accent3" w:themeFillTint="66"/>
          </w:tcPr>
          <w:p w:rsidR="005F5B63" w:rsidRDefault="005F5B63" w:rsidP="00142A4B">
            <w:pPr>
              <w:spacing w:before="60" w:after="60" w:line="240" w:lineRule="auto"/>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abs.</w:t>
            </w:r>
          </w:p>
        </w:tc>
        <w:tc>
          <w:tcPr>
            <w:tcW w:w="729" w:type="dxa"/>
            <w:shd w:val="clear" w:color="auto" w:fill="D6E3BC" w:themeFill="accent3" w:themeFillTint="66"/>
          </w:tcPr>
          <w:p w:rsidR="005F5B63" w:rsidRDefault="005F5B63" w:rsidP="00142A4B">
            <w:pPr>
              <w:spacing w:before="60" w:after="60" w:line="240" w:lineRule="auto"/>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in %</w:t>
            </w:r>
          </w:p>
        </w:tc>
      </w:tr>
      <w:tr w:rsidR="005F5B63" w:rsidRPr="001D276D" w:rsidTr="00142A4B">
        <w:trPr>
          <w:trHeight w:val="255"/>
        </w:trPr>
        <w:tc>
          <w:tcPr>
            <w:tcW w:w="4553" w:type="dxa"/>
            <w:shd w:val="clear" w:color="auto" w:fill="FFFFFF" w:themeFill="background1"/>
            <w:vAlign w:val="bottom"/>
            <w:hideMark/>
          </w:tcPr>
          <w:p w:rsidR="005F5B63" w:rsidRPr="00381E6E" w:rsidRDefault="005F5B63" w:rsidP="00142A4B">
            <w:pPr>
              <w:spacing w:before="60" w:after="60" w:line="240" w:lineRule="auto"/>
              <w:rPr>
                <w:rFonts w:ascii="Microsoft Sans Serif" w:hAnsi="Microsoft Sans Serif" w:cs="Microsoft Sans Serif"/>
                <w:sz w:val="18"/>
                <w:szCs w:val="20"/>
                <w:lang w:val="de-AT" w:eastAsia="de-AT"/>
              </w:rPr>
            </w:pPr>
            <w:r w:rsidRPr="00381E6E">
              <w:rPr>
                <w:rFonts w:ascii="Microsoft Sans Serif" w:hAnsi="Microsoft Sans Serif" w:cs="Microsoft Sans Serif"/>
                <w:sz w:val="18"/>
                <w:szCs w:val="20"/>
                <w:lang w:val="de-AT" w:eastAsia="de-AT"/>
              </w:rPr>
              <w:t>Die Normen des Gleichbehandlungsgesetzes und deren Inhalte sind mir für meine Arbeit ausreichend bekannt.</w:t>
            </w:r>
          </w:p>
        </w:tc>
        <w:tc>
          <w:tcPr>
            <w:tcW w:w="728" w:type="dxa"/>
            <w:shd w:val="clear" w:color="auto" w:fill="FFFFFF" w:themeFill="background1"/>
            <w:vAlign w:val="center"/>
          </w:tcPr>
          <w:p w:rsidR="005F5B63" w:rsidRPr="001D276D" w:rsidRDefault="005F5B63" w:rsidP="00142A4B">
            <w:pPr>
              <w:spacing w:before="60" w:after="60" w:line="240" w:lineRule="auto"/>
              <w:ind w:right="90"/>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100</w:t>
            </w:r>
          </w:p>
        </w:tc>
        <w:tc>
          <w:tcPr>
            <w:tcW w:w="728" w:type="dxa"/>
            <w:shd w:val="clear" w:color="auto" w:fill="FFFFFF" w:themeFill="background1"/>
            <w:vAlign w:val="center"/>
          </w:tcPr>
          <w:p w:rsidR="005F5B63" w:rsidRPr="001D276D" w:rsidRDefault="005F5B63" w:rsidP="00142A4B">
            <w:pPr>
              <w:spacing w:before="60" w:after="60" w:line="240" w:lineRule="auto"/>
              <w:ind w:right="90"/>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70%</w:t>
            </w:r>
          </w:p>
        </w:tc>
        <w:tc>
          <w:tcPr>
            <w:tcW w:w="728" w:type="dxa"/>
            <w:shd w:val="clear" w:color="auto" w:fill="FFFFFF" w:themeFill="background1"/>
            <w:vAlign w:val="center"/>
          </w:tcPr>
          <w:p w:rsidR="005F5B63" w:rsidRPr="001D276D" w:rsidRDefault="005F5B63" w:rsidP="00142A4B">
            <w:pPr>
              <w:spacing w:before="60" w:after="60" w:line="240" w:lineRule="auto"/>
              <w:ind w:right="90"/>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34</w:t>
            </w:r>
          </w:p>
        </w:tc>
        <w:tc>
          <w:tcPr>
            <w:tcW w:w="728" w:type="dxa"/>
            <w:shd w:val="clear" w:color="auto" w:fill="FFFFFF" w:themeFill="background1"/>
            <w:vAlign w:val="center"/>
          </w:tcPr>
          <w:p w:rsidR="005F5B63" w:rsidRPr="001D276D" w:rsidRDefault="005F5B63" w:rsidP="00142A4B">
            <w:pPr>
              <w:spacing w:before="60" w:after="60" w:line="240" w:lineRule="auto"/>
              <w:ind w:right="90"/>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25%</w:t>
            </w:r>
          </w:p>
        </w:tc>
        <w:tc>
          <w:tcPr>
            <w:tcW w:w="728" w:type="dxa"/>
            <w:shd w:val="clear" w:color="auto" w:fill="FFFFFF" w:themeFill="background1"/>
            <w:vAlign w:val="center"/>
          </w:tcPr>
          <w:p w:rsidR="005F5B63" w:rsidRPr="001D276D" w:rsidRDefault="005F5B63" w:rsidP="00142A4B">
            <w:pPr>
              <w:spacing w:before="60" w:after="60" w:line="240" w:lineRule="auto"/>
              <w:ind w:right="90"/>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8</w:t>
            </w:r>
          </w:p>
        </w:tc>
        <w:tc>
          <w:tcPr>
            <w:tcW w:w="729" w:type="dxa"/>
            <w:shd w:val="clear" w:color="auto" w:fill="FFFFFF" w:themeFill="background1"/>
            <w:vAlign w:val="center"/>
          </w:tcPr>
          <w:p w:rsidR="005F5B63" w:rsidRPr="001D276D" w:rsidRDefault="005F5B63" w:rsidP="00142A4B">
            <w:pPr>
              <w:spacing w:before="60" w:after="60" w:line="240" w:lineRule="auto"/>
              <w:ind w:right="90"/>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6%</w:t>
            </w:r>
          </w:p>
        </w:tc>
      </w:tr>
      <w:tr w:rsidR="005F5B63" w:rsidRPr="001D276D" w:rsidTr="00142A4B">
        <w:trPr>
          <w:trHeight w:val="255"/>
        </w:trPr>
        <w:tc>
          <w:tcPr>
            <w:tcW w:w="4553" w:type="dxa"/>
            <w:shd w:val="clear" w:color="auto" w:fill="FFFFFF" w:themeFill="background1"/>
            <w:vAlign w:val="bottom"/>
            <w:hideMark/>
          </w:tcPr>
          <w:p w:rsidR="005F5B63" w:rsidRPr="00381E6E" w:rsidRDefault="005F5B63" w:rsidP="00142A4B">
            <w:pPr>
              <w:spacing w:before="60" w:after="60" w:line="240" w:lineRule="auto"/>
              <w:rPr>
                <w:rFonts w:ascii="Microsoft Sans Serif" w:hAnsi="Microsoft Sans Serif" w:cs="Microsoft Sans Serif"/>
                <w:sz w:val="18"/>
                <w:szCs w:val="20"/>
                <w:lang w:val="de-AT" w:eastAsia="de-AT"/>
              </w:rPr>
            </w:pPr>
            <w:r w:rsidRPr="00381E6E">
              <w:rPr>
                <w:rFonts w:ascii="Microsoft Sans Serif" w:hAnsi="Microsoft Sans Serif" w:cs="Microsoft Sans Serif"/>
                <w:sz w:val="18"/>
                <w:szCs w:val="20"/>
                <w:lang w:val="de-AT" w:eastAsia="de-AT"/>
              </w:rPr>
              <w:t>Wurden Diskriminierung und Benachteiligung am Wohnungsmarkt in Ihrer Einrichtung im Verlauf der vergangenen Jahre in Dienst- oder Teambesprechu</w:t>
            </w:r>
            <w:r w:rsidRPr="00381E6E">
              <w:rPr>
                <w:rFonts w:ascii="Microsoft Sans Serif" w:hAnsi="Microsoft Sans Serif" w:cs="Microsoft Sans Serif"/>
                <w:sz w:val="18"/>
                <w:szCs w:val="20"/>
                <w:lang w:val="de-AT" w:eastAsia="de-AT"/>
              </w:rPr>
              <w:t>n</w:t>
            </w:r>
            <w:r w:rsidRPr="00381E6E">
              <w:rPr>
                <w:rFonts w:ascii="Microsoft Sans Serif" w:hAnsi="Microsoft Sans Serif" w:cs="Microsoft Sans Serif"/>
                <w:sz w:val="18"/>
                <w:szCs w:val="20"/>
                <w:lang w:val="de-AT" w:eastAsia="de-AT"/>
              </w:rPr>
              <w:t>gen diskutiert?</w:t>
            </w:r>
          </w:p>
        </w:tc>
        <w:tc>
          <w:tcPr>
            <w:tcW w:w="728" w:type="dxa"/>
            <w:shd w:val="clear" w:color="auto" w:fill="FFFFFF" w:themeFill="background1"/>
            <w:vAlign w:val="center"/>
          </w:tcPr>
          <w:p w:rsidR="005F5B63" w:rsidRPr="001D276D" w:rsidRDefault="005F5B63" w:rsidP="00142A4B">
            <w:pPr>
              <w:spacing w:before="60" w:after="60" w:line="240" w:lineRule="auto"/>
              <w:ind w:right="90"/>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99</w:t>
            </w:r>
          </w:p>
        </w:tc>
        <w:tc>
          <w:tcPr>
            <w:tcW w:w="728" w:type="dxa"/>
            <w:shd w:val="clear" w:color="auto" w:fill="FFFFFF" w:themeFill="background1"/>
            <w:vAlign w:val="center"/>
          </w:tcPr>
          <w:p w:rsidR="005F5B63" w:rsidRPr="001D276D" w:rsidRDefault="005F5B63" w:rsidP="00142A4B">
            <w:pPr>
              <w:spacing w:before="60" w:after="60" w:line="240" w:lineRule="auto"/>
              <w:ind w:right="90"/>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70%</w:t>
            </w:r>
          </w:p>
        </w:tc>
        <w:tc>
          <w:tcPr>
            <w:tcW w:w="728" w:type="dxa"/>
            <w:shd w:val="clear" w:color="auto" w:fill="FFFFFF" w:themeFill="background1"/>
            <w:vAlign w:val="center"/>
          </w:tcPr>
          <w:p w:rsidR="005F5B63" w:rsidRPr="001D276D" w:rsidRDefault="005F5B63" w:rsidP="00142A4B">
            <w:pPr>
              <w:spacing w:before="60" w:after="60" w:line="240" w:lineRule="auto"/>
              <w:ind w:right="90"/>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35</w:t>
            </w:r>
          </w:p>
        </w:tc>
        <w:tc>
          <w:tcPr>
            <w:tcW w:w="728" w:type="dxa"/>
            <w:shd w:val="clear" w:color="auto" w:fill="FFFFFF" w:themeFill="background1"/>
            <w:vAlign w:val="center"/>
          </w:tcPr>
          <w:p w:rsidR="005F5B63" w:rsidRPr="001D276D" w:rsidRDefault="005F5B63" w:rsidP="00142A4B">
            <w:pPr>
              <w:spacing w:before="60" w:after="60" w:line="240" w:lineRule="auto"/>
              <w:ind w:right="90"/>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25%</w:t>
            </w:r>
          </w:p>
        </w:tc>
        <w:tc>
          <w:tcPr>
            <w:tcW w:w="728" w:type="dxa"/>
            <w:shd w:val="clear" w:color="auto" w:fill="FFFFFF" w:themeFill="background1"/>
            <w:vAlign w:val="center"/>
          </w:tcPr>
          <w:p w:rsidR="005F5B63" w:rsidRPr="001D276D" w:rsidRDefault="005F5B63" w:rsidP="00142A4B">
            <w:pPr>
              <w:spacing w:before="60" w:after="60" w:line="240" w:lineRule="auto"/>
              <w:ind w:right="90"/>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8</w:t>
            </w:r>
          </w:p>
        </w:tc>
        <w:tc>
          <w:tcPr>
            <w:tcW w:w="729" w:type="dxa"/>
            <w:shd w:val="clear" w:color="auto" w:fill="FFFFFF" w:themeFill="background1"/>
            <w:vAlign w:val="center"/>
          </w:tcPr>
          <w:p w:rsidR="005F5B63" w:rsidRPr="001D276D" w:rsidRDefault="005F5B63" w:rsidP="00142A4B">
            <w:pPr>
              <w:spacing w:before="60" w:after="60" w:line="240" w:lineRule="auto"/>
              <w:ind w:right="90"/>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6%</w:t>
            </w:r>
          </w:p>
        </w:tc>
      </w:tr>
      <w:tr w:rsidR="005F5B63" w:rsidRPr="001D276D" w:rsidTr="00142A4B">
        <w:trPr>
          <w:trHeight w:val="255"/>
        </w:trPr>
        <w:tc>
          <w:tcPr>
            <w:tcW w:w="4553" w:type="dxa"/>
            <w:shd w:val="clear" w:color="auto" w:fill="FFFFFF" w:themeFill="background1"/>
            <w:vAlign w:val="bottom"/>
            <w:hideMark/>
          </w:tcPr>
          <w:p w:rsidR="005F5B63" w:rsidRPr="00381E6E" w:rsidRDefault="005F5B63" w:rsidP="00142A4B">
            <w:pPr>
              <w:spacing w:before="60" w:after="60" w:line="240" w:lineRule="auto"/>
              <w:rPr>
                <w:rFonts w:ascii="Microsoft Sans Serif" w:hAnsi="Microsoft Sans Serif" w:cs="Microsoft Sans Serif"/>
                <w:sz w:val="18"/>
                <w:szCs w:val="20"/>
                <w:lang w:val="de-AT" w:eastAsia="de-AT"/>
              </w:rPr>
            </w:pPr>
            <w:r w:rsidRPr="00381E6E">
              <w:rPr>
                <w:rFonts w:ascii="Microsoft Sans Serif" w:hAnsi="Microsoft Sans Serif" w:cs="Microsoft Sans Serif"/>
                <w:sz w:val="18"/>
                <w:szCs w:val="20"/>
                <w:lang w:val="de-AT" w:eastAsia="de-AT"/>
              </w:rPr>
              <w:t>Wurde der Umgang mit nicht-österreichischen Hau</w:t>
            </w:r>
            <w:r w:rsidRPr="00381E6E">
              <w:rPr>
                <w:rFonts w:ascii="Microsoft Sans Serif" w:hAnsi="Microsoft Sans Serif" w:cs="Microsoft Sans Serif"/>
                <w:sz w:val="18"/>
                <w:szCs w:val="20"/>
                <w:lang w:val="de-AT" w:eastAsia="de-AT"/>
              </w:rPr>
              <w:t>s</w:t>
            </w:r>
            <w:r w:rsidRPr="00381E6E">
              <w:rPr>
                <w:rFonts w:ascii="Microsoft Sans Serif" w:hAnsi="Microsoft Sans Serif" w:cs="Microsoft Sans Serif"/>
                <w:sz w:val="18"/>
                <w:szCs w:val="20"/>
                <w:lang w:val="de-AT" w:eastAsia="de-AT"/>
              </w:rPr>
              <w:t>halten bei der Wohnungsvergabe in betrieblichen For</w:t>
            </w:r>
            <w:r w:rsidRPr="00381E6E">
              <w:rPr>
                <w:rFonts w:ascii="Microsoft Sans Serif" w:hAnsi="Microsoft Sans Serif" w:cs="Microsoft Sans Serif"/>
                <w:sz w:val="18"/>
                <w:szCs w:val="20"/>
                <w:lang w:val="de-AT" w:eastAsia="de-AT"/>
              </w:rPr>
              <w:t>t</w:t>
            </w:r>
            <w:r w:rsidRPr="00381E6E">
              <w:rPr>
                <w:rFonts w:ascii="Microsoft Sans Serif" w:hAnsi="Microsoft Sans Serif" w:cs="Microsoft Sans Serif"/>
                <w:sz w:val="18"/>
                <w:szCs w:val="20"/>
                <w:lang w:val="de-AT" w:eastAsia="de-AT"/>
              </w:rPr>
              <w:t>bildungen behandelt?</w:t>
            </w:r>
          </w:p>
        </w:tc>
        <w:tc>
          <w:tcPr>
            <w:tcW w:w="728" w:type="dxa"/>
            <w:shd w:val="clear" w:color="auto" w:fill="FFFFFF" w:themeFill="background1"/>
            <w:vAlign w:val="center"/>
          </w:tcPr>
          <w:p w:rsidR="005F5B63" w:rsidRPr="001D276D" w:rsidRDefault="005F5B63" w:rsidP="00142A4B">
            <w:pPr>
              <w:spacing w:before="60" w:after="60" w:line="240" w:lineRule="auto"/>
              <w:ind w:right="90"/>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37</w:t>
            </w:r>
          </w:p>
        </w:tc>
        <w:tc>
          <w:tcPr>
            <w:tcW w:w="728" w:type="dxa"/>
            <w:shd w:val="clear" w:color="auto" w:fill="FFFFFF" w:themeFill="background1"/>
            <w:vAlign w:val="center"/>
          </w:tcPr>
          <w:p w:rsidR="005F5B63" w:rsidRPr="001D276D" w:rsidRDefault="005F5B63" w:rsidP="00142A4B">
            <w:pPr>
              <w:spacing w:before="60" w:after="60" w:line="240" w:lineRule="auto"/>
              <w:ind w:right="90"/>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26%</w:t>
            </w:r>
          </w:p>
        </w:tc>
        <w:tc>
          <w:tcPr>
            <w:tcW w:w="728" w:type="dxa"/>
            <w:shd w:val="clear" w:color="auto" w:fill="FFFFFF" w:themeFill="background1"/>
            <w:vAlign w:val="center"/>
          </w:tcPr>
          <w:p w:rsidR="005F5B63" w:rsidRPr="001D276D" w:rsidRDefault="005F5B63" w:rsidP="00142A4B">
            <w:pPr>
              <w:spacing w:before="60" w:after="60" w:line="240" w:lineRule="auto"/>
              <w:ind w:right="90"/>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85</w:t>
            </w:r>
          </w:p>
        </w:tc>
        <w:tc>
          <w:tcPr>
            <w:tcW w:w="728" w:type="dxa"/>
            <w:shd w:val="clear" w:color="auto" w:fill="FFFFFF" w:themeFill="background1"/>
            <w:vAlign w:val="center"/>
          </w:tcPr>
          <w:p w:rsidR="005F5B63" w:rsidRPr="001D276D" w:rsidRDefault="005F5B63" w:rsidP="00142A4B">
            <w:pPr>
              <w:spacing w:before="60" w:after="60" w:line="240" w:lineRule="auto"/>
              <w:ind w:right="90"/>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60%</w:t>
            </w:r>
          </w:p>
        </w:tc>
        <w:tc>
          <w:tcPr>
            <w:tcW w:w="728" w:type="dxa"/>
            <w:shd w:val="clear" w:color="auto" w:fill="FFFFFF" w:themeFill="background1"/>
            <w:vAlign w:val="center"/>
          </w:tcPr>
          <w:p w:rsidR="005F5B63" w:rsidRPr="001D276D" w:rsidRDefault="005F5B63" w:rsidP="00142A4B">
            <w:pPr>
              <w:spacing w:before="60" w:after="60" w:line="240" w:lineRule="auto"/>
              <w:ind w:right="90"/>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20</w:t>
            </w:r>
          </w:p>
        </w:tc>
        <w:tc>
          <w:tcPr>
            <w:tcW w:w="729" w:type="dxa"/>
            <w:shd w:val="clear" w:color="auto" w:fill="FFFFFF" w:themeFill="background1"/>
            <w:vAlign w:val="center"/>
          </w:tcPr>
          <w:p w:rsidR="005F5B63" w:rsidRPr="001D276D" w:rsidRDefault="005F5B63" w:rsidP="00142A4B">
            <w:pPr>
              <w:spacing w:before="60" w:after="60" w:line="240" w:lineRule="auto"/>
              <w:ind w:right="90"/>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14%</w:t>
            </w:r>
          </w:p>
        </w:tc>
      </w:tr>
      <w:tr w:rsidR="005F5B63" w:rsidRPr="001D276D" w:rsidTr="00142A4B">
        <w:trPr>
          <w:trHeight w:val="255"/>
        </w:trPr>
        <w:tc>
          <w:tcPr>
            <w:tcW w:w="4553" w:type="dxa"/>
            <w:shd w:val="clear" w:color="auto" w:fill="FFFFFF" w:themeFill="background1"/>
            <w:vAlign w:val="bottom"/>
            <w:hideMark/>
          </w:tcPr>
          <w:p w:rsidR="005F5B63" w:rsidRPr="00381E6E" w:rsidRDefault="005F5B63" w:rsidP="00142A4B">
            <w:pPr>
              <w:spacing w:before="60" w:after="60" w:line="240" w:lineRule="auto"/>
              <w:rPr>
                <w:rFonts w:ascii="Microsoft Sans Serif" w:hAnsi="Microsoft Sans Serif" w:cs="Microsoft Sans Serif"/>
                <w:sz w:val="18"/>
                <w:szCs w:val="20"/>
                <w:lang w:val="de-AT" w:eastAsia="de-AT"/>
              </w:rPr>
            </w:pPr>
            <w:r w:rsidRPr="00381E6E">
              <w:rPr>
                <w:rFonts w:ascii="Microsoft Sans Serif" w:hAnsi="Microsoft Sans Serif" w:cs="Microsoft Sans Serif"/>
                <w:sz w:val="18"/>
                <w:szCs w:val="20"/>
                <w:lang w:val="de-AT" w:eastAsia="de-AT"/>
              </w:rPr>
              <w:t>Wurden an Ihrer Dienststelle in den vergangenen Ja</w:t>
            </w:r>
            <w:r w:rsidRPr="00381E6E">
              <w:rPr>
                <w:rFonts w:ascii="Microsoft Sans Serif" w:hAnsi="Microsoft Sans Serif" w:cs="Microsoft Sans Serif"/>
                <w:sz w:val="18"/>
                <w:szCs w:val="20"/>
                <w:lang w:val="de-AT" w:eastAsia="de-AT"/>
              </w:rPr>
              <w:t>h</w:t>
            </w:r>
            <w:r w:rsidRPr="00381E6E">
              <w:rPr>
                <w:rFonts w:ascii="Microsoft Sans Serif" w:hAnsi="Microsoft Sans Serif" w:cs="Microsoft Sans Serif"/>
                <w:sz w:val="18"/>
                <w:szCs w:val="20"/>
                <w:lang w:val="de-AT" w:eastAsia="de-AT"/>
              </w:rPr>
              <w:t>ren Strategien für eine diskriminierungsfreie Wo</w:t>
            </w:r>
            <w:r w:rsidRPr="00381E6E">
              <w:rPr>
                <w:rFonts w:ascii="Microsoft Sans Serif" w:hAnsi="Microsoft Sans Serif" w:cs="Microsoft Sans Serif"/>
                <w:sz w:val="18"/>
                <w:szCs w:val="20"/>
                <w:lang w:val="de-AT" w:eastAsia="de-AT"/>
              </w:rPr>
              <w:t>h</w:t>
            </w:r>
            <w:r w:rsidRPr="00381E6E">
              <w:rPr>
                <w:rFonts w:ascii="Microsoft Sans Serif" w:hAnsi="Microsoft Sans Serif" w:cs="Microsoft Sans Serif"/>
                <w:sz w:val="18"/>
                <w:szCs w:val="20"/>
                <w:lang w:val="de-AT" w:eastAsia="de-AT"/>
              </w:rPr>
              <w:t>nungsvergabe erarbeitet und implementiert?</w:t>
            </w:r>
          </w:p>
        </w:tc>
        <w:tc>
          <w:tcPr>
            <w:tcW w:w="728" w:type="dxa"/>
            <w:shd w:val="clear" w:color="auto" w:fill="FFFFFF" w:themeFill="background1"/>
            <w:vAlign w:val="center"/>
          </w:tcPr>
          <w:p w:rsidR="005F5B63" w:rsidRPr="001D276D" w:rsidRDefault="005F5B63" w:rsidP="00142A4B">
            <w:pPr>
              <w:spacing w:before="60" w:after="60" w:line="240" w:lineRule="auto"/>
              <w:ind w:right="90"/>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35</w:t>
            </w:r>
          </w:p>
        </w:tc>
        <w:tc>
          <w:tcPr>
            <w:tcW w:w="728" w:type="dxa"/>
            <w:shd w:val="clear" w:color="auto" w:fill="FFFFFF" w:themeFill="background1"/>
            <w:vAlign w:val="center"/>
          </w:tcPr>
          <w:p w:rsidR="005F5B63" w:rsidRPr="001D276D" w:rsidRDefault="005F5B63" w:rsidP="00142A4B">
            <w:pPr>
              <w:spacing w:before="60" w:after="60" w:line="240" w:lineRule="auto"/>
              <w:ind w:right="90"/>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25%</w:t>
            </w:r>
          </w:p>
        </w:tc>
        <w:tc>
          <w:tcPr>
            <w:tcW w:w="728" w:type="dxa"/>
            <w:shd w:val="clear" w:color="auto" w:fill="FFFFFF" w:themeFill="background1"/>
            <w:vAlign w:val="center"/>
          </w:tcPr>
          <w:p w:rsidR="005F5B63" w:rsidRPr="001D276D" w:rsidRDefault="005F5B63" w:rsidP="00142A4B">
            <w:pPr>
              <w:spacing w:before="60" w:after="60" w:line="240" w:lineRule="auto"/>
              <w:ind w:right="90"/>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91</w:t>
            </w:r>
          </w:p>
        </w:tc>
        <w:tc>
          <w:tcPr>
            <w:tcW w:w="728" w:type="dxa"/>
            <w:shd w:val="clear" w:color="auto" w:fill="FFFFFF" w:themeFill="background1"/>
            <w:vAlign w:val="center"/>
          </w:tcPr>
          <w:p w:rsidR="005F5B63" w:rsidRPr="001D276D" w:rsidRDefault="005F5B63" w:rsidP="00142A4B">
            <w:pPr>
              <w:spacing w:before="60" w:after="60" w:line="240" w:lineRule="auto"/>
              <w:ind w:right="90"/>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64%</w:t>
            </w:r>
          </w:p>
        </w:tc>
        <w:tc>
          <w:tcPr>
            <w:tcW w:w="728" w:type="dxa"/>
            <w:shd w:val="clear" w:color="auto" w:fill="FFFFFF" w:themeFill="background1"/>
            <w:vAlign w:val="center"/>
          </w:tcPr>
          <w:p w:rsidR="005F5B63" w:rsidRPr="001D276D" w:rsidRDefault="005F5B63" w:rsidP="00142A4B">
            <w:pPr>
              <w:spacing w:before="60" w:after="60" w:line="240" w:lineRule="auto"/>
              <w:ind w:right="90"/>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16</w:t>
            </w:r>
          </w:p>
        </w:tc>
        <w:tc>
          <w:tcPr>
            <w:tcW w:w="729" w:type="dxa"/>
            <w:shd w:val="clear" w:color="auto" w:fill="FFFFFF" w:themeFill="background1"/>
            <w:vAlign w:val="center"/>
          </w:tcPr>
          <w:p w:rsidR="005F5B63" w:rsidRPr="001D276D" w:rsidRDefault="005F5B63" w:rsidP="00142A4B">
            <w:pPr>
              <w:spacing w:before="60" w:after="60" w:line="240" w:lineRule="auto"/>
              <w:ind w:right="90"/>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11%</w:t>
            </w:r>
          </w:p>
        </w:tc>
      </w:tr>
      <w:tr w:rsidR="005F5B63" w:rsidRPr="001D276D" w:rsidTr="00142A4B">
        <w:trPr>
          <w:trHeight w:val="255"/>
        </w:trPr>
        <w:tc>
          <w:tcPr>
            <w:tcW w:w="4553" w:type="dxa"/>
            <w:shd w:val="clear" w:color="auto" w:fill="FFFFFF" w:themeFill="background1"/>
            <w:vAlign w:val="bottom"/>
            <w:hideMark/>
          </w:tcPr>
          <w:p w:rsidR="005F5B63" w:rsidRPr="00381E6E" w:rsidRDefault="005F5B63" w:rsidP="00142A4B">
            <w:pPr>
              <w:spacing w:before="60" w:after="60" w:line="240" w:lineRule="auto"/>
              <w:rPr>
                <w:rFonts w:ascii="Microsoft Sans Serif" w:hAnsi="Microsoft Sans Serif" w:cs="Microsoft Sans Serif"/>
                <w:sz w:val="18"/>
                <w:szCs w:val="20"/>
                <w:lang w:val="de-AT" w:eastAsia="de-AT"/>
              </w:rPr>
            </w:pPr>
            <w:r w:rsidRPr="00381E6E">
              <w:rPr>
                <w:rFonts w:ascii="Microsoft Sans Serif" w:hAnsi="Microsoft Sans Serif" w:cs="Microsoft Sans Serif"/>
                <w:sz w:val="18"/>
                <w:szCs w:val="20"/>
                <w:lang w:val="de-AT" w:eastAsia="de-AT"/>
              </w:rPr>
              <w:t>Sind in Ihrer praktischen Arbeit in den vergangenen Jahren konkrete Beispiele diskutiert worden, die in Hinblick auf Strategien für eine diskriminierungsfreie Vergabe von Wohnungen relevant erscheinen?</w:t>
            </w:r>
          </w:p>
        </w:tc>
        <w:tc>
          <w:tcPr>
            <w:tcW w:w="728" w:type="dxa"/>
            <w:shd w:val="clear" w:color="auto" w:fill="FFFFFF" w:themeFill="background1"/>
            <w:vAlign w:val="center"/>
          </w:tcPr>
          <w:p w:rsidR="005F5B63" w:rsidRPr="001D276D" w:rsidRDefault="005F5B63" w:rsidP="00142A4B">
            <w:pPr>
              <w:spacing w:before="60" w:after="60" w:line="240" w:lineRule="auto"/>
              <w:ind w:right="90"/>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57</w:t>
            </w:r>
          </w:p>
        </w:tc>
        <w:tc>
          <w:tcPr>
            <w:tcW w:w="728" w:type="dxa"/>
            <w:shd w:val="clear" w:color="auto" w:fill="FFFFFF" w:themeFill="background1"/>
            <w:vAlign w:val="center"/>
          </w:tcPr>
          <w:p w:rsidR="005F5B63" w:rsidRPr="001D276D" w:rsidRDefault="005F5B63" w:rsidP="00142A4B">
            <w:pPr>
              <w:spacing w:before="60" w:after="60" w:line="240" w:lineRule="auto"/>
              <w:ind w:right="90"/>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40%</w:t>
            </w:r>
          </w:p>
        </w:tc>
        <w:tc>
          <w:tcPr>
            <w:tcW w:w="728" w:type="dxa"/>
            <w:shd w:val="clear" w:color="auto" w:fill="FFFFFF" w:themeFill="background1"/>
            <w:vAlign w:val="center"/>
          </w:tcPr>
          <w:p w:rsidR="005F5B63" w:rsidRPr="001D276D" w:rsidRDefault="005F5B63" w:rsidP="00142A4B">
            <w:pPr>
              <w:spacing w:before="60" w:after="60" w:line="240" w:lineRule="auto"/>
              <w:ind w:right="90"/>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70</w:t>
            </w:r>
          </w:p>
        </w:tc>
        <w:tc>
          <w:tcPr>
            <w:tcW w:w="728" w:type="dxa"/>
            <w:shd w:val="clear" w:color="auto" w:fill="FFFFFF" w:themeFill="background1"/>
            <w:vAlign w:val="center"/>
          </w:tcPr>
          <w:p w:rsidR="005F5B63" w:rsidRPr="001D276D" w:rsidRDefault="005F5B63" w:rsidP="00142A4B">
            <w:pPr>
              <w:spacing w:before="60" w:after="60" w:line="240" w:lineRule="auto"/>
              <w:ind w:right="90"/>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49%</w:t>
            </w:r>
          </w:p>
        </w:tc>
        <w:tc>
          <w:tcPr>
            <w:tcW w:w="728" w:type="dxa"/>
            <w:shd w:val="clear" w:color="auto" w:fill="FFFFFF" w:themeFill="background1"/>
            <w:vAlign w:val="center"/>
          </w:tcPr>
          <w:p w:rsidR="005F5B63" w:rsidRPr="001D276D" w:rsidRDefault="005F5B63" w:rsidP="00142A4B">
            <w:pPr>
              <w:spacing w:before="60" w:after="60" w:line="240" w:lineRule="auto"/>
              <w:ind w:right="90"/>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15</w:t>
            </w:r>
          </w:p>
        </w:tc>
        <w:tc>
          <w:tcPr>
            <w:tcW w:w="729" w:type="dxa"/>
            <w:shd w:val="clear" w:color="auto" w:fill="FFFFFF" w:themeFill="background1"/>
            <w:vAlign w:val="center"/>
          </w:tcPr>
          <w:p w:rsidR="005F5B63" w:rsidRPr="001D276D" w:rsidRDefault="005F5B63" w:rsidP="00142A4B">
            <w:pPr>
              <w:spacing w:before="60" w:after="60" w:line="240" w:lineRule="auto"/>
              <w:ind w:right="90"/>
              <w:jc w:val="right"/>
              <w:rPr>
                <w:rFonts w:ascii="Microsoft Sans Serif" w:hAnsi="Microsoft Sans Serif" w:cs="Microsoft Sans Serif"/>
                <w:sz w:val="20"/>
                <w:szCs w:val="20"/>
                <w:lang w:val="de-AT" w:eastAsia="de-AT"/>
              </w:rPr>
            </w:pPr>
            <w:r>
              <w:rPr>
                <w:rFonts w:ascii="Microsoft Sans Serif" w:hAnsi="Microsoft Sans Serif" w:cs="Microsoft Sans Serif"/>
                <w:sz w:val="20"/>
                <w:szCs w:val="20"/>
                <w:lang w:val="de-AT" w:eastAsia="de-AT"/>
              </w:rPr>
              <w:t>11%</w:t>
            </w:r>
          </w:p>
        </w:tc>
      </w:tr>
    </w:tbl>
    <w:p w:rsidR="005F5B63" w:rsidRPr="003D3C09" w:rsidRDefault="005F5B63" w:rsidP="005F5B63"/>
    <w:p w:rsidR="005F5B63" w:rsidRDefault="005F5B63" w:rsidP="00FF2B86">
      <w:pPr>
        <w:pStyle w:val="Untertitel"/>
      </w:pPr>
      <w:r>
        <w:lastRenderedPageBreak/>
        <w:t>Tab. 35:</w:t>
      </w:r>
      <w:r>
        <w:tab/>
      </w:r>
      <w:r w:rsidRPr="001D276D">
        <w:t>Zur Aktualität des Themas "Equality in Housing"</w:t>
      </w:r>
      <w:r>
        <w:t>, nach der Art der Ei</w:t>
      </w:r>
      <w:r>
        <w:t>n</w:t>
      </w:r>
      <w:r>
        <w:t>richtung, Zustimmung in Prozent</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612"/>
        <w:gridCol w:w="1132"/>
        <w:gridCol w:w="1133"/>
        <w:gridCol w:w="1132"/>
        <w:gridCol w:w="1133"/>
      </w:tblGrid>
      <w:tr w:rsidR="005F5B63" w:rsidRPr="006D2D07" w:rsidTr="00142A4B">
        <w:trPr>
          <w:trHeight w:val="255"/>
        </w:trPr>
        <w:tc>
          <w:tcPr>
            <w:tcW w:w="4612" w:type="dxa"/>
            <w:tcBorders>
              <w:top w:val="nil"/>
              <w:left w:val="nil"/>
            </w:tcBorders>
            <w:shd w:val="clear" w:color="auto" w:fill="FFFFFF" w:themeFill="background1"/>
            <w:vAlign w:val="bottom"/>
            <w:hideMark/>
          </w:tcPr>
          <w:p w:rsidR="005F5B63" w:rsidRPr="003E5B1B" w:rsidRDefault="005F5B63" w:rsidP="00142A4B">
            <w:pPr>
              <w:spacing w:before="60" w:after="60" w:line="240" w:lineRule="auto"/>
              <w:rPr>
                <w:rFonts w:cs="Tahoma"/>
                <w:sz w:val="18"/>
                <w:szCs w:val="20"/>
                <w:lang w:eastAsia="de-AT"/>
              </w:rPr>
            </w:pPr>
          </w:p>
        </w:tc>
        <w:tc>
          <w:tcPr>
            <w:tcW w:w="1132" w:type="dxa"/>
            <w:tcBorders>
              <w:left w:val="nil"/>
            </w:tcBorders>
            <w:shd w:val="clear" w:color="auto" w:fill="D6E3BC" w:themeFill="accent3" w:themeFillTint="66"/>
          </w:tcPr>
          <w:p w:rsidR="005F5B63" w:rsidRPr="006D2D07" w:rsidRDefault="005F5B63" w:rsidP="00142A4B">
            <w:pPr>
              <w:spacing w:before="60" w:after="60" w:line="240" w:lineRule="auto"/>
              <w:rPr>
                <w:rFonts w:cs="Tahoma"/>
                <w:sz w:val="16"/>
                <w:szCs w:val="20"/>
                <w:lang w:eastAsia="de-AT"/>
              </w:rPr>
            </w:pPr>
            <w:r w:rsidRPr="006D2D07">
              <w:rPr>
                <w:rFonts w:cs="Tahoma"/>
                <w:sz w:val="16"/>
                <w:szCs w:val="20"/>
                <w:lang w:eastAsia="de-AT"/>
              </w:rPr>
              <w:t>Wohnungs-amt</w:t>
            </w:r>
          </w:p>
        </w:tc>
        <w:tc>
          <w:tcPr>
            <w:tcW w:w="1133" w:type="dxa"/>
            <w:tcBorders>
              <w:left w:val="nil"/>
            </w:tcBorders>
            <w:shd w:val="clear" w:color="auto" w:fill="D6E3BC" w:themeFill="accent3" w:themeFillTint="66"/>
          </w:tcPr>
          <w:p w:rsidR="005F5B63" w:rsidRPr="006D2D07" w:rsidRDefault="005F5B63" w:rsidP="00142A4B">
            <w:pPr>
              <w:spacing w:before="60" w:after="60" w:line="240" w:lineRule="auto"/>
              <w:rPr>
                <w:rFonts w:cs="Tahoma"/>
                <w:sz w:val="16"/>
                <w:szCs w:val="20"/>
                <w:lang w:eastAsia="de-AT"/>
              </w:rPr>
            </w:pPr>
            <w:r w:rsidRPr="006D2D07">
              <w:rPr>
                <w:rFonts w:cs="Tahoma"/>
                <w:sz w:val="16"/>
                <w:szCs w:val="20"/>
                <w:lang w:eastAsia="de-AT"/>
              </w:rPr>
              <w:t>gemeinnützi-ger Bauträger</w:t>
            </w:r>
          </w:p>
        </w:tc>
        <w:tc>
          <w:tcPr>
            <w:tcW w:w="1132" w:type="dxa"/>
            <w:tcBorders>
              <w:left w:val="nil"/>
            </w:tcBorders>
            <w:shd w:val="clear" w:color="auto" w:fill="D6E3BC" w:themeFill="accent3" w:themeFillTint="66"/>
          </w:tcPr>
          <w:p w:rsidR="005F5B63" w:rsidRPr="006D2D07" w:rsidRDefault="005F5B63" w:rsidP="00142A4B">
            <w:pPr>
              <w:spacing w:before="60" w:after="60" w:line="240" w:lineRule="auto"/>
              <w:rPr>
                <w:rFonts w:cs="Tahoma"/>
                <w:sz w:val="16"/>
                <w:szCs w:val="20"/>
                <w:lang w:eastAsia="de-AT"/>
              </w:rPr>
            </w:pPr>
            <w:r w:rsidRPr="006D2D07">
              <w:rPr>
                <w:rFonts w:cs="Tahoma"/>
                <w:sz w:val="16"/>
                <w:szCs w:val="20"/>
                <w:lang w:eastAsia="de-AT"/>
              </w:rPr>
              <w:t>privater Bauträger</w:t>
            </w:r>
          </w:p>
        </w:tc>
        <w:tc>
          <w:tcPr>
            <w:tcW w:w="1133" w:type="dxa"/>
            <w:tcBorders>
              <w:left w:val="nil"/>
            </w:tcBorders>
            <w:shd w:val="clear" w:color="auto" w:fill="D6E3BC" w:themeFill="accent3" w:themeFillTint="66"/>
          </w:tcPr>
          <w:p w:rsidR="005F5B63" w:rsidRPr="006D2D07" w:rsidRDefault="005F5B63" w:rsidP="00142A4B">
            <w:pPr>
              <w:spacing w:before="60" w:after="60" w:line="240" w:lineRule="auto"/>
              <w:rPr>
                <w:rFonts w:cs="Tahoma"/>
                <w:sz w:val="16"/>
                <w:szCs w:val="20"/>
                <w:lang w:eastAsia="de-AT"/>
              </w:rPr>
            </w:pPr>
            <w:r w:rsidRPr="006D2D07">
              <w:rPr>
                <w:rFonts w:cs="Tahoma"/>
                <w:sz w:val="16"/>
                <w:szCs w:val="20"/>
                <w:lang w:eastAsia="de-AT"/>
              </w:rPr>
              <w:t>Beratungs-einrichtung</w:t>
            </w:r>
          </w:p>
        </w:tc>
      </w:tr>
      <w:tr w:rsidR="005F5B63" w:rsidRPr="006D2D07" w:rsidTr="00142A4B">
        <w:trPr>
          <w:trHeight w:val="255"/>
        </w:trPr>
        <w:tc>
          <w:tcPr>
            <w:tcW w:w="4612" w:type="dxa"/>
            <w:shd w:val="clear" w:color="auto" w:fill="FFFFFF" w:themeFill="background1"/>
            <w:vAlign w:val="bottom"/>
            <w:hideMark/>
          </w:tcPr>
          <w:p w:rsidR="005F5B63" w:rsidRPr="00381E6E" w:rsidRDefault="005F5B63" w:rsidP="00142A4B">
            <w:pPr>
              <w:spacing w:before="60" w:after="60" w:line="240" w:lineRule="auto"/>
              <w:rPr>
                <w:rFonts w:ascii="Microsoft Sans Serif" w:hAnsi="Microsoft Sans Serif" w:cs="Microsoft Sans Serif"/>
                <w:sz w:val="18"/>
                <w:szCs w:val="20"/>
                <w:lang w:val="de-AT" w:eastAsia="de-AT"/>
              </w:rPr>
            </w:pPr>
            <w:r w:rsidRPr="00381E6E">
              <w:rPr>
                <w:rFonts w:ascii="Microsoft Sans Serif" w:hAnsi="Microsoft Sans Serif" w:cs="Microsoft Sans Serif"/>
                <w:sz w:val="18"/>
                <w:szCs w:val="20"/>
                <w:lang w:val="de-AT" w:eastAsia="de-AT"/>
              </w:rPr>
              <w:t>Die Normen des Gleichbehandlungsgesetzes und deren Inhalte sind mir für meine Arbeit ausreichend bekannt.</w:t>
            </w:r>
          </w:p>
        </w:tc>
        <w:tc>
          <w:tcPr>
            <w:tcW w:w="1132"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77%</w:t>
            </w:r>
          </w:p>
        </w:tc>
        <w:tc>
          <w:tcPr>
            <w:tcW w:w="1133"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79%</w:t>
            </w:r>
          </w:p>
        </w:tc>
        <w:tc>
          <w:tcPr>
            <w:tcW w:w="1132"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73%</w:t>
            </w:r>
          </w:p>
        </w:tc>
        <w:tc>
          <w:tcPr>
            <w:tcW w:w="1133"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69%</w:t>
            </w:r>
          </w:p>
        </w:tc>
      </w:tr>
      <w:tr w:rsidR="005F5B63" w:rsidRPr="006D2D07" w:rsidTr="00142A4B">
        <w:trPr>
          <w:trHeight w:val="255"/>
        </w:trPr>
        <w:tc>
          <w:tcPr>
            <w:tcW w:w="4612" w:type="dxa"/>
            <w:shd w:val="clear" w:color="auto" w:fill="FFFFFF" w:themeFill="background1"/>
            <w:vAlign w:val="bottom"/>
            <w:hideMark/>
          </w:tcPr>
          <w:p w:rsidR="005F5B63" w:rsidRPr="00381E6E" w:rsidRDefault="005F5B63" w:rsidP="00142A4B">
            <w:pPr>
              <w:spacing w:before="60" w:after="60" w:line="240" w:lineRule="auto"/>
              <w:rPr>
                <w:rFonts w:ascii="Microsoft Sans Serif" w:hAnsi="Microsoft Sans Serif" w:cs="Microsoft Sans Serif"/>
                <w:sz w:val="18"/>
                <w:szCs w:val="20"/>
                <w:lang w:val="de-AT" w:eastAsia="de-AT"/>
              </w:rPr>
            </w:pPr>
            <w:r w:rsidRPr="00381E6E">
              <w:rPr>
                <w:rFonts w:ascii="Microsoft Sans Serif" w:hAnsi="Microsoft Sans Serif" w:cs="Microsoft Sans Serif"/>
                <w:sz w:val="18"/>
                <w:szCs w:val="20"/>
                <w:lang w:val="de-AT" w:eastAsia="de-AT"/>
              </w:rPr>
              <w:t>Wurden Diskriminierung und Benachteiligung am Wo</w:t>
            </w:r>
            <w:r w:rsidRPr="00381E6E">
              <w:rPr>
                <w:rFonts w:ascii="Microsoft Sans Serif" w:hAnsi="Microsoft Sans Serif" w:cs="Microsoft Sans Serif"/>
                <w:sz w:val="18"/>
                <w:szCs w:val="20"/>
                <w:lang w:val="de-AT" w:eastAsia="de-AT"/>
              </w:rPr>
              <w:t>h</w:t>
            </w:r>
            <w:r w:rsidRPr="00381E6E">
              <w:rPr>
                <w:rFonts w:ascii="Microsoft Sans Serif" w:hAnsi="Microsoft Sans Serif" w:cs="Microsoft Sans Serif"/>
                <w:sz w:val="18"/>
                <w:szCs w:val="20"/>
                <w:lang w:val="de-AT" w:eastAsia="de-AT"/>
              </w:rPr>
              <w:t>nungsmarkt in Ihrer Einrichtung im Verlauf der verga</w:t>
            </w:r>
            <w:r w:rsidRPr="00381E6E">
              <w:rPr>
                <w:rFonts w:ascii="Microsoft Sans Serif" w:hAnsi="Microsoft Sans Serif" w:cs="Microsoft Sans Serif"/>
                <w:sz w:val="18"/>
                <w:szCs w:val="20"/>
                <w:lang w:val="de-AT" w:eastAsia="de-AT"/>
              </w:rPr>
              <w:t>n</w:t>
            </w:r>
            <w:r w:rsidRPr="00381E6E">
              <w:rPr>
                <w:rFonts w:ascii="Microsoft Sans Serif" w:hAnsi="Microsoft Sans Serif" w:cs="Microsoft Sans Serif"/>
                <w:sz w:val="18"/>
                <w:szCs w:val="20"/>
                <w:lang w:val="de-AT" w:eastAsia="de-AT"/>
              </w:rPr>
              <w:t>genen Jahre in Dienst- oder Teambesprechungen di</w:t>
            </w:r>
            <w:r w:rsidRPr="00381E6E">
              <w:rPr>
                <w:rFonts w:ascii="Microsoft Sans Serif" w:hAnsi="Microsoft Sans Serif" w:cs="Microsoft Sans Serif"/>
                <w:sz w:val="18"/>
                <w:szCs w:val="20"/>
                <w:lang w:val="de-AT" w:eastAsia="de-AT"/>
              </w:rPr>
              <w:t>s</w:t>
            </w:r>
            <w:r w:rsidRPr="00381E6E">
              <w:rPr>
                <w:rFonts w:ascii="Microsoft Sans Serif" w:hAnsi="Microsoft Sans Serif" w:cs="Microsoft Sans Serif"/>
                <w:sz w:val="18"/>
                <w:szCs w:val="20"/>
                <w:lang w:val="de-AT" w:eastAsia="de-AT"/>
              </w:rPr>
              <w:t>kutiert?</w:t>
            </w:r>
          </w:p>
        </w:tc>
        <w:tc>
          <w:tcPr>
            <w:tcW w:w="1132"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72%</w:t>
            </w:r>
          </w:p>
        </w:tc>
        <w:tc>
          <w:tcPr>
            <w:tcW w:w="1133"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64%</w:t>
            </w:r>
          </w:p>
        </w:tc>
        <w:tc>
          <w:tcPr>
            <w:tcW w:w="1132"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47%</w:t>
            </w:r>
          </w:p>
        </w:tc>
        <w:tc>
          <w:tcPr>
            <w:tcW w:w="1133"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71%</w:t>
            </w:r>
          </w:p>
        </w:tc>
      </w:tr>
      <w:tr w:rsidR="005F5B63" w:rsidRPr="006D2D07" w:rsidTr="00142A4B">
        <w:trPr>
          <w:trHeight w:val="255"/>
        </w:trPr>
        <w:tc>
          <w:tcPr>
            <w:tcW w:w="4612" w:type="dxa"/>
            <w:shd w:val="clear" w:color="auto" w:fill="FFFFFF" w:themeFill="background1"/>
            <w:vAlign w:val="bottom"/>
            <w:hideMark/>
          </w:tcPr>
          <w:p w:rsidR="005F5B63" w:rsidRPr="00381E6E" w:rsidRDefault="005F5B63" w:rsidP="00142A4B">
            <w:pPr>
              <w:spacing w:before="60" w:after="60" w:line="240" w:lineRule="auto"/>
              <w:rPr>
                <w:rFonts w:ascii="Microsoft Sans Serif" w:hAnsi="Microsoft Sans Serif" w:cs="Microsoft Sans Serif"/>
                <w:sz w:val="18"/>
                <w:szCs w:val="20"/>
                <w:lang w:val="de-AT" w:eastAsia="de-AT"/>
              </w:rPr>
            </w:pPr>
            <w:r w:rsidRPr="00381E6E">
              <w:rPr>
                <w:rFonts w:ascii="Microsoft Sans Serif" w:hAnsi="Microsoft Sans Serif" w:cs="Microsoft Sans Serif"/>
                <w:sz w:val="18"/>
                <w:szCs w:val="20"/>
                <w:lang w:val="de-AT" w:eastAsia="de-AT"/>
              </w:rPr>
              <w:t>Wurde der Umgang mit nicht-österreichischen Hausha</w:t>
            </w:r>
            <w:r w:rsidRPr="00381E6E">
              <w:rPr>
                <w:rFonts w:ascii="Microsoft Sans Serif" w:hAnsi="Microsoft Sans Serif" w:cs="Microsoft Sans Serif"/>
                <w:sz w:val="18"/>
                <w:szCs w:val="20"/>
                <w:lang w:val="de-AT" w:eastAsia="de-AT"/>
              </w:rPr>
              <w:t>l</w:t>
            </w:r>
            <w:r w:rsidRPr="00381E6E">
              <w:rPr>
                <w:rFonts w:ascii="Microsoft Sans Serif" w:hAnsi="Microsoft Sans Serif" w:cs="Microsoft Sans Serif"/>
                <w:sz w:val="18"/>
                <w:szCs w:val="20"/>
                <w:lang w:val="de-AT" w:eastAsia="de-AT"/>
              </w:rPr>
              <w:t>ten bei der Wohnungsvergabe in betrieblichen Fortbi</w:t>
            </w:r>
            <w:r w:rsidRPr="00381E6E">
              <w:rPr>
                <w:rFonts w:ascii="Microsoft Sans Serif" w:hAnsi="Microsoft Sans Serif" w:cs="Microsoft Sans Serif"/>
                <w:sz w:val="18"/>
                <w:szCs w:val="20"/>
                <w:lang w:val="de-AT" w:eastAsia="de-AT"/>
              </w:rPr>
              <w:t>l</w:t>
            </w:r>
            <w:r w:rsidRPr="00381E6E">
              <w:rPr>
                <w:rFonts w:ascii="Microsoft Sans Serif" w:hAnsi="Microsoft Sans Serif" w:cs="Microsoft Sans Serif"/>
                <w:sz w:val="18"/>
                <w:szCs w:val="20"/>
                <w:lang w:val="de-AT" w:eastAsia="de-AT"/>
              </w:rPr>
              <w:t>dungen behandelt?</w:t>
            </w:r>
          </w:p>
        </w:tc>
        <w:tc>
          <w:tcPr>
            <w:tcW w:w="1132"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28%</w:t>
            </w:r>
          </w:p>
        </w:tc>
        <w:tc>
          <w:tcPr>
            <w:tcW w:w="1133"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39%</w:t>
            </w:r>
          </w:p>
        </w:tc>
        <w:tc>
          <w:tcPr>
            <w:tcW w:w="1132"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20%</w:t>
            </w:r>
          </w:p>
        </w:tc>
        <w:tc>
          <w:tcPr>
            <w:tcW w:w="1133" w:type="dxa"/>
            <w:shd w:val="clear" w:color="auto" w:fill="FFFFFF" w:themeFill="background1"/>
            <w:vAlign w:val="center"/>
          </w:tcPr>
          <w:p w:rsidR="005F5B63" w:rsidRPr="006D2D07"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20%</w:t>
            </w:r>
          </w:p>
        </w:tc>
      </w:tr>
      <w:tr w:rsidR="005F5B63" w:rsidRPr="006D2D07" w:rsidTr="00142A4B">
        <w:trPr>
          <w:trHeight w:val="255"/>
        </w:trPr>
        <w:tc>
          <w:tcPr>
            <w:tcW w:w="4612" w:type="dxa"/>
            <w:shd w:val="clear" w:color="auto" w:fill="FFFFFF" w:themeFill="background1"/>
            <w:vAlign w:val="bottom"/>
          </w:tcPr>
          <w:p w:rsidR="005F5B63" w:rsidRPr="00381E6E" w:rsidRDefault="005F5B63" w:rsidP="00142A4B">
            <w:pPr>
              <w:spacing w:before="60" w:after="60" w:line="240" w:lineRule="auto"/>
              <w:rPr>
                <w:rFonts w:ascii="Microsoft Sans Serif" w:hAnsi="Microsoft Sans Serif" w:cs="Microsoft Sans Serif"/>
                <w:sz w:val="18"/>
                <w:szCs w:val="20"/>
                <w:lang w:val="de-AT" w:eastAsia="de-AT"/>
              </w:rPr>
            </w:pPr>
            <w:r w:rsidRPr="00381E6E">
              <w:rPr>
                <w:rFonts w:ascii="Microsoft Sans Serif" w:hAnsi="Microsoft Sans Serif" w:cs="Microsoft Sans Serif"/>
                <w:sz w:val="18"/>
                <w:szCs w:val="20"/>
                <w:lang w:val="de-AT" w:eastAsia="de-AT"/>
              </w:rPr>
              <w:t>Wurden an Ihrer Dienststelle in den vergangenen Ja</w:t>
            </w:r>
            <w:r w:rsidRPr="00381E6E">
              <w:rPr>
                <w:rFonts w:ascii="Microsoft Sans Serif" w:hAnsi="Microsoft Sans Serif" w:cs="Microsoft Sans Serif"/>
                <w:sz w:val="18"/>
                <w:szCs w:val="20"/>
                <w:lang w:val="de-AT" w:eastAsia="de-AT"/>
              </w:rPr>
              <w:t>h</w:t>
            </w:r>
            <w:r w:rsidRPr="00381E6E">
              <w:rPr>
                <w:rFonts w:ascii="Microsoft Sans Serif" w:hAnsi="Microsoft Sans Serif" w:cs="Microsoft Sans Serif"/>
                <w:sz w:val="18"/>
                <w:szCs w:val="20"/>
                <w:lang w:val="de-AT" w:eastAsia="de-AT"/>
              </w:rPr>
              <w:t>ren Strategien für eine diskriminierungsfreie Wo</w:t>
            </w:r>
            <w:r w:rsidRPr="00381E6E">
              <w:rPr>
                <w:rFonts w:ascii="Microsoft Sans Serif" w:hAnsi="Microsoft Sans Serif" w:cs="Microsoft Sans Serif"/>
                <w:sz w:val="18"/>
                <w:szCs w:val="20"/>
                <w:lang w:val="de-AT" w:eastAsia="de-AT"/>
              </w:rPr>
              <w:t>h</w:t>
            </w:r>
            <w:r w:rsidRPr="00381E6E">
              <w:rPr>
                <w:rFonts w:ascii="Microsoft Sans Serif" w:hAnsi="Microsoft Sans Serif" w:cs="Microsoft Sans Serif"/>
                <w:sz w:val="18"/>
                <w:szCs w:val="20"/>
                <w:lang w:val="de-AT" w:eastAsia="de-AT"/>
              </w:rPr>
              <w:t>nungsvergabe erarbeitet und implementiert?</w:t>
            </w:r>
          </w:p>
        </w:tc>
        <w:tc>
          <w:tcPr>
            <w:tcW w:w="1132" w:type="dxa"/>
            <w:shd w:val="clear" w:color="auto" w:fill="FFFFFF" w:themeFill="background1"/>
            <w:vAlign w:val="center"/>
          </w:tcPr>
          <w:p w:rsidR="005F5B63"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46%</w:t>
            </w:r>
          </w:p>
        </w:tc>
        <w:tc>
          <w:tcPr>
            <w:tcW w:w="1133" w:type="dxa"/>
            <w:shd w:val="clear" w:color="auto" w:fill="FFFFFF" w:themeFill="background1"/>
            <w:vAlign w:val="center"/>
          </w:tcPr>
          <w:p w:rsidR="005F5B63"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25%</w:t>
            </w:r>
          </w:p>
        </w:tc>
        <w:tc>
          <w:tcPr>
            <w:tcW w:w="1132" w:type="dxa"/>
            <w:shd w:val="clear" w:color="auto" w:fill="FFFFFF" w:themeFill="background1"/>
            <w:vAlign w:val="center"/>
          </w:tcPr>
          <w:p w:rsidR="005F5B63"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27%</w:t>
            </w:r>
          </w:p>
        </w:tc>
        <w:tc>
          <w:tcPr>
            <w:tcW w:w="1133" w:type="dxa"/>
            <w:shd w:val="clear" w:color="auto" w:fill="FFFFFF" w:themeFill="background1"/>
            <w:vAlign w:val="center"/>
          </w:tcPr>
          <w:p w:rsidR="005F5B63"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24%</w:t>
            </w:r>
          </w:p>
        </w:tc>
      </w:tr>
      <w:tr w:rsidR="005F5B63" w:rsidRPr="006D2D07" w:rsidTr="00142A4B">
        <w:trPr>
          <w:trHeight w:val="255"/>
        </w:trPr>
        <w:tc>
          <w:tcPr>
            <w:tcW w:w="4612" w:type="dxa"/>
            <w:shd w:val="clear" w:color="auto" w:fill="FFFFFF" w:themeFill="background1"/>
            <w:vAlign w:val="bottom"/>
          </w:tcPr>
          <w:p w:rsidR="005F5B63" w:rsidRPr="00381E6E" w:rsidRDefault="005F5B63" w:rsidP="00142A4B">
            <w:pPr>
              <w:spacing w:before="60" w:after="60" w:line="240" w:lineRule="auto"/>
              <w:rPr>
                <w:rFonts w:ascii="Microsoft Sans Serif" w:hAnsi="Microsoft Sans Serif" w:cs="Microsoft Sans Serif"/>
                <w:sz w:val="18"/>
                <w:szCs w:val="20"/>
                <w:lang w:val="de-AT" w:eastAsia="de-AT"/>
              </w:rPr>
            </w:pPr>
            <w:r w:rsidRPr="00381E6E">
              <w:rPr>
                <w:rFonts w:ascii="Microsoft Sans Serif" w:hAnsi="Microsoft Sans Serif" w:cs="Microsoft Sans Serif"/>
                <w:sz w:val="18"/>
                <w:szCs w:val="20"/>
                <w:lang w:val="de-AT" w:eastAsia="de-AT"/>
              </w:rPr>
              <w:t>Sind in Ihrer praktischen Arbeit in den vergangenen Jahren konkrete Beispiele diskutiert worden, die in Hinblick auf Strategien für eine diskriminierungsfreie Vergabe von Wohnungen relevant erscheinen?</w:t>
            </w:r>
          </w:p>
        </w:tc>
        <w:tc>
          <w:tcPr>
            <w:tcW w:w="1132" w:type="dxa"/>
            <w:shd w:val="clear" w:color="auto" w:fill="FFFFFF" w:themeFill="background1"/>
            <w:vAlign w:val="center"/>
          </w:tcPr>
          <w:p w:rsidR="005F5B63"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34%</w:t>
            </w:r>
          </w:p>
        </w:tc>
        <w:tc>
          <w:tcPr>
            <w:tcW w:w="1133" w:type="dxa"/>
            <w:shd w:val="clear" w:color="auto" w:fill="FFFFFF" w:themeFill="background1"/>
            <w:vAlign w:val="center"/>
          </w:tcPr>
          <w:p w:rsidR="005F5B63"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26%</w:t>
            </w:r>
          </w:p>
        </w:tc>
        <w:tc>
          <w:tcPr>
            <w:tcW w:w="1132" w:type="dxa"/>
            <w:shd w:val="clear" w:color="auto" w:fill="FFFFFF" w:themeFill="background1"/>
            <w:vAlign w:val="center"/>
          </w:tcPr>
          <w:p w:rsidR="005F5B63"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40%</w:t>
            </w:r>
          </w:p>
        </w:tc>
        <w:tc>
          <w:tcPr>
            <w:tcW w:w="1133" w:type="dxa"/>
            <w:shd w:val="clear" w:color="auto" w:fill="FFFFFF" w:themeFill="background1"/>
            <w:vAlign w:val="center"/>
          </w:tcPr>
          <w:p w:rsidR="005F5B63" w:rsidRDefault="005F5B63" w:rsidP="00142A4B">
            <w:pPr>
              <w:spacing w:before="60" w:after="60" w:line="240" w:lineRule="auto"/>
              <w:ind w:right="145"/>
              <w:jc w:val="right"/>
              <w:rPr>
                <w:rFonts w:cs="Tahoma"/>
                <w:sz w:val="16"/>
                <w:szCs w:val="20"/>
                <w:lang w:val="de-AT" w:eastAsia="de-AT"/>
              </w:rPr>
            </w:pPr>
            <w:r>
              <w:rPr>
                <w:rFonts w:cs="Tahoma"/>
                <w:sz w:val="16"/>
                <w:szCs w:val="20"/>
                <w:lang w:val="de-AT" w:eastAsia="de-AT"/>
              </w:rPr>
              <w:t>40%</w:t>
            </w:r>
          </w:p>
        </w:tc>
      </w:tr>
    </w:tbl>
    <w:p w:rsidR="005F5B63" w:rsidRPr="00381E6E" w:rsidRDefault="005F5B63" w:rsidP="005F5B63"/>
    <w:p w:rsidR="009A77F5" w:rsidRDefault="000D5266" w:rsidP="009A77F5">
      <w:pPr>
        <w:spacing w:before="180" w:after="240" w:line="336" w:lineRule="auto"/>
        <w:jc w:val="center"/>
      </w:pPr>
      <w:r>
        <w:br w:type="page"/>
      </w:r>
    </w:p>
    <w:p w:rsidR="000D5266" w:rsidRPr="009A77F5" w:rsidRDefault="00A4355C" w:rsidP="0039584A">
      <w:pPr>
        <w:pStyle w:val="berschrift3"/>
      </w:pPr>
      <w:r>
        <w:lastRenderedPageBreak/>
        <w:t>8.</w:t>
      </w:r>
      <w:r w:rsidR="000D5266" w:rsidRPr="009A77F5">
        <w:t xml:space="preserve">2 </w:t>
      </w:r>
      <w:r w:rsidR="00E03A3C">
        <w:tab/>
      </w:r>
      <w:r>
        <w:t>Befragte und an Gesprächsrunden mitwirkende</w:t>
      </w:r>
      <w:r w:rsidR="000D5266" w:rsidRPr="009A77F5">
        <w:t xml:space="preserve"> ExpertInnen</w:t>
      </w:r>
      <w:r w:rsidR="000D5266" w:rsidRPr="009A77F5">
        <w:br/>
      </w:r>
    </w:p>
    <w:p w:rsidR="000D5266" w:rsidRPr="00A55346" w:rsidRDefault="000D5266" w:rsidP="000D5266">
      <w:pPr>
        <w:rPr>
          <w:u w:val="single"/>
        </w:rPr>
      </w:pPr>
      <w:r w:rsidRPr="00A55346">
        <w:rPr>
          <w:u w:val="single"/>
        </w:rPr>
        <w:t>Bregenz / Vorarlberg</w:t>
      </w:r>
    </w:p>
    <w:p w:rsidR="000D5266" w:rsidRDefault="000D5266" w:rsidP="000D5266">
      <w:r>
        <w:t>Alexandra Kargl (Leiterin der Sozialabteilung)</w:t>
      </w:r>
    </w:p>
    <w:p w:rsidR="000D5266" w:rsidRDefault="000D5266" w:rsidP="000D5266">
      <w:r>
        <w:t>Josef Sieber (Leiter des Wohnungsamtes)</w:t>
      </w:r>
    </w:p>
    <w:p w:rsidR="000D5266" w:rsidRDefault="000D5266" w:rsidP="000D5266">
      <w:r>
        <w:t>Necla Güngömüs (Integrationsbeauftragte der Stadt Bregenz)</w:t>
      </w:r>
      <w:r>
        <w:br/>
      </w:r>
    </w:p>
    <w:p w:rsidR="000D5266" w:rsidRPr="00A55346" w:rsidRDefault="000D5266" w:rsidP="000D5266">
      <w:pPr>
        <w:rPr>
          <w:u w:val="single"/>
        </w:rPr>
      </w:pPr>
      <w:r w:rsidRPr="00A55346">
        <w:rPr>
          <w:u w:val="single"/>
        </w:rPr>
        <w:t>Linz / Oberösterreich</w:t>
      </w:r>
    </w:p>
    <w:p w:rsidR="000D5266" w:rsidRDefault="000D5266" w:rsidP="000D5266">
      <w:r>
        <w:t>Margot Nazaal, Leiterin der Antidiskriminierungsstelle OÖ</w:t>
      </w:r>
    </w:p>
    <w:p w:rsidR="000D5266" w:rsidRDefault="000D5266" w:rsidP="000D5266">
      <w:r>
        <w:t>Manfred Krennbauer, LAWOG Hausverwaltung in Wels und Haid</w:t>
      </w:r>
    </w:p>
    <w:p w:rsidR="000C2708" w:rsidRDefault="000D5266" w:rsidP="000D5266">
      <w:r>
        <w:t>Edith Fiedler, Leiterin der Integrationsstelle OÖ</w:t>
      </w:r>
    </w:p>
    <w:p w:rsidR="00044AF0" w:rsidRDefault="00044AF0" w:rsidP="00044AF0">
      <w:r>
        <w:t>Adis Hodzic, Volkshilfe Flüchtlings- und MigrantInnenbetreuung, Integrationszentrum Linz</w:t>
      </w:r>
    </w:p>
    <w:p w:rsidR="00044AF0" w:rsidRPr="00BB009E" w:rsidRDefault="00044AF0" w:rsidP="00044AF0">
      <w:r w:rsidRPr="0056611C">
        <w:t>Robert Hartmann</w:t>
      </w:r>
      <w:r>
        <w:t xml:space="preserve">, </w:t>
      </w:r>
      <w:r w:rsidRPr="00BB009E">
        <w:t>Büro für Sozial- und Regionalplanung</w:t>
      </w:r>
      <w:r>
        <w:t>, Engelhartszell</w:t>
      </w:r>
    </w:p>
    <w:p w:rsidR="000C2708" w:rsidRDefault="000C2708" w:rsidP="000D5266">
      <w:r>
        <w:t>Isabella Schmid</w:t>
      </w:r>
      <w:r w:rsidR="00891706">
        <w:t>t</w:t>
      </w:r>
      <w:r>
        <w:t>, ARGE SIE</w:t>
      </w:r>
    </w:p>
    <w:p w:rsidR="00E03A3C" w:rsidRDefault="00E03A3C" w:rsidP="000D5266">
      <w:r>
        <w:t>Hubert Mittermayr, Wohnplattform</w:t>
      </w:r>
    </w:p>
    <w:p w:rsidR="000C2708" w:rsidRDefault="000C2708" w:rsidP="000D5266">
      <w:r>
        <w:t>Birgit Schoberleitner, Betreutes Wohnen, B37</w:t>
      </w:r>
    </w:p>
    <w:p w:rsidR="000D5266" w:rsidRDefault="000C2708" w:rsidP="000D5266">
      <w:r>
        <w:t>Christian Körner, Betreutes Wohnheim, B37</w:t>
      </w:r>
      <w:r w:rsidR="000D5266">
        <w:br/>
      </w:r>
    </w:p>
    <w:p w:rsidR="000D5266" w:rsidRPr="00A55346" w:rsidRDefault="000D5266" w:rsidP="000D5266">
      <w:pPr>
        <w:rPr>
          <w:u w:val="single"/>
        </w:rPr>
      </w:pPr>
      <w:r w:rsidRPr="00A55346">
        <w:rPr>
          <w:u w:val="single"/>
        </w:rPr>
        <w:t>Niederösterreich</w:t>
      </w:r>
    </w:p>
    <w:p w:rsidR="000D5266" w:rsidRDefault="000D5266" w:rsidP="000D5266">
      <w:r w:rsidRPr="002F4924">
        <w:t>Christine Rosenbach, Gleichbehandlungsbeauftragte des Landes NÖ</w:t>
      </w:r>
    </w:p>
    <w:p w:rsidR="000D5266" w:rsidRDefault="000D5266" w:rsidP="000D5266">
      <w:r w:rsidRPr="002F4924">
        <w:t>Bernhard Plesser</w:t>
      </w:r>
      <w:r>
        <w:t>, Wohnbauförderung des Landes NÖ</w:t>
      </w:r>
    </w:p>
    <w:p w:rsidR="000D5266" w:rsidRDefault="000D5266" w:rsidP="000D5266">
      <w:r>
        <w:t>Johann Lechner, Verein Wohnen, St. Pölten</w:t>
      </w:r>
    </w:p>
    <w:p w:rsidR="00891706" w:rsidRDefault="00891706" w:rsidP="000D5266">
      <w:r>
        <w:t>Elfriede Pfeiffer, Stadträtin Tulln</w:t>
      </w:r>
    </w:p>
    <w:p w:rsidR="00891706" w:rsidRDefault="00891706" w:rsidP="000D5266">
      <w:r>
        <w:t>Frau Seidel, Wohnungsamt Tulln</w:t>
      </w:r>
    </w:p>
    <w:p w:rsidR="000D5266" w:rsidRDefault="000D5266" w:rsidP="000D5266">
      <w:r>
        <w:t>Robert Rintersbach, Alpenland GBV</w:t>
      </w:r>
    </w:p>
    <w:p w:rsidR="000D5266" w:rsidRDefault="000D5266" w:rsidP="000D5266">
      <w:r>
        <w:t>Willi Gelb, AGW St. Pölten</w:t>
      </w:r>
    </w:p>
    <w:p w:rsidR="000D5266" w:rsidRDefault="000D5266" w:rsidP="000D5266">
      <w:pPr>
        <w:rPr>
          <w:lang w:val="de-AT"/>
        </w:rPr>
      </w:pPr>
      <w:r w:rsidRPr="00E17EEC">
        <w:rPr>
          <w:lang w:val="de-AT"/>
        </w:rPr>
        <w:t>Manfred Fabsits, Gebau-Niobau</w:t>
      </w:r>
    </w:p>
    <w:p w:rsidR="000D5266" w:rsidRDefault="000D5266" w:rsidP="000D5266">
      <w:pPr>
        <w:rPr>
          <w:lang w:val="de-AT"/>
        </w:rPr>
      </w:pPr>
      <w:r>
        <w:rPr>
          <w:lang w:val="de-AT"/>
        </w:rPr>
        <w:t>Monika Vyslouzil, FH St. Pölten (Projektevaluation)</w:t>
      </w:r>
    </w:p>
    <w:p w:rsidR="000D5266" w:rsidRDefault="000D5266" w:rsidP="000D5266">
      <w:pPr>
        <w:rPr>
          <w:lang w:val="de-AT"/>
        </w:rPr>
      </w:pPr>
      <w:r>
        <w:rPr>
          <w:lang w:val="de-AT"/>
        </w:rPr>
        <w:lastRenderedPageBreak/>
        <w:t xml:space="preserve">Sepp Ginner, BAWO </w:t>
      </w:r>
      <w:r w:rsidR="0039584A">
        <w:rPr>
          <w:lang w:val="de-AT"/>
        </w:rPr>
        <w:t>/ Verein Wohnen und Arbeit, Melk</w:t>
      </w:r>
    </w:p>
    <w:p w:rsidR="000C2708" w:rsidRDefault="000C2708" w:rsidP="000D5266">
      <w:pPr>
        <w:rPr>
          <w:lang w:val="de-AT"/>
        </w:rPr>
      </w:pPr>
      <w:r>
        <w:rPr>
          <w:lang w:val="de-AT"/>
        </w:rPr>
        <w:t>Rudolf Doppler, ehem. Vizebürgermeister Tulln</w:t>
      </w:r>
    </w:p>
    <w:p w:rsidR="000D5266" w:rsidRDefault="000C2708" w:rsidP="000D5266">
      <w:r>
        <w:rPr>
          <w:lang w:val="de-AT"/>
        </w:rPr>
        <w:t>Dir. Hanko, GEDESAG Krems</w:t>
      </w:r>
      <w:r w:rsidR="000D5266">
        <w:rPr>
          <w:lang w:val="de-AT"/>
        </w:rPr>
        <w:br/>
      </w:r>
    </w:p>
    <w:p w:rsidR="000D5266" w:rsidRPr="00A55346" w:rsidRDefault="000D5266" w:rsidP="000D5266">
      <w:pPr>
        <w:rPr>
          <w:u w:val="single"/>
        </w:rPr>
      </w:pPr>
      <w:r w:rsidRPr="00A55346">
        <w:rPr>
          <w:u w:val="single"/>
        </w:rPr>
        <w:t>Tirol</w:t>
      </w:r>
    </w:p>
    <w:p w:rsidR="000D5266" w:rsidRDefault="000D5266" w:rsidP="000D5266">
      <w:r>
        <w:t>Otto Flatscher, Wohnbauförderung des Landes Tirol</w:t>
      </w:r>
    </w:p>
    <w:p w:rsidR="000D5266" w:rsidRDefault="000D5266" w:rsidP="000D5266">
      <w:r>
        <w:t xml:space="preserve">Stadträtin Marie-Luise </w:t>
      </w:r>
      <w:r w:rsidRPr="00EC73D1">
        <w:t>Pokorny-Reitter</w:t>
      </w:r>
    </w:p>
    <w:p w:rsidR="000D5266" w:rsidRDefault="000D5266" w:rsidP="000D5266">
      <w:r>
        <w:t>Christian Zabernig, Leiter des Wohnungsamtes Innsbruck</w:t>
      </w:r>
    </w:p>
    <w:p w:rsidR="000D5266" w:rsidRDefault="000D5266" w:rsidP="000D5266">
      <w:r>
        <w:t>Gerhard Hetfleisch, ZEMIT</w:t>
      </w:r>
    </w:p>
    <w:p w:rsidR="000D5266" w:rsidRDefault="000D5266" w:rsidP="000D5266">
      <w:r>
        <w:t>Magdalena Melcher, DOWAS Innsbruck</w:t>
      </w:r>
    </w:p>
    <w:p w:rsidR="000D5266" w:rsidRDefault="000D5266" w:rsidP="000D5266">
      <w:r>
        <w:t>Josef Gstir, JUFF</w:t>
      </w:r>
    </w:p>
    <w:p w:rsidR="000D5266" w:rsidRDefault="000D5266" w:rsidP="000D5266">
      <w:r>
        <w:t>Lothar Müller, Unterstützungsfonds der AK Tirol</w:t>
      </w:r>
    </w:p>
    <w:p w:rsidR="000D5266" w:rsidRDefault="000D5266" w:rsidP="000D5266">
      <w:r>
        <w:t>Andrea Moser, ZEMIT</w:t>
      </w:r>
      <w:r>
        <w:br/>
      </w:r>
    </w:p>
    <w:p w:rsidR="000D5266" w:rsidRPr="00A55346" w:rsidRDefault="000D5266" w:rsidP="000D5266">
      <w:pPr>
        <w:rPr>
          <w:u w:val="single"/>
        </w:rPr>
      </w:pPr>
      <w:r w:rsidRPr="00A55346">
        <w:rPr>
          <w:u w:val="single"/>
        </w:rPr>
        <w:t>Wien</w:t>
      </w:r>
    </w:p>
    <w:p w:rsidR="000D5266" w:rsidRPr="00611FC2" w:rsidRDefault="000D5266" w:rsidP="000D5266">
      <w:pPr>
        <w:rPr>
          <w:lang w:val="de-AT"/>
        </w:rPr>
      </w:pPr>
      <w:r w:rsidRPr="00611FC2">
        <w:rPr>
          <w:lang w:val="de-AT"/>
        </w:rPr>
        <w:t>Susi Reppé (in der GEWOG</w:t>
      </w:r>
      <w:r>
        <w:rPr>
          <w:lang w:val="de-AT"/>
        </w:rPr>
        <w:t xml:space="preserve"> / Neue Heimat zuständig für Projektentwicklung &amp; Marketing)</w:t>
      </w:r>
    </w:p>
    <w:p w:rsidR="000D5266" w:rsidRDefault="000D5266" w:rsidP="000D5266">
      <w:r>
        <w:t>Gabi Mörk (Leiterin der Gruppe Wohnungskommission und Referat für soziale Wohnungsve</w:t>
      </w:r>
      <w:r>
        <w:t>r</w:t>
      </w:r>
      <w:r>
        <w:t>gabe / MA50)</w:t>
      </w:r>
    </w:p>
    <w:p w:rsidR="000D5266" w:rsidRDefault="000D5266" w:rsidP="000D5266">
      <w:r>
        <w:t>Florian Panthéne (Gleichbehandlungsanwaltschaft)</w:t>
      </w:r>
    </w:p>
    <w:p w:rsidR="000D5266" w:rsidRDefault="000D5266" w:rsidP="000D5266">
      <w:r>
        <w:t>Sylvia Hofmann (Wiener Hilfswerk)</w:t>
      </w:r>
    </w:p>
    <w:p w:rsidR="000D5266" w:rsidRDefault="000D5266" w:rsidP="000D5266">
      <w:r>
        <w:t>Peter Neundlinger (Wohnservice)</w:t>
      </w:r>
    </w:p>
    <w:p w:rsidR="000D5266" w:rsidRDefault="000D5266" w:rsidP="000D5266">
      <w:r>
        <w:t>Elisabeth Stocker (Leiterin des MigrantInnenzentrums der Caritas Wien)</w:t>
      </w:r>
    </w:p>
    <w:p w:rsidR="000D5266" w:rsidRDefault="000D5266" w:rsidP="000D5266">
      <w:r>
        <w:t>Eva Bauer, Verband der Gemeinnützigen Wohnbauträger</w:t>
      </w:r>
      <w:r>
        <w:br/>
      </w:r>
    </w:p>
    <w:p w:rsidR="000D5266" w:rsidRDefault="000D5266" w:rsidP="000D5266">
      <w:pPr>
        <w:spacing w:before="180" w:after="240" w:line="336" w:lineRule="auto"/>
        <w:jc w:val="center"/>
        <w:rPr>
          <w:rFonts w:eastAsia="Calibri" w:cs="Arial"/>
          <w:b/>
          <w:bCs/>
          <w:iCs/>
          <w:sz w:val="24"/>
          <w:lang w:eastAsia="en-US"/>
        </w:rPr>
      </w:pPr>
    </w:p>
    <w:p w:rsidR="00E34973" w:rsidRDefault="00E34973">
      <w:pPr>
        <w:spacing w:before="180" w:after="240" w:line="336" w:lineRule="auto"/>
        <w:jc w:val="center"/>
      </w:pPr>
      <w:r>
        <w:br w:type="page"/>
      </w:r>
    </w:p>
    <w:p w:rsidR="001D276D" w:rsidRDefault="00E34973" w:rsidP="00E34973">
      <w:pPr>
        <w:pStyle w:val="berschrift3"/>
      </w:pPr>
      <w:r>
        <w:lastRenderedPageBreak/>
        <w:t>8.3</w:t>
      </w:r>
      <w:r>
        <w:tab/>
        <w:t>Online-Fragebogen</w:t>
      </w:r>
    </w:p>
    <w:p w:rsidR="00E34973" w:rsidRDefault="00E34973" w:rsidP="00E34973">
      <w:pPr>
        <w:rPr>
          <w:lang w:val="de-AT"/>
        </w:rPr>
      </w:pPr>
    </w:p>
    <w:p w:rsidR="0011152C" w:rsidRPr="0011152C" w:rsidRDefault="0011152C" w:rsidP="0011152C">
      <w:pPr>
        <w:rPr>
          <w:rFonts w:cs="Tahoma"/>
          <w:szCs w:val="22"/>
          <w:u w:val="single"/>
        </w:rPr>
      </w:pPr>
      <w:r w:rsidRPr="0011152C">
        <w:rPr>
          <w:rFonts w:cs="Tahoma"/>
          <w:szCs w:val="22"/>
          <w:u w:val="single"/>
        </w:rPr>
        <w:t xml:space="preserve">a) Allgemeine Angaben zur Einrichtung </w:t>
      </w:r>
    </w:p>
    <w:p w:rsidR="0011152C" w:rsidRPr="006676AC" w:rsidRDefault="0011152C" w:rsidP="003B6DD6">
      <w:pPr>
        <w:pStyle w:val="Aufzhlungszeichen"/>
      </w:pPr>
      <w:r w:rsidRPr="006676AC">
        <w:t xml:space="preserve">kommunales Wohnungsamt </w:t>
      </w:r>
    </w:p>
    <w:p w:rsidR="0011152C" w:rsidRPr="006676AC" w:rsidRDefault="0011152C" w:rsidP="003B6DD6">
      <w:pPr>
        <w:pStyle w:val="Aufzhlungszeichen"/>
      </w:pPr>
      <w:r w:rsidRPr="006676AC">
        <w:t xml:space="preserve">gemeinnütziger Bauträger </w:t>
      </w:r>
    </w:p>
    <w:p w:rsidR="0011152C" w:rsidRPr="006676AC" w:rsidRDefault="0011152C" w:rsidP="003B6DD6">
      <w:pPr>
        <w:pStyle w:val="Aufzhlungszeichen"/>
      </w:pPr>
      <w:r w:rsidRPr="006676AC">
        <w:t xml:space="preserve">private Wohnungsverwaltung </w:t>
      </w:r>
    </w:p>
    <w:p w:rsidR="0011152C" w:rsidRPr="006676AC" w:rsidRDefault="0011152C" w:rsidP="003B6DD6">
      <w:pPr>
        <w:pStyle w:val="Aufzhlungszeichen"/>
      </w:pPr>
      <w:r w:rsidRPr="006676AC">
        <w:t xml:space="preserve">Beratungsstelle </w:t>
      </w:r>
    </w:p>
    <w:p w:rsidR="0011152C" w:rsidRPr="006676AC" w:rsidRDefault="0011152C" w:rsidP="003B6DD6">
      <w:pPr>
        <w:pStyle w:val="Aufzhlungszeichen"/>
      </w:pPr>
      <w:r w:rsidRPr="006676AC">
        <w:t xml:space="preserve">Sonstiges (bitte angeben) </w:t>
      </w:r>
    </w:p>
    <w:p w:rsidR="0011152C" w:rsidRPr="006676AC" w:rsidRDefault="0011152C" w:rsidP="0011152C">
      <w:pPr>
        <w:rPr>
          <w:rFonts w:cs="Tahoma"/>
          <w:szCs w:val="22"/>
        </w:rPr>
      </w:pPr>
    </w:p>
    <w:p w:rsidR="0011152C" w:rsidRPr="006676AC" w:rsidRDefault="0011152C" w:rsidP="0011152C">
      <w:pPr>
        <w:rPr>
          <w:rFonts w:cs="Tahoma"/>
          <w:szCs w:val="22"/>
        </w:rPr>
      </w:pPr>
      <w:r w:rsidRPr="0011152C">
        <w:rPr>
          <w:rFonts w:cs="Tahoma"/>
          <w:szCs w:val="22"/>
          <w:u w:val="single"/>
        </w:rPr>
        <w:t>b) Reichweite</w:t>
      </w:r>
      <w:r>
        <w:rPr>
          <w:rFonts w:cs="Tahoma"/>
        </w:rPr>
        <w:t xml:space="preserve">; </w:t>
      </w:r>
      <w:r w:rsidRPr="006676AC">
        <w:rPr>
          <w:rFonts w:cs="Tahoma"/>
        </w:rPr>
        <w:t xml:space="preserve">für </w:t>
      </w:r>
      <w:r w:rsidRPr="006676AC">
        <w:rPr>
          <w:rFonts w:cs="Tahoma"/>
          <w:szCs w:val="22"/>
        </w:rPr>
        <w:t xml:space="preserve">welche Wohnungen (Vergabe, Verwaltung, Betreuung) ist Ihre Einrichtung zuständig? Mehrfachangaben möglich </w:t>
      </w:r>
    </w:p>
    <w:p w:rsidR="0011152C" w:rsidRPr="006676AC" w:rsidRDefault="0011152C" w:rsidP="003B6DD6">
      <w:pPr>
        <w:pStyle w:val="Aufzhlungszeichen"/>
      </w:pPr>
      <w:r w:rsidRPr="006676AC">
        <w:t xml:space="preserve">geförderte Mietwohnungen </w:t>
      </w:r>
    </w:p>
    <w:p w:rsidR="0011152C" w:rsidRPr="006676AC" w:rsidRDefault="0011152C" w:rsidP="003B6DD6">
      <w:pPr>
        <w:pStyle w:val="Aufzhlungszeichen"/>
      </w:pPr>
      <w:r w:rsidRPr="006676AC">
        <w:t xml:space="preserve">geförderte Eigentumswohnungen </w:t>
      </w:r>
    </w:p>
    <w:p w:rsidR="0011152C" w:rsidRPr="006676AC" w:rsidRDefault="0011152C" w:rsidP="003B6DD6">
      <w:pPr>
        <w:pStyle w:val="Aufzhlungszeichen"/>
      </w:pPr>
      <w:r w:rsidRPr="006676AC">
        <w:t xml:space="preserve">Gemeindewohnungen </w:t>
      </w:r>
    </w:p>
    <w:p w:rsidR="0011152C" w:rsidRPr="006676AC" w:rsidRDefault="0011152C" w:rsidP="003B6DD6">
      <w:pPr>
        <w:pStyle w:val="Aufzhlungszeichen"/>
      </w:pPr>
      <w:r w:rsidRPr="006676AC">
        <w:t xml:space="preserve">private Mietwohnungen </w:t>
      </w:r>
    </w:p>
    <w:p w:rsidR="0011152C" w:rsidRPr="006676AC" w:rsidRDefault="0011152C" w:rsidP="003B6DD6">
      <w:pPr>
        <w:pStyle w:val="Aufzhlungszeichen"/>
      </w:pPr>
      <w:r w:rsidRPr="006676AC">
        <w:t xml:space="preserve">andere Art von Wohnungen (bitte angeben) </w:t>
      </w:r>
    </w:p>
    <w:p w:rsidR="0011152C" w:rsidRPr="006676AC" w:rsidRDefault="0011152C" w:rsidP="0011152C">
      <w:pPr>
        <w:rPr>
          <w:rFonts w:cs="Tahoma"/>
          <w:szCs w:val="22"/>
        </w:rPr>
      </w:pPr>
    </w:p>
    <w:p w:rsidR="0011152C" w:rsidRPr="006676AC" w:rsidRDefault="0011152C" w:rsidP="0011152C">
      <w:pPr>
        <w:rPr>
          <w:rFonts w:cs="Tahoma"/>
          <w:szCs w:val="22"/>
        </w:rPr>
      </w:pPr>
      <w:r w:rsidRPr="0011152C">
        <w:rPr>
          <w:rFonts w:cs="Tahoma"/>
          <w:szCs w:val="22"/>
          <w:u w:val="single"/>
        </w:rPr>
        <w:t xml:space="preserve">c) Charakterisierung der Rolle / Aufgabenstellung Ihrer Einrichtung </w:t>
      </w:r>
      <w:r>
        <w:rPr>
          <w:rFonts w:cs="Tahoma"/>
        </w:rPr>
        <w:t xml:space="preserve">/ </w:t>
      </w:r>
      <w:r w:rsidRPr="006676AC">
        <w:rPr>
          <w:rFonts w:cs="Tahoma"/>
          <w:szCs w:val="22"/>
        </w:rPr>
        <w:t>Die Einrichtung ist z</w:t>
      </w:r>
      <w:r w:rsidRPr="006676AC">
        <w:rPr>
          <w:rFonts w:cs="Tahoma"/>
          <w:szCs w:val="22"/>
        </w:rPr>
        <w:t>u</w:t>
      </w:r>
      <w:r w:rsidRPr="006676AC">
        <w:rPr>
          <w:rFonts w:cs="Tahoma"/>
          <w:szCs w:val="22"/>
        </w:rPr>
        <w:t xml:space="preserve">ständig für: </w:t>
      </w:r>
    </w:p>
    <w:p w:rsidR="0011152C" w:rsidRPr="006676AC" w:rsidRDefault="0011152C" w:rsidP="003B6DD6">
      <w:pPr>
        <w:pStyle w:val="Aufzhlungszeichen"/>
      </w:pPr>
      <w:r w:rsidRPr="006676AC">
        <w:t xml:space="preserve">die Vergabe von Wohnungen </w:t>
      </w:r>
    </w:p>
    <w:p w:rsidR="0011152C" w:rsidRPr="006676AC" w:rsidRDefault="0011152C" w:rsidP="003B6DD6">
      <w:pPr>
        <w:pStyle w:val="Aufzhlungszeichen"/>
      </w:pPr>
      <w:r w:rsidRPr="006676AC">
        <w:t xml:space="preserve">die Verwaltung von Wohnungen </w:t>
      </w:r>
    </w:p>
    <w:p w:rsidR="0011152C" w:rsidRPr="006676AC" w:rsidRDefault="0011152C" w:rsidP="003B6DD6">
      <w:pPr>
        <w:pStyle w:val="Aufzhlungszeichen"/>
      </w:pPr>
      <w:r w:rsidRPr="006676AC">
        <w:t xml:space="preserve">die Beratung/Betreuung von Wohnungssuchenden </w:t>
      </w:r>
    </w:p>
    <w:p w:rsidR="0011152C" w:rsidRPr="006676AC" w:rsidRDefault="0011152C" w:rsidP="003B6DD6">
      <w:pPr>
        <w:pStyle w:val="Aufzhlungszeichen"/>
      </w:pPr>
      <w:r w:rsidRPr="006676AC">
        <w:t xml:space="preserve">die Beratung/Betreuung von MieterInnen </w:t>
      </w:r>
    </w:p>
    <w:p w:rsidR="0011152C" w:rsidRPr="006676AC" w:rsidRDefault="0011152C" w:rsidP="003B6DD6">
      <w:pPr>
        <w:pStyle w:val="Aufzhlungszeichen"/>
      </w:pPr>
      <w:r w:rsidRPr="006676AC">
        <w:t xml:space="preserve">die Wohnversorgung von MigrantInnen </w:t>
      </w:r>
    </w:p>
    <w:p w:rsidR="0011152C" w:rsidRPr="006676AC" w:rsidRDefault="0011152C" w:rsidP="003B6DD6">
      <w:pPr>
        <w:pStyle w:val="Aufzhlungszeichen"/>
      </w:pPr>
      <w:r w:rsidRPr="006676AC">
        <w:t xml:space="preserve">die Wohnversorgung von anerkannten Flüchtlingen </w:t>
      </w:r>
    </w:p>
    <w:p w:rsidR="0011152C" w:rsidRPr="006676AC" w:rsidRDefault="0011152C" w:rsidP="003B6DD6">
      <w:pPr>
        <w:pStyle w:val="Aufzhlungszeichen"/>
      </w:pPr>
      <w:r w:rsidRPr="006676AC">
        <w:t xml:space="preserve">die rechtliche Vertretung von MieterInnen </w:t>
      </w:r>
    </w:p>
    <w:p w:rsidR="0011152C" w:rsidRPr="006676AC" w:rsidRDefault="0011152C" w:rsidP="003B6DD6">
      <w:pPr>
        <w:pStyle w:val="Aufzhlungszeichen"/>
      </w:pPr>
      <w:r w:rsidRPr="006676AC">
        <w:t xml:space="preserve">andere Aufgabenschwerpunkte </w:t>
      </w:r>
    </w:p>
    <w:p w:rsidR="0011152C" w:rsidRPr="006676AC" w:rsidRDefault="0011152C" w:rsidP="0011152C">
      <w:pPr>
        <w:rPr>
          <w:rFonts w:cs="Tahoma"/>
          <w:szCs w:val="22"/>
        </w:rPr>
      </w:pPr>
    </w:p>
    <w:p w:rsidR="003B6DD6" w:rsidRDefault="003B6DD6" w:rsidP="0011152C">
      <w:pPr>
        <w:rPr>
          <w:rFonts w:cs="Tahoma"/>
          <w:szCs w:val="22"/>
          <w:u w:val="single"/>
        </w:rPr>
      </w:pPr>
    </w:p>
    <w:p w:rsidR="003B6DD6" w:rsidRDefault="003B6DD6">
      <w:pPr>
        <w:spacing w:before="180" w:after="240" w:line="336" w:lineRule="auto"/>
        <w:jc w:val="center"/>
        <w:rPr>
          <w:rFonts w:cs="Tahoma"/>
          <w:szCs w:val="22"/>
          <w:u w:val="single"/>
        </w:rPr>
      </w:pPr>
      <w:r>
        <w:rPr>
          <w:rFonts w:cs="Tahoma"/>
          <w:szCs w:val="22"/>
          <w:u w:val="single"/>
        </w:rPr>
        <w:br w:type="page"/>
      </w:r>
    </w:p>
    <w:p w:rsidR="0011152C" w:rsidRPr="006676AC" w:rsidRDefault="0011152C" w:rsidP="0011152C">
      <w:pPr>
        <w:rPr>
          <w:rFonts w:cs="Tahoma"/>
          <w:szCs w:val="22"/>
        </w:rPr>
      </w:pPr>
      <w:r w:rsidRPr="0011152C">
        <w:rPr>
          <w:rFonts w:cs="Tahoma"/>
          <w:szCs w:val="22"/>
          <w:u w:val="single"/>
        </w:rPr>
        <w:lastRenderedPageBreak/>
        <w:t>d) Wohnungsbestand und jährliches Vergabevolumen</w:t>
      </w:r>
      <w:r w:rsidRPr="006676AC">
        <w:rPr>
          <w:rFonts w:cs="Tahoma"/>
          <w:szCs w:val="22"/>
        </w:rPr>
        <w:t xml:space="preserve"> / Für wie viele Wohnungen (Vergabe / Beratung / Betreuung) ist Ihre Einrichtung zuständig? </w:t>
      </w:r>
    </w:p>
    <w:p w:rsidR="0011152C" w:rsidRPr="006676AC" w:rsidRDefault="0011152C" w:rsidP="0011152C">
      <w:pPr>
        <w:rPr>
          <w:rFonts w:cs="Tahoma"/>
          <w:szCs w:val="22"/>
        </w:rPr>
      </w:pPr>
    </w:p>
    <w:p w:rsidR="0011152C" w:rsidRPr="006676AC" w:rsidRDefault="0011152C" w:rsidP="0011152C">
      <w:pPr>
        <w:rPr>
          <w:rFonts w:cs="Tahoma"/>
          <w:szCs w:val="22"/>
        </w:rPr>
      </w:pPr>
      <w:r w:rsidRPr="006676AC">
        <w:rPr>
          <w:rFonts w:cs="Tahoma"/>
          <w:szCs w:val="22"/>
        </w:rPr>
        <w:t xml:space="preserve">Anzahl der Wohnungen: </w:t>
      </w:r>
      <w:r w:rsidR="003B6DD6">
        <w:rPr>
          <w:rFonts w:cs="Tahoma"/>
          <w:szCs w:val="22"/>
        </w:rPr>
        <w:br/>
      </w:r>
      <w:r w:rsidRPr="006676AC">
        <w:rPr>
          <w:rFonts w:cs="Tahoma"/>
          <w:szCs w:val="22"/>
        </w:rPr>
        <w:t xml:space="preserve">keine / weniger als 100 / zwischen 101 und 500 / zwischen 501 und 1000 / mehr als 1000 </w:t>
      </w:r>
    </w:p>
    <w:p w:rsidR="0011152C" w:rsidRPr="006676AC" w:rsidRDefault="0011152C" w:rsidP="0011152C">
      <w:pPr>
        <w:rPr>
          <w:rFonts w:cs="Tahoma"/>
          <w:szCs w:val="22"/>
        </w:rPr>
      </w:pPr>
      <w:r w:rsidRPr="006676AC">
        <w:rPr>
          <w:rFonts w:cs="Tahoma"/>
          <w:szCs w:val="22"/>
        </w:rPr>
        <w:t xml:space="preserve">davon Eigentumswohnungen: </w:t>
      </w:r>
      <w:r w:rsidR="003B6DD6">
        <w:rPr>
          <w:rFonts w:cs="Tahoma"/>
          <w:szCs w:val="22"/>
        </w:rPr>
        <w:br/>
      </w:r>
      <w:r w:rsidRPr="006676AC">
        <w:rPr>
          <w:rFonts w:cs="Tahoma"/>
          <w:szCs w:val="22"/>
        </w:rPr>
        <w:t>keine bis 10% / 20% / 30% / 40% / 50% / 60% /</w:t>
      </w:r>
      <w:r w:rsidR="003B6DD6">
        <w:rPr>
          <w:rFonts w:cs="Tahoma"/>
          <w:szCs w:val="22"/>
        </w:rPr>
        <w:t xml:space="preserve"> </w:t>
      </w:r>
      <w:r w:rsidRPr="006676AC">
        <w:rPr>
          <w:rFonts w:cs="Tahoma"/>
          <w:szCs w:val="22"/>
        </w:rPr>
        <w:t xml:space="preserve">80% / 90%  / 100% </w:t>
      </w:r>
    </w:p>
    <w:p w:rsidR="0011152C" w:rsidRDefault="0011152C" w:rsidP="0011152C">
      <w:pPr>
        <w:rPr>
          <w:rFonts w:cs="Tahoma"/>
          <w:szCs w:val="22"/>
        </w:rPr>
      </w:pPr>
    </w:p>
    <w:p w:rsidR="0011152C" w:rsidRPr="006676AC" w:rsidRDefault="0011152C" w:rsidP="0011152C">
      <w:pPr>
        <w:rPr>
          <w:rFonts w:cs="Tahoma"/>
          <w:szCs w:val="22"/>
        </w:rPr>
      </w:pPr>
      <w:r w:rsidRPr="006676AC">
        <w:rPr>
          <w:rFonts w:cs="Tahoma"/>
          <w:szCs w:val="22"/>
        </w:rPr>
        <w:t>Verhältnis von MieterInnen nach Ihrer Staatsbürgerschaft / bitte um Angabe eines Schät</w:t>
      </w:r>
      <w:r w:rsidRPr="006676AC">
        <w:rPr>
          <w:rFonts w:cs="Tahoma"/>
          <w:szCs w:val="22"/>
        </w:rPr>
        <w:t>z</w:t>
      </w:r>
      <w:r w:rsidRPr="006676AC">
        <w:rPr>
          <w:rFonts w:cs="Tahoma"/>
          <w:szCs w:val="22"/>
        </w:rPr>
        <w:t>wertes i</w:t>
      </w:r>
      <w:r w:rsidR="003B6DD6">
        <w:rPr>
          <w:rFonts w:cs="Tahoma"/>
          <w:szCs w:val="22"/>
        </w:rPr>
        <w:t>n Prozent: keine 0-20% 20-40% 40-60% 60-80% 80</w:t>
      </w:r>
      <w:r w:rsidRPr="006676AC">
        <w:rPr>
          <w:rFonts w:cs="Tahoma"/>
          <w:szCs w:val="22"/>
        </w:rPr>
        <w:t xml:space="preserve">-100% </w:t>
      </w:r>
    </w:p>
    <w:p w:rsidR="0011152C" w:rsidRPr="006676AC" w:rsidRDefault="0011152C" w:rsidP="003B6DD6">
      <w:pPr>
        <w:pStyle w:val="Aufzhlungszeichen"/>
      </w:pPr>
      <w:r w:rsidRPr="006676AC">
        <w:t xml:space="preserve">ÖsterreicherInnen </w:t>
      </w:r>
    </w:p>
    <w:p w:rsidR="0011152C" w:rsidRPr="006676AC" w:rsidRDefault="0011152C" w:rsidP="003B6DD6">
      <w:pPr>
        <w:pStyle w:val="Aufzhlungszeichen"/>
      </w:pPr>
      <w:r w:rsidRPr="006676AC">
        <w:t xml:space="preserve">andere EU-StaatsbürgerInnen </w:t>
      </w:r>
    </w:p>
    <w:p w:rsidR="0011152C" w:rsidRPr="006676AC" w:rsidRDefault="0011152C" w:rsidP="003B6DD6">
      <w:pPr>
        <w:pStyle w:val="Aufzhlungszeichen"/>
      </w:pPr>
      <w:r w:rsidRPr="006676AC">
        <w:t xml:space="preserve">Drittstaatsangehörige </w:t>
      </w:r>
    </w:p>
    <w:p w:rsidR="0011152C" w:rsidRPr="006676AC" w:rsidRDefault="0011152C" w:rsidP="003B6DD6">
      <w:pPr>
        <w:pStyle w:val="Aufzhlungszeichen"/>
      </w:pPr>
      <w:r w:rsidRPr="006676AC">
        <w:t xml:space="preserve">Asylberechtigte </w:t>
      </w:r>
    </w:p>
    <w:p w:rsidR="0011152C" w:rsidRPr="006676AC" w:rsidRDefault="0011152C" w:rsidP="003B6DD6">
      <w:pPr>
        <w:pStyle w:val="Aufzhlungszeichen"/>
      </w:pPr>
      <w:r w:rsidRPr="006676AC">
        <w:t xml:space="preserve">Verteilung ist nicht bekannt; </w:t>
      </w:r>
    </w:p>
    <w:p w:rsidR="0011152C" w:rsidRPr="006676AC" w:rsidRDefault="0011152C" w:rsidP="003B6DD6">
      <w:pPr>
        <w:pStyle w:val="Aufzhlungszeichen"/>
      </w:pPr>
      <w:r w:rsidRPr="006676AC">
        <w:t xml:space="preserve">persönliche Anmerkung zum sozialen / ethnischen Mix: </w:t>
      </w:r>
    </w:p>
    <w:p w:rsidR="0011152C" w:rsidRPr="006676AC" w:rsidRDefault="0011152C" w:rsidP="0011152C">
      <w:pPr>
        <w:rPr>
          <w:rFonts w:cs="Tahoma"/>
          <w:szCs w:val="22"/>
        </w:rPr>
      </w:pPr>
    </w:p>
    <w:p w:rsidR="0011152C" w:rsidRPr="006676AC" w:rsidRDefault="0011152C" w:rsidP="0011152C">
      <w:pPr>
        <w:rPr>
          <w:rFonts w:cs="Tahoma"/>
          <w:szCs w:val="22"/>
        </w:rPr>
      </w:pPr>
      <w:r w:rsidRPr="006676AC">
        <w:rPr>
          <w:rFonts w:cs="Tahoma"/>
          <w:szCs w:val="22"/>
        </w:rPr>
        <w:t xml:space="preserve">andere als deutsche Muttersprache: </w:t>
      </w:r>
      <w:r w:rsidR="003B6DD6">
        <w:rPr>
          <w:rFonts w:cs="Tahoma"/>
          <w:szCs w:val="22"/>
        </w:rPr>
        <w:t>keine 0-20% 20-40% 40-60% 60-80% 80</w:t>
      </w:r>
      <w:r w:rsidR="003B6DD6" w:rsidRPr="006676AC">
        <w:rPr>
          <w:rFonts w:cs="Tahoma"/>
          <w:szCs w:val="22"/>
        </w:rPr>
        <w:t xml:space="preserve">-100% </w:t>
      </w:r>
    </w:p>
    <w:p w:rsidR="0011152C" w:rsidRPr="006676AC" w:rsidRDefault="0011152C" w:rsidP="0011152C">
      <w:pPr>
        <w:rPr>
          <w:rFonts w:cs="Tahoma"/>
          <w:szCs w:val="22"/>
        </w:rPr>
      </w:pPr>
      <w:r w:rsidRPr="006676AC">
        <w:rPr>
          <w:rFonts w:cs="Tahoma"/>
          <w:szCs w:val="22"/>
        </w:rPr>
        <w:t xml:space="preserve">nicht in Österreich geboren: </w:t>
      </w:r>
      <w:r w:rsidR="003B6DD6">
        <w:rPr>
          <w:rFonts w:cs="Tahoma"/>
          <w:szCs w:val="22"/>
        </w:rPr>
        <w:t>keine 0-20% 20-40% 40-60% 60-80% 80</w:t>
      </w:r>
      <w:r w:rsidR="003B6DD6" w:rsidRPr="006676AC">
        <w:rPr>
          <w:rFonts w:cs="Tahoma"/>
          <w:szCs w:val="22"/>
        </w:rPr>
        <w:t xml:space="preserve">-100% </w:t>
      </w:r>
    </w:p>
    <w:p w:rsidR="0011152C" w:rsidRDefault="0011152C" w:rsidP="0011152C">
      <w:pPr>
        <w:rPr>
          <w:rFonts w:cs="Tahoma"/>
        </w:rPr>
      </w:pPr>
      <w:r w:rsidRPr="006676AC">
        <w:rPr>
          <w:rFonts w:cs="Tahoma"/>
          <w:szCs w:val="22"/>
        </w:rPr>
        <w:t xml:space="preserve">Vergabevolumen; wie viele Wohnungen hat Ihre Einrichtung im Jahr 2010 vergeben? </w:t>
      </w:r>
    </w:p>
    <w:p w:rsidR="0011152C" w:rsidRPr="006676AC" w:rsidRDefault="0011152C" w:rsidP="0011152C">
      <w:pPr>
        <w:rPr>
          <w:rFonts w:cs="Tahoma"/>
          <w:szCs w:val="22"/>
        </w:rPr>
      </w:pPr>
    </w:p>
    <w:p w:rsidR="0011152C" w:rsidRPr="006676AC" w:rsidRDefault="0011152C" w:rsidP="0011152C">
      <w:pPr>
        <w:rPr>
          <w:rFonts w:cs="Tahoma"/>
          <w:szCs w:val="22"/>
        </w:rPr>
      </w:pPr>
      <w:r>
        <w:rPr>
          <w:rFonts w:cs="Tahoma"/>
          <w:szCs w:val="22"/>
          <w:u w:val="single"/>
        </w:rPr>
        <w:t>e)</w:t>
      </w:r>
      <w:r w:rsidRPr="0011152C">
        <w:rPr>
          <w:rFonts w:cs="Tahoma"/>
          <w:szCs w:val="22"/>
          <w:u w:val="single"/>
        </w:rPr>
        <w:t xml:space="preserve"> Wohnungsvergabe an Nicht-ÖsterreicherInnen in Ihrem Wirkungsbereich</w:t>
      </w:r>
      <w:r w:rsidRPr="006676AC">
        <w:rPr>
          <w:rFonts w:cs="Tahoma"/>
          <w:szCs w:val="22"/>
        </w:rPr>
        <w:t xml:space="preserve"> </w:t>
      </w:r>
      <w:r>
        <w:rPr>
          <w:rFonts w:cs="Tahoma"/>
          <w:szCs w:val="22"/>
        </w:rPr>
        <w:t xml:space="preserve">/ </w:t>
      </w:r>
      <w:r w:rsidRPr="006676AC">
        <w:rPr>
          <w:rFonts w:cs="Tahoma"/>
          <w:szCs w:val="22"/>
        </w:rPr>
        <w:t xml:space="preserve">Werden nicht-österreichische Haushalte bei der Wohnungsvergabe benachteiligt? Wenn ja, mit welcher Begründung? </w:t>
      </w:r>
    </w:p>
    <w:p w:rsidR="0011152C" w:rsidRPr="006676AC" w:rsidRDefault="0011152C" w:rsidP="003B6DD6">
      <w:pPr>
        <w:pStyle w:val="Aufzhlungszeichen"/>
      </w:pPr>
      <w:r w:rsidRPr="006676AC">
        <w:t xml:space="preserve">gesetzliche Bestimmung </w:t>
      </w:r>
    </w:p>
    <w:p w:rsidR="0011152C" w:rsidRPr="006676AC" w:rsidRDefault="0011152C" w:rsidP="003B6DD6">
      <w:pPr>
        <w:pStyle w:val="Aufzhlungszeichen"/>
      </w:pPr>
      <w:r w:rsidRPr="006676AC">
        <w:t xml:space="preserve">administrative Vorgaben / Kriterien für die Vergabe </w:t>
      </w:r>
    </w:p>
    <w:p w:rsidR="0011152C" w:rsidRPr="006676AC" w:rsidRDefault="0011152C" w:rsidP="003B6DD6">
      <w:pPr>
        <w:pStyle w:val="Aufzhlungszeichen"/>
      </w:pPr>
      <w:r w:rsidRPr="006676AC">
        <w:t xml:space="preserve">andere Gründe, welche? </w:t>
      </w:r>
    </w:p>
    <w:p w:rsidR="0011152C" w:rsidRPr="006676AC" w:rsidRDefault="0011152C" w:rsidP="0011152C">
      <w:pPr>
        <w:rPr>
          <w:rFonts w:cs="Tahoma"/>
          <w:szCs w:val="22"/>
        </w:rPr>
      </w:pPr>
    </w:p>
    <w:p w:rsidR="003B6DD6" w:rsidRDefault="003B6DD6" w:rsidP="0011152C">
      <w:pPr>
        <w:rPr>
          <w:rFonts w:cs="Tahoma"/>
          <w:szCs w:val="22"/>
          <w:u w:val="single"/>
        </w:rPr>
      </w:pPr>
    </w:p>
    <w:p w:rsidR="003B6DD6" w:rsidRDefault="003B6DD6">
      <w:pPr>
        <w:spacing w:before="180" w:after="240" w:line="336" w:lineRule="auto"/>
        <w:jc w:val="center"/>
        <w:rPr>
          <w:rFonts w:cs="Tahoma"/>
          <w:szCs w:val="22"/>
          <w:u w:val="single"/>
        </w:rPr>
      </w:pPr>
      <w:r>
        <w:rPr>
          <w:rFonts w:cs="Tahoma"/>
          <w:szCs w:val="22"/>
          <w:u w:val="single"/>
        </w:rPr>
        <w:br w:type="page"/>
      </w:r>
    </w:p>
    <w:p w:rsidR="0011152C" w:rsidRPr="006676AC" w:rsidRDefault="0011152C" w:rsidP="0011152C">
      <w:pPr>
        <w:rPr>
          <w:rFonts w:cs="Tahoma"/>
          <w:szCs w:val="22"/>
        </w:rPr>
      </w:pPr>
      <w:r w:rsidRPr="0011152C">
        <w:rPr>
          <w:rFonts w:cs="Tahoma"/>
          <w:szCs w:val="22"/>
          <w:u w:val="single"/>
        </w:rPr>
        <w:lastRenderedPageBreak/>
        <w:t>f) Welche Kriterien regeln den Zugang zur Wohnungsvergabe?</w:t>
      </w:r>
      <w:r w:rsidRPr="006676AC">
        <w:rPr>
          <w:rFonts w:cs="Tahoma"/>
          <w:szCs w:val="22"/>
        </w:rPr>
        <w:t xml:space="preserve"> </w:t>
      </w:r>
      <w:r>
        <w:rPr>
          <w:rFonts w:cs="Tahoma"/>
          <w:szCs w:val="22"/>
        </w:rPr>
        <w:t xml:space="preserve">/ </w:t>
      </w:r>
      <w:r w:rsidRPr="006676AC">
        <w:rPr>
          <w:rFonts w:cs="Tahoma"/>
          <w:szCs w:val="22"/>
        </w:rPr>
        <w:t xml:space="preserve">(im Wirkungsbereich Ihrer Einrichtung / sofern Sie nicht direkt mit der Vergabe / Verwaltung von Wohnungen befasst sind, nehmen Sie bitte Bezug auf den örtlichen oder regionalen Wohnungsmarkt Ihres Standortes) </w:t>
      </w:r>
    </w:p>
    <w:p w:rsidR="0011152C" w:rsidRPr="006676AC" w:rsidRDefault="0011152C" w:rsidP="003B6DD6">
      <w:pPr>
        <w:pStyle w:val="Aufzhlungszeichen"/>
      </w:pPr>
      <w:r w:rsidRPr="006676AC">
        <w:t>strukturelle und individuelle Faktoren, die bei der Wohnungsvergabe berücksichtigt we</w:t>
      </w:r>
      <w:r w:rsidRPr="006676AC">
        <w:t>r</w:t>
      </w:r>
      <w:r w:rsidRPr="006676AC">
        <w:t xml:space="preserve">den </w:t>
      </w:r>
    </w:p>
    <w:p w:rsidR="0011152C" w:rsidRPr="006676AC" w:rsidRDefault="0011152C" w:rsidP="003B6DD6">
      <w:pPr>
        <w:pStyle w:val="Aufzhlungszeichen"/>
        <w:tabs>
          <w:tab w:val="clear" w:pos="360"/>
          <w:tab w:val="num" w:pos="720"/>
        </w:tabs>
        <w:ind w:left="720"/>
      </w:pPr>
      <w:r w:rsidRPr="006676AC">
        <w:t xml:space="preserve">Dauer des regulären Aufenthalts vor Ort / in der Region </w:t>
      </w:r>
    </w:p>
    <w:p w:rsidR="0011152C" w:rsidRPr="006676AC" w:rsidRDefault="0011152C" w:rsidP="003B6DD6">
      <w:pPr>
        <w:pStyle w:val="Aufzhlungszeichen"/>
        <w:tabs>
          <w:tab w:val="clear" w:pos="360"/>
          <w:tab w:val="num" w:pos="720"/>
        </w:tabs>
        <w:ind w:left="720"/>
      </w:pPr>
      <w:r w:rsidRPr="006676AC">
        <w:t xml:space="preserve">Art des Beschäftigungsverhältnisses </w:t>
      </w:r>
    </w:p>
    <w:p w:rsidR="0011152C" w:rsidRPr="006676AC" w:rsidRDefault="0011152C" w:rsidP="003B6DD6">
      <w:pPr>
        <w:pStyle w:val="Aufzhlungszeichen"/>
        <w:tabs>
          <w:tab w:val="clear" w:pos="360"/>
          <w:tab w:val="num" w:pos="720"/>
        </w:tabs>
        <w:ind w:left="720"/>
      </w:pPr>
      <w:r w:rsidRPr="006676AC">
        <w:t xml:space="preserve">Dringlichkeit der Wohnversorgung </w:t>
      </w:r>
    </w:p>
    <w:p w:rsidR="0011152C" w:rsidRPr="006676AC" w:rsidRDefault="0011152C" w:rsidP="003B6DD6">
      <w:pPr>
        <w:pStyle w:val="Aufzhlungszeichen"/>
        <w:tabs>
          <w:tab w:val="clear" w:pos="360"/>
          <w:tab w:val="num" w:pos="720"/>
        </w:tabs>
        <w:ind w:left="720"/>
      </w:pPr>
      <w:r w:rsidRPr="006676AC">
        <w:t xml:space="preserve">Anzahl von minderjährigen Kindern </w:t>
      </w:r>
    </w:p>
    <w:p w:rsidR="0011152C" w:rsidRPr="006676AC" w:rsidRDefault="0011152C" w:rsidP="003B6DD6">
      <w:pPr>
        <w:pStyle w:val="Aufzhlungszeichen"/>
        <w:tabs>
          <w:tab w:val="clear" w:pos="360"/>
          <w:tab w:val="num" w:pos="720"/>
        </w:tabs>
        <w:ind w:left="720"/>
      </w:pPr>
      <w:r w:rsidRPr="006676AC">
        <w:t xml:space="preserve">AlleinerzieherIn </w:t>
      </w:r>
    </w:p>
    <w:p w:rsidR="0011152C" w:rsidRPr="006676AC" w:rsidRDefault="0011152C" w:rsidP="003B6DD6">
      <w:pPr>
        <w:pStyle w:val="Aufzhlungszeichen"/>
        <w:tabs>
          <w:tab w:val="clear" w:pos="360"/>
          <w:tab w:val="num" w:pos="720"/>
        </w:tabs>
        <w:ind w:left="720"/>
      </w:pPr>
      <w:r w:rsidRPr="006676AC">
        <w:t xml:space="preserve">Pflegebedürftigkeit von Haushaltsmitgliedern </w:t>
      </w:r>
    </w:p>
    <w:p w:rsidR="0011152C" w:rsidRPr="006676AC" w:rsidRDefault="0011152C" w:rsidP="003B6DD6">
      <w:pPr>
        <w:pStyle w:val="Aufzhlungszeichen"/>
        <w:tabs>
          <w:tab w:val="clear" w:pos="360"/>
          <w:tab w:val="num" w:pos="720"/>
        </w:tabs>
        <w:ind w:left="720"/>
      </w:pPr>
      <w:r w:rsidRPr="006676AC">
        <w:t xml:space="preserve">Behinderung von Haushaltsmitgliedern </w:t>
      </w:r>
    </w:p>
    <w:p w:rsidR="0011152C" w:rsidRPr="006676AC" w:rsidRDefault="0011152C" w:rsidP="003B6DD6">
      <w:pPr>
        <w:pStyle w:val="Aufzhlungszeichen"/>
        <w:tabs>
          <w:tab w:val="clear" w:pos="360"/>
          <w:tab w:val="num" w:pos="720"/>
        </w:tabs>
        <w:ind w:left="720"/>
      </w:pPr>
      <w:r w:rsidRPr="006676AC">
        <w:t xml:space="preserve">andere soziale Merkmale, welche? </w:t>
      </w:r>
    </w:p>
    <w:p w:rsidR="0011152C" w:rsidRPr="006676AC" w:rsidRDefault="0011152C" w:rsidP="0011152C">
      <w:pPr>
        <w:rPr>
          <w:rFonts w:cs="Tahoma"/>
          <w:szCs w:val="22"/>
        </w:rPr>
      </w:pPr>
    </w:p>
    <w:p w:rsidR="0011152C" w:rsidRPr="006676AC" w:rsidRDefault="0011152C" w:rsidP="003B6DD6">
      <w:pPr>
        <w:pStyle w:val="Aufzhlungszeichen"/>
      </w:pPr>
      <w:r w:rsidRPr="006676AC">
        <w:t>Faktoren, die bei der Wohnungsvergabe an Nicht-ÖsterreicherInnen berücksichtigt we</w:t>
      </w:r>
      <w:r w:rsidRPr="006676AC">
        <w:t>r</w:t>
      </w:r>
      <w:r w:rsidRPr="006676AC">
        <w:t xml:space="preserve">den </w:t>
      </w:r>
    </w:p>
    <w:p w:rsidR="0011152C" w:rsidRPr="006676AC" w:rsidRDefault="0011152C" w:rsidP="003B6DD6">
      <w:pPr>
        <w:pStyle w:val="Aufzhlungszeichen"/>
        <w:tabs>
          <w:tab w:val="clear" w:pos="360"/>
          <w:tab w:val="num" w:pos="720"/>
        </w:tabs>
        <w:ind w:left="720"/>
      </w:pPr>
      <w:r w:rsidRPr="006676AC">
        <w:t xml:space="preserve">verfestigter Aufenthalt in Österreich </w:t>
      </w:r>
    </w:p>
    <w:p w:rsidR="0011152C" w:rsidRPr="006676AC" w:rsidRDefault="0011152C" w:rsidP="003B6DD6">
      <w:pPr>
        <w:pStyle w:val="Aufzhlungszeichen"/>
        <w:tabs>
          <w:tab w:val="clear" w:pos="360"/>
          <w:tab w:val="num" w:pos="720"/>
        </w:tabs>
        <w:ind w:left="720"/>
      </w:pPr>
      <w:r w:rsidRPr="006676AC">
        <w:t xml:space="preserve">Kontinuität und Dauer der Arbeitsintegration </w:t>
      </w:r>
    </w:p>
    <w:p w:rsidR="0011152C" w:rsidRPr="006676AC" w:rsidRDefault="0011152C" w:rsidP="003B6DD6">
      <w:pPr>
        <w:pStyle w:val="Aufzhlungszeichen"/>
        <w:tabs>
          <w:tab w:val="clear" w:pos="360"/>
          <w:tab w:val="num" w:pos="720"/>
        </w:tabs>
        <w:ind w:left="720"/>
      </w:pPr>
      <w:r w:rsidRPr="006676AC">
        <w:t xml:space="preserve">Kenntnis der deutschen Sprache </w:t>
      </w:r>
    </w:p>
    <w:p w:rsidR="0011152C" w:rsidRPr="006676AC" w:rsidRDefault="0011152C" w:rsidP="003B6DD6">
      <w:pPr>
        <w:pStyle w:val="Aufzhlungszeichen"/>
        <w:tabs>
          <w:tab w:val="clear" w:pos="360"/>
          <w:tab w:val="num" w:pos="720"/>
        </w:tabs>
        <w:ind w:left="720"/>
      </w:pPr>
      <w:r w:rsidRPr="006676AC">
        <w:t xml:space="preserve">Dringlichkeit der Wohnversorgung </w:t>
      </w:r>
    </w:p>
    <w:p w:rsidR="0011152C" w:rsidRPr="006676AC" w:rsidRDefault="0011152C" w:rsidP="003B6DD6">
      <w:pPr>
        <w:pStyle w:val="Aufzhlungszeichen"/>
        <w:tabs>
          <w:tab w:val="clear" w:pos="360"/>
          <w:tab w:val="num" w:pos="720"/>
        </w:tabs>
        <w:ind w:left="720"/>
      </w:pPr>
      <w:r w:rsidRPr="006676AC">
        <w:t xml:space="preserve">Anteil von Nicht-ÖsterreicherInnen in der Hausgemeinschaft </w:t>
      </w:r>
    </w:p>
    <w:p w:rsidR="0011152C" w:rsidRPr="006676AC" w:rsidRDefault="0011152C" w:rsidP="003B6DD6">
      <w:pPr>
        <w:pStyle w:val="Aufzhlungszeichen"/>
        <w:tabs>
          <w:tab w:val="clear" w:pos="360"/>
          <w:tab w:val="num" w:pos="720"/>
        </w:tabs>
        <w:ind w:left="720"/>
      </w:pPr>
      <w:r w:rsidRPr="006676AC">
        <w:t xml:space="preserve">Beratungs-/Betreuungsangebote im Wohnumfeld </w:t>
      </w:r>
    </w:p>
    <w:p w:rsidR="0011152C" w:rsidRPr="006676AC" w:rsidRDefault="0011152C" w:rsidP="003B6DD6">
      <w:pPr>
        <w:pStyle w:val="Aufzhlungszeichen"/>
        <w:tabs>
          <w:tab w:val="clear" w:pos="360"/>
          <w:tab w:val="num" w:pos="720"/>
        </w:tabs>
        <w:ind w:left="720"/>
      </w:pPr>
      <w:r w:rsidRPr="006676AC">
        <w:t xml:space="preserve">andere Kriterien, die bei der Vergabe berücksichtigt werden (bitte angeben) </w:t>
      </w:r>
    </w:p>
    <w:p w:rsidR="0011152C" w:rsidRPr="006676AC" w:rsidRDefault="0011152C" w:rsidP="0011152C">
      <w:pPr>
        <w:rPr>
          <w:rFonts w:cs="Tahoma"/>
          <w:szCs w:val="22"/>
        </w:rPr>
      </w:pPr>
    </w:p>
    <w:p w:rsidR="0011152C" w:rsidRPr="0011152C" w:rsidRDefault="0011152C" w:rsidP="0011152C">
      <w:pPr>
        <w:rPr>
          <w:rFonts w:cs="Tahoma"/>
          <w:szCs w:val="22"/>
        </w:rPr>
      </w:pPr>
      <w:r w:rsidRPr="0011152C">
        <w:rPr>
          <w:rFonts w:cs="Tahoma"/>
          <w:szCs w:val="22"/>
          <w:u w:val="single"/>
        </w:rPr>
        <w:t xml:space="preserve">g) Förderung der Integration von Nicht-ÖsterreicherInnen </w:t>
      </w:r>
      <w:r>
        <w:rPr>
          <w:rFonts w:cs="Tahoma"/>
          <w:szCs w:val="22"/>
          <w:u w:val="single"/>
        </w:rPr>
        <w:t xml:space="preserve">7 </w:t>
      </w:r>
      <w:r w:rsidRPr="006676AC">
        <w:rPr>
          <w:rFonts w:cs="Tahoma"/>
          <w:szCs w:val="22"/>
        </w:rPr>
        <w:t xml:space="preserve">Werden von Ihrer Einrichtung spezielle Vorsorgen für die Wohnversorgung, Beratung und / oder Betreuung von Nicht-ÖsterreicherInnen getroffen? </w:t>
      </w:r>
    </w:p>
    <w:p w:rsidR="0011152C" w:rsidRPr="006676AC" w:rsidRDefault="0011152C" w:rsidP="003B6DD6">
      <w:pPr>
        <w:pStyle w:val="Aufzhlungszeichen"/>
      </w:pPr>
      <w:r w:rsidRPr="006676AC">
        <w:t xml:space="preserve">fremdsprachiges Informationsmaterial </w:t>
      </w:r>
    </w:p>
    <w:p w:rsidR="0011152C" w:rsidRPr="006676AC" w:rsidRDefault="0011152C" w:rsidP="003B6DD6">
      <w:pPr>
        <w:pStyle w:val="Aufzhlungszeichen"/>
      </w:pPr>
      <w:r w:rsidRPr="006676AC">
        <w:t xml:space="preserve">spezifische Förderangebote, z.B. Sprachförderung </w:t>
      </w:r>
    </w:p>
    <w:p w:rsidR="0011152C" w:rsidRPr="006676AC" w:rsidRDefault="0011152C" w:rsidP="003B6DD6">
      <w:pPr>
        <w:pStyle w:val="Aufzhlungszeichen"/>
      </w:pPr>
      <w:r w:rsidRPr="006676AC">
        <w:t xml:space="preserve">Kooperation mit externen Beratungs/Vertretungseinrichtungen </w:t>
      </w:r>
    </w:p>
    <w:p w:rsidR="0011152C" w:rsidRPr="006676AC" w:rsidRDefault="0011152C" w:rsidP="003B6DD6">
      <w:pPr>
        <w:pStyle w:val="Aufzhlungszeichen"/>
      </w:pPr>
      <w:r w:rsidRPr="006676AC">
        <w:t xml:space="preserve">fremdsprachiges Personal </w:t>
      </w:r>
    </w:p>
    <w:p w:rsidR="0011152C" w:rsidRPr="006676AC" w:rsidRDefault="0011152C" w:rsidP="003B6DD6">
      <w:pPr>
        <w:pStyle w:val="Aufzhlungszeichen"/>
      </w:pPr>
      <w:r w:rsidRPr="006676AC">
        <w:t xml:space="preserve">Sonstige Vorsorgen (bitte angeben) </w:t>
      </w:r>
    </w:p>
    <w:p w:rsidR="0011152C" w:rsidRPr="006676AC" w:rsidRDefault="0011152C" w:rsidP="0011152C">
      <w:pPr>
        <w:rPr>
          <w:rFonts w:cs="Tahoma"/>
          <w:szCs w:val="22"/>
        </w:rPr>
      </w:pPr>
    </w:p>
    <w:p w:rsidR="0011152C" w:rsidRPr="006676AC" w:rsidRDefault="0011152C" w:rsidP="0011152C">
      <w:pPr>
        <w:rPr>
          <w:rFonts w:cs="Tahoma"/>
          <w:szCs w:val="22"/>
        </w:rPr>
      </w:pPr>
      <w:r w:rsidRPr="0011152C">
        <w:rPr>
          <w:rFonts w:cs="Tahoma"/>
          <w:szCs w:val="22"/>
          <w:u w:val="single"/>
        </w:rPr>
        <w:lastRenderedPageBreak/>
        <w:t>h) Vergabekriterien und Eintrittsbedingungen im Kontext Ihrer Einrichtung</w:t>
      </w:r>
      <w:r w:rsidRPr="006676AC">
        <w:rPr>
          <w:rFonts w:cs="Tahoma"/>
          <w:szCs w:val="22"/>
        </w:rPr>
        <w:t xml:space="preserve"> </w:t>
      </w:r>
      <w:r>
        <w:rPr>
          <w:rFonts w:cs="Tahoma"/>
        </w:rPr>
        <w:t xml:space="preserve">/ </w:t>
      </w:r>
      <w:r w:rsidRPr="006676AC">
        <w:rPr>
          <w:rFonts w:cs="Tahoma"/>
          <w:szCs w:val="22"/>
        </w:rPr>
        <w:t xml:space="preserve">Welche Aspekte der aktuellen Wohn-und Lebenssituation der WohnungswerberInnen werden bei der Vergabe berücksichtigt? </w:t>
      </w:r>
    </w:p>
    <w:p w:rsidR="0011152C" w:rsidRPr="006676AC" w:rsidRDefault="0011152C" w:rsidP="003B6DD6">
      <w:pPr>
        <w:pStyle w:val="Aufzhlungszeichen"/>
      </w:pPr>
      <w:r w:rsidRPr="006676AC">
        <w:t xml:space="preserve">Gesundheitsgefährdung / Substandard </w:t>
      </w:r>
    </w:p>
    <w:p w:rsidR="0011152C" w:rsidRPr="006676AC" w:rsidRDefault="0011152C" w:rsidP="003B6DD6">
      <w:pPr>
        <w:pStyle w:val="Aufzhlungszeichen"/>
      </w:pPr>
      <w:r w:rsidRPr="006676AC">
        <w:t xml:space="preserve">Überbelag / Wohnung ist zu klein </w:t>
      </w:r>
    </w:p>
    <w:p w:rsidR="0011152C" w:rsidRPr="006676AC" w:rsidRDefault="0011152C" w:rsidP="003B6DD6">
      <w:pPr>
        <w:pStyle w:val="Aufzhlungszeichen"/>
      </w:pPr>
      <w:r w:rsidRPr="006676AC">
        <w:t xml:space="preserve">überhöhte Mietkosten </w:t>
      </w:r>
    </w:p>
    <w:p w:rsidR="0011152C" w:rsidRPr="006676AC" w:rsidRDefault="0011152C" w:rsidP="003B6DD6">
      <w:pPr>
        <w:pStyle w:val="Aufzhlungszeichen"/>
      </w:pPr>
      <w:r w:rsidRPr="006676AC">
        <w:t xml:space="preserve">niedriges Haushaltseinkommen </w:t>
      </w:r>
    </w:p>
    <w:p w:rsidR="0011152C" w:rsidRPr="006676AC" w:rsidRDefault="0011152C" w:rsidP="003B6DD6">
      <w:pPr>
        <w:pStyle w:val="Aufzhlungszeichen"/>
      </w:pPr>
      <w:r w:rsidRPr="006676AC">
        <w:t>drohende Wohnungslosigkeit, z.B. nach Delogierungsverfahren, Entlassung aus Jugen</w:t>
      </w:r>
      <w:r w:rsidRPr="006676AC">
        <w:t>d</w:t>
      </w:r>
      <w:r w:rsidRPr="006676AC">
        <w:t xml:space="preserve">wohlfahrt, Haft oder Psychiatrie </w:t>
      </w:r>
    </w:p>
    <w:p w:rsidR="0011152C" w:rsidRPr="006676AC" w:rsidRDefault="0011152C" w:rsidP="003B6DD6">
      <w:pPr>
        <w:pStyle w:val="Aufzhlungszeichen"/>
      </w:pPr>
      <w:r w:rsidRPr="006676AC">
        <w:t xml:space="preserve">akute Wohnungslosigkeit / Obdachlosigkeit </w:t>
      </w:r>
    </w:p>
    <w:p w:rsidR="0011152C" w:rsidRPr="006676AC" w:rsidRDefault="0011152C" w:rsidP="003B6DD6">
      <w:pPr>
        <w:pStyle w:val="Aufzhlungszeichen"/>
      </w:pPr>
      <w:r w:rsidRPr="006676AC">
        <w:t xml:space="preserve">Sonstige Kriterien (bitte angeben) </w:t>
      </w:r>
    </w:p>
    <w:p w:rsidR="0011152C" w:rsidRPr="006676AC" w:rsidRDefault="0011152C" w:rsidP="0011152C">
      <w:pPr>
        <w:rPr>
          <w:rFonts w:cs="Tahoma"/>
          <w:szCs w:val="22"/>
        </w:rPr>
      </w:pPr>
    </w:p>
    <w:p w:rsidR="0011152C" w:rsidRPr="006676AC" w:rsidRDefault="0011152C" w:rsidP="0011152C">
      <w:pPr>
        <w:rPr>
          <w:rFonts w:cs="Tahoma"/>
          <w:szCs w:val="22"/>
        </w:rPr>
      </w:pPr>
      <w:r w:rsidRPr="0011152C">
        <w:rPr>
          <w:rFonts w:cs="Tahoma"/>
          <w:szCs w:val="22"/>
          <w:u w:val="single"/>
        </w:rPr>
        <w:t>i) Unterschiedliche Vorgaben und Vergaberegeln je nach Wohnungstyp?</w:t>
      </w:r>
      <w:r w:rsidRPr="006676AC">
        <w:rPr>
          <w:rFonts w:cs="Tahoma"/>
          <w:szCs w:val="22"/>
        </w:rPr>
        <w:t xml:space="preserve"> </w:t>
      </w:r>
      <w:r>
        <w:rPr>
          <w:rFonts w:cs="Tahoma"/>
        </w:rPr>
        <w:t xml:space="preserve">/ </w:t>
      </w:r>
      <w:r w:rsidRPr="006676AC">
        <w:rPr>
          <w:rFonts w:cs="Tahoma"/>
          <w:szCs w:val="22"/>
        </w:rPr>
        <w:t>Gelten die Verg</w:t>
      </w:r>
      <w:r w:rsidRPr="006676AC">
        <w:rPr>
          <w:rFonts w:cs="Tahoma"/>
          <w:szCs w:val="22"/>
        </w:rPr>
        <w:t>a</w:t>
      </w:r>
      <w:r w:rsidRPr="006676AC">
        <w:rPr>
          <w:rFonts w:cs="Tahoma"/>
          <w:szCs w:val="22"/>
        </w:rPr>
        <w:t>beregeln und Richtlinien zur Reihung der WohnungswerberInnen für alle Wohnungstypen (z.B. für ausfinanzierte Mietwohnungen aus dem Bestand sowie für Neuvergaben) gleiche</w:t>
      </w:r>
      <w:r w:rsidRPr="006676AC">
        <w:rPr>
          <w:rFonts w:cs="Tahoma"/>
          <w:szCs w:val="22"/>
        </w:rPr>
        <w:t>r</w:t>
      </w:r>
      <w:r w:rsidRPr="006676AC">
        <w:rPr>
          <w:rFonts w:cs="Tahoma"/>
          <w:szCs w:val="22"/>
        </w:rPr>
        <w:t xml:space="preserve">maßen? </w:t>
      </w:r>
    </w:p>
    <w:p w:rsidR="0011152C" w:rsidRPr="006676AC" w:rsidRDefault="0011152C" w:rsidP="003B6DD6">
      <w:pPr>
        <w:pStyle w:val="Aufzhlungszeichen"/>
      </w:pPr>
      <w:r w:rsidRPr="006676AC">
        <w:t xml:space="preserve">sanierte/standardverbesserte Wohnungen </w:t>
      </w:r>
    </w:p>
    <w:p w:rsidR="0011152C" w:rsidRPr="006676AC" w:rsidRDefault="0011152C" w:rsidP="003B6DD6">
      <w:pPr>
        <w:pStyle w:val="Aufzhlungszeichen"/>
      </w:pPr>
      <w:r w:rsidRPr="006676AC">
        <w:t xml:space="preserve">ausfinanzierte Wohnungen </w:t>
      </w:r>
    </w:p>
    <w:p w:rsidR="0011152C" w:rsidRPr="006676AC" w:rsidRDefault="0011152C" w:rsidP="003B6DD6">
      <w:pPr>
        <w:pStyle w:val="Aufzhlungszeichen"/>
      </w:pPr>
      <w:r w:rsidRPr="006676AC">
        <w:t xml:space="preserve">Substandardwohnungen </w:t>
      </w:r>
    </w:p>
    <w:p w:rsidR="0011152C" w:rsidRPr="006676AC" w:rsidRDefault="0011152C" w:rsidP="003B6DD6">
      <w:pPr>
        <w:pStyle w:val="Aufzhlungszeichen"/>
      </w:pPr>
      <w:r w:rsidRPr="006676AC">
        <w:t xml:space="preserve">Eigentumswohnungen </w:t>
      </w:r>
    </w:p>
    <w:p w:rsidR="0011152C" w:rsidRPr="006676AC" w:rsidRDefault="0011152C" w:rsidP="003B6DD6">
      <w:pPr>
        <w:pStyle w:val="Aufzhlungszeichen"/>
      </w:pPr>
      <w:r w:rsidRPr="006676AC">
        <w:t xml:space="preserve">Miet-Kauf-Wohnungen </w:t>
      </w:r>
    </w:p>
    <w:p w:rsidR="0011152C" w:rsidRPr="006676AC" w:rsidRDefault="0011152C" w:rsidP="003B6DD6">
      <w:pPr>
        <w:pStyle w:val="Aufzhlungszeichen"/>
      </w:pPr>
      <w:r w:rsidRPr="006676AC">
        <w:t xml:space="preserve">andere Vertragsformen </w:t>
      </w:r>
    </w:p>
    <w:p w:rsidR="0011152C" w:rsidRPr="006676AC" w:rsidRDefault="0011152C" w:rsidP="003B6DD6">
      <w:pPr>
        <w:pStyle w:val="Aufzhlungszeichen"/>
      </w:pPr>
      <w:r w:rsidRPr="006676AC">
        <w:t xml:space="preserve">für welche Wohnungen gelten abweichende Regeln, welche? </w:t>
      </w:r>
    </w:p>
    <w:p w:rsidR="0011152C" w:rsidRPr="006676AC" w:rsidRDefault="0011152C" w:rsidP="0011152C">
      <w:pPr>
        <w:rPr>
          <w:rFonts w:cs="Tahoma"/>
          <w:szCs w:val="22"/>
        </w:rPr>
      </w:pPr>
    </w:p>
    <w:p w:rsidR="0011152C" w:rsidRPr="006676AC" w:rsidRDefault="0011152C" w:rsidP="0011152C">
      <w:pPr>
        <w:rPr>
          <w:rFonts w:cs="Tahoma"/>
          <w:szCs w:val="22"/>
        </w:rPr>
      </w:pPr>
      <w:r w:rsidRPr="0011152C">
        <w:rPr>
          <w:rFonts w:cs="Tahoma"/>
          <w:szCs w:val="22"/>
          <w:u w:val="single"/>
        </w:rPr>
        <w:t>j) Leitlinien für die Vergabe von Wohnungen an Nicht-ÖsterreicherInn</w:t>
      </w:r>
      <w:r w:rsidRPr="0011152C">
        <w:rPr>
          <w:rFonts w:cs="Tahoma"/>
          <w:u w:val="single"/>
        </w:rPr>
        <w:t>en</w:t>
      </w:r>
      <w:r w:rsidRPr="0011152C">
        <w:rPr>
          <w:rFonts w:cs="Tahoma"/>
          <w:szCs w:val="22"/>
          <w:u w:val="single"/>
        </w:rPr>
        <w:t xml:space="preserve"> </w:t>
      </w:r>
      <w:r>
        <w:rPr>
          <w:rFonts w:cs="Tahoma"/>
        </w:rPr>
        <w:t xml:space="preserve">/ </w:t>
      </w:r>
      <w:r w:rsidRPr="006676AC">
        <w:rPr>
          <w:rFonts w:cs="Tahoma"/>
          <w:szCs w:val="22"/>
        </w:rPr>
        <w:t xml:space="preserve">Bitte bewerten Sie die nachstehenden Aussagen, inwieweit diese Ihrer Meinung nach zutreffend sind </w:t>
      </w:r>
    </w:p>
    <w:p w:rsidR="0011152C" w:rsidRPr="006676AC" w:rsidRDefault="0011152C" w:rsidP="0011152C">
      <w:pPr>
        <w:pStyle w:val="Aufzhlungszeichen"/>
      </w:pPr>
      <w:r w:rsidRPr="006676AC">
        <w:t>Voraussetzung für eine gute Integration von Nicht-ÖsterreicherInnen ist ein ausgewog</w:t>
      </w:r>
      <w:r w:rsidRPr="006676AC">
        <w:t>e</w:t>
      </w:r>
      <w:r w:rsidRPr="006676AC">
        <w:t xml:space="preserve">ner ethnischer Mix in den Siedlungsräumen </w:t>
      </w:r>
    </w:p>
    <w:p w:rsidR="0011152C" w:rsidRPr="006676AC" w:rsidRDefault="0011152C" w:rsidP="0011152C">
      <w:pPr>
        <w:pStyle w:val="Aufzhlungszeichen"/>
      </w:pPr>
      <w:r w:rsidRPr="006676AC">
        <w:t xml:space="preserve">Es darf kein Ghetto entstehen, im dem viele belastete Haushalte  zusammenleben. </w:t>
      </w:r>
    </w:p>
    <w:p w:rsidR="0011152C" w:rsidRPr="006676AC" w:rsidRDefault="0011152C" w:rsidP="0011152C">
      <w:pPr>
        <w:pStyle w:val="Aufzhlungszeichen"/>
      </w:pPr>
      <w:r w:rsidRPr="006676AC">
        <w:t xml:space="preserve">Zu viele Nicht-ÖsterreicherInnen in einer Siedlung können zu einer Parallelgesellschaft führen. </w:t>
      </w:r>
    </w:p>
    <w:p w:rsidR="0011152C" w:rsidRPr="006676AC" w:rsidRDefault="0011152C" w:rsidP="0011152C">
      <w:pPr>
        <w:pStyle w:val="Aufzhlungszeichen"/>
      </w:pPr>
      <w:r w:rsidRPr="006676AC">
        <w:t>Bei der Wohnungsvergabe sollten neben der Staatsbürgerschaft auch Fragen im Zusa</w:t>
      </w:r>
      <w:r w:rsidRPr="006676AC">
        <w:t>m</w:t>
      </w:r>
      <w:r w:rsidRPr="006676AC">
        <w:t xml:space="preserve">menhang mit dem Migrationshintergrund wie Muttersprache, Religion etc. berücksichtigt werden. </w:t>
      </w:r>
    </w:p>
    <w:p w:rsidR="0011152C" w:rsidRPr="006676AC" w:rsidRDefault="0011152C" w:rsidP="0011152C">
      <w:pPr>
        <w:pStyle w:val="Aufzhlungszeichen"/>
      </w:pPr>
      <w:r w:rsidRPr="006676AC">
        <w:lastRenderedPageBreak/>
        <w:t xml:space="preserve">Neue MieterInnen müssen gut zur Hausgemeinschaft passen. </w:t>
      </w:r>
    </w:p>
    <w:p w:rsidR="0011152C" w:rsidRPr="006676AC" w:rsidRDefault="0011152C" w:rsidP="0011152C">
      <w:pPr>
        <w:pStyle w:val="Aufzhlungszeichen"/>
      </w:pPr>
      <w:r w:rsidRPr="006676AC">
        <w:t xml:space="preserve">Bevor eine nicht-österreichische Familie eine Wohnung erhält, ist deren Bereitschaft zu überprüfen, sich in die Hausgemeinschaft einzufügen. </w:t>
      </w:r>
    </w:p>
    <w:p w:rsidR="0011152C" w:rsidRPr="006676AC" w:rsidRDefault="0011152C" w:rsidP="0011152C">
      <w:pPr>
        <w:pStyle w:val="Aufzhlungszeichen"/>
      </w:pPr>
      <w:r w:rsidRPr="006676AC">
        <w:t>Bei der Abklärung von Voraussetzungen und besonderen Bedürfnissen von Wo</w:t>
      </w:r>
      <w:r w:rsidRPr="006676AC">
        <w:t>h</w:t>
      </w:r>
      <w:r w:rsidRPr="006676AC">
        <w:t>nungswerberInnen mit Migrationshintergrund sollen externe Beratungsstellen für die B</w:t>
      </w:r>
      <w:r w:rsidRPr="006676AC">
        <w:t>e</w:t>
      </w:r>
      <w:r w:rsidRPr="006676AC">
        <w:t xml:space="preserve">ratung/Betreuung dieser Familien beigezogen werden. </w:t>
      </w:r>
    </w:p>
    <w:p w:rsidR="0011152C" w:rsidRPr="006676AC" w:rsidRDefault="0011152C" w:rsidP="0011152C">
      <w:pPr>
        <w:rPr>
          <w:rFonts w:cs="Tahoma"/>
          <w:szCs w:val="22"/>
        </w:rPr>
      </w:pPr>
    </w:p>
    <w:p w:rsidR="0011152C" w:rsidRPr="006676AC" w:rsidRDefault="0011152C" w:rsidP="0011152C">
      <w:pPr>
        <w:rPr>
          <w:rFonts w:cs="Tahoma"/>
          <w:szCs w:val="22"/>
        </w:rPr>
      </w:pPr>
      <w:r w:rsidRPr="006676AC">
        <w:rPr>
          <w:rFonts w:cs="Tahoma"/>
          <w:szCs w:val="22"/>
        </w:rPr>
        <w:t xml:space="preserve">Vorsorgen zur Wohnversorgung einzelner Zielgruppen </w:t>
      </w:r>
      <w:r>
        <w:rPr>
          <w:rFonts w:cs="Tahoma"/>
        </w:rPr>
        <w:t xml:space="preserve">/ </w:t>
      </w:r>
      <w:r w:rsidRPr="006676AC">
        <w:rPr>
          <w:rFonts w:cs="Tahoma"/>
          <w:szCs w:val="22"/>
        </w:rPr>
        <w:t xml:space="preserve">Gibt es in Ihrem Wirkungsbereich spezielle Vorsorgen / Projektschienen für die Wohnversorgung bestimmter Zielgruppen? </w:t>
      </w:r>
    </w:p>
    <w:p w:rsidR="0011152C" w:rsidRPr="006676AC" w:rsidRDefault="0011152C" w:rsidP="003B6DD6">
      <w:pPr>
        <w:pStyle w:val="Aufzhlungszeichen"/>
      </w:pPr>
      <w:r w:rsidRPr="006676AC">
        <w:t xml:space="preserve">Kontingent für die Bekämpfung von Armut und Wohnungslosigkeit, z.B. für betreutes Wohnen </w:t>
      </w:r>
    </w:p>
    <w:p w:rsidR="0011152C" w:rsidRPr="006676AC" w:rsidRDefault="0011152C" w:rsidP="003B6DD6">
      <w:pPr>
        <w:pStyle w:val="Aufzhlungszeichen"/>
      </w:pPr>
      <w:r w:rsidRPr="006676AC">
        <w:t xml:space="preserve">Kontingent für die Wohnversorgung von Drittstaatsangehörigen </w:t>
      </w:r>
    </w:p>
    <w:p w:rsidR="0011152C" w:rsidRPr="006676AC" w:rsidRDefault="0011152C" w:rsidP="003B6DD6">
      <w:pPr>
        <w:pStyle w:val="Aufzhlungszeichen"/>
      </w:pPr>
      <w:r w:rsidRPr="006676AC">
        <w:t xml:space="preserve">Kontingent für die Wohnversorgung von anerkannten Asylsuchenden </w:t>
      </w:r>
    </w:p>
    <w:p w:rsidR="0011152C" w:rsidRPr="006676AC" w:rsidRDefault="0011152C" w:rsidP="003B6DD6">
      <w:pPr>
        <w:pStyle w:val="Aufzhlungszeichen"/>
      </w:pPr>
      <w:r w:rsidRPr="006676AC">
        <w:t xml:space="preserve">betreutes Wohnen für SeniorInnen </w:t>
      </w:r>
    </w:p>
    <w:p w:rsidR="0011152C" w:rsidRPr="006676AC" w:rsidRDefault="0011152C" w:rsidP="003B6DD6">
      <w:pPr>
        <w:pStyle w:val="Aufzhlungszeichen"/>
      </w:pPr>
      <w:r w:rsidRPr="006676AC">
        <w:t xml:space="preserve">Startwohnungen für Jungfamilien </w:t>
      </w:r>
    </w:p>
    <w:p w:rsidR="0011152C" w:rsidRPr="006676AC" w:rsidRDefault="0011152C" w:rsidP="003B6DD6">
      <w:pPr>
        <w:pStyle w:val="Aufzhlungszeichen"/>
      </w:pPr>
      <w:r w:rsidRPr="006676AC">
        <w:t xml:space="preserve">Kontingent für andere Zielgruppen </w:t>
      </w:r>
    </w:p>
    <w:p w:rsidR="0011152C" w:rsidRPr="006676AC" w:rsidRDefault="0011152C" w:rsidP="003B6DD6">
      <w:pPr>
        <w:pStyle w:val="Aufzhlungszeichen"/>
      </w:pPr>
      <w:r w:rsidRPr="006676AC">
        <w:t>Für welche anderen Zielgruppen gibt es in Ihrem Zuständigkeitsbereich spezielle Vorso</w:t>
      </w:r>
      <w:r w:rsidRPr="006676AC">
        <w:t>r</w:t>
      </w:r>
      <w:r w:rsidRPr="006676AC">
        <w:t xml:space="preserve">gen/Kontingente? </w:t>
      </w:r>
    </w:p>
    <w:p w:rsidR="0011152C" w:rsidRPr="006676AC" w:rsidRDefault="0011152C" w:rsidP="0011152C">
      <w:pPr>
        <w:rPr>
          <w:rFonts w:cs="Tahoma"/>
          <w:szCs w:val="22"/>
        </w:rPr>
      </w:pPr>
    </w:p>
    <w:p w:rsidR="0011152C" w:rsidRPr="006676AC" w:rsidRDefault="0011152C" w:rsidP="0011152C">
      <w:pPr>
        <w:rPr>
          <w:rFonts w:cs="Tahoma"/>
          <w:szCs w:val="22"/>
        </w:rPr>
      </w:pPr>
      <w:r w:rsidRPr="0011152C">
        <w:rPr>
          <w:rFonts w:cs="Tahoma"/>
          <w:szCs w:val="22"/>
          <w:u w:val="single"/>
        </w:rPr>
        <w:t>k) Einstellungen und Haltungen zum Thema "Equality in Housing"</w:t>
      </w:r>
      <w:r w:rsidRPr="006676AC">
        <w:rPr>
          <w:rFonts w:cs="Tahoma"/>
          <w:szCs w:val="22"/>
        </w:rPr>
        <w:t xml:space="preserve"> </w:t>
      </w:r>
      <w:r>
        <w:rPr>
          <w:rFonts w:cs="Tahoma"/>
        </w:rPr>
        <w:t xml:space="preserve">/ </w:t>
      </w:r>
      <w:r w:rsidRPr="006676AC">
        <w:rPr>
          <w:rFonts w:cs="Tahoma"/>
          <w:szCs w:val="22"/>
        </w:rPr>
        <w:t>Bitte bewerten Sie fo</w:t>
      </w:r>
      <w:r w:rsidRPr="006676AC">
        <w:rPr>
          <w:rFonts w:cs="Tahoma"/>
          <w:szCs w:val="22"/>
        </w:rPr>
        <w:t>l</w:t>
      </w:r>
      <w:r w:rsidRPr="006676AC">
        <w:rPr>
          <w:rFonts w:cs="Tahoma"/>
          <w:szCs w:val="22"/>
        </w:rPr>
        <w:t xml:space="preserve">gende Aussagen, inwieweit diese Ihrer Meinung nach zutreffen </w:t>
      </w:r>
    </w:p>
    <w:p w:rsidR="0011152C" w:rsidRPr="006676AC" w:rsidRDefault="0011152C" w:rsidP="0011152C">
      <w:pPr>
        <w:pStyle w:val="Aufzhlungszeichen"/>
      </w:pPr>
      <w:r w:rsidRPr="006676AC">
        <w:t xml:space="preserve">In der Vergabe von Wohnungen sind die SachbearbeiterInnen angehalten, Haushalte mit österreichischer Staatsbürgerschaft vordringlich zu berücksichtigen. </w:t>
      </w:r>
    </w:p>
    <w:p w:rsidR="0011152C" w:rsidRPr="006676AC" w:rsidRDefault="0011152C" w:rsidP="0011152C">
      <w:pPr>
        <w:pStyle w:val="Aufzhlungszeichen"/>
      </w:pPr>
      <w:r w:rsidRPr="006676AC">
        <w:t xml:space="preserve">Bei der Reihung der WohnungswerberInnen nach Dringlichkeit werden alle wichtigen Bedarfslagen erfasst und in die Wertung einbezogen. </w:t>
      </w:r>
    </w:p>
    <w:p w:rsidR="0011152C" w:rsidRPr="006676AC" w:rsidRDefault="0011152C" w:rsidP="0011152C">
      <w:pPr>
        <w:pStyle w:val="Aufzhlungszeichen"/>
      </w:pPr>
      <w:r w:rsidRPr="006676AC">
        <w:t xml:space="preserve">Die Vergabekriterien lassen Spielraum, auf besondere Umstände individuell einzugehen. </w:t>
      </w:r>
    </w:p>
    <w:p w:rsidR="0011152C" w:rsidRPr="006676AC" w:rsidRDefault="0011152C" w:rsidP="0011152C">
      <w:pPr>
        <w:pStyle w:val="Aufzhlungszeichen"/>
      </w:pPr>
      <w:r w:rsidRPr="006676AC">
        <w:t>Auch wenn die Wohnungsvergabe strikt nach den Gleichbehandlungsricht</w:t>
      </w:r>
      <w:r w:rsidRPr="006676AC">
        <w:softHyphen/>
        <w:t xml:space="preserve">linien erfolgt, kommt es auf dem Wohnungsmarkt zur Benachteiligung von MigrantInnen. </w:t>
      </w:r>
      <w:r w:rsidR="003B6DD6">
        <w:br/>
      </w:r>
    </w:p>
    <w:p w:rsidR="0011152C" w:rsidRPr="006676AC" w:rsidRDefault="0011152C" w:rsidP="0011152C">
      <w:pPr>
        <w:rPr>
          <w:rFonts w:cs="Tahoma"/>
          <w:szCs w:val="22"/>
        </w:rPr>
      </w:pPr>
      <w:r w:rsidRPr="006676AC">
        <w:rPr>
          <w:rFonts w:cs="Tahoma"/>
          <w:szCs w:val="22"/>
        </w:rPr>
        <w:t xml:space="preserve">Um eine Benachteiligung von Nicht-ÖsterreicherInnen auf dem Wohnungsmarkt nachhaltig abbauen zu können, bräuchte es entsprechende Vorsorgen </w:t>
      </w:r>
    </w:p>
    <w:p w:rsidR="0011152C" w:rsidRPr="006676AC" w:rsidRDefault="0011152C" w:rsidP="003B6DD6">
      <w:pPr>
        <w:pStyle w:val="Aufzhlungszeichen"/>
      </w:pPr>
      <w:r w:rsidRPr="006676AC">
        <w:t>Festlegung von Zielvorgaben bei der Erstellung des Wohnbauförderungs</w:t>
      </w:r>
      <w:r w:rsidRPr="006676AC">
        <w:softHyphen/>
        <w:t xml:space="preserve">budgets </w:t>
      </w:r>
    </w:p>
    <w:p w:rsidR="0011152C" w:rsidRPr="006676AC" w:rsidRDefault="0011152C" w:rsidP="003B6DD6">
      <w:pPr>
        <w:pStyle w:val="Aufzhlungszeichen"/>
      </w:pPr>
      <w:r w:rsidRPr="006676AC">
        <w:lastRenderedPageBreak/>
        <w:t>Widmung von Fördermitteln für die bevorzugte Versorgung von MigrantInnen mit leistb</w:t>
      </w:r>
      <w:r w:rsidRPr="006676AC">
        <w:t>a</w:t>
      </w:r>
      <w:r w:rsidRPr="006676AC">
        <w:t xml:space="preserve">ren Wohnungen </w:t>
      </w:r>
    </w:p>
    <w:p w:rsidR="0011152C" w:rsidRPr="006676AC" w:rsidRDefault="0011152C" w:rsidP="003B6DD6">
      <w:pPr>
        <w:pStyle w:val="Aufzhlungszeichen"/>
      </w:pPr>
      <w:r w:rsidRPr="006676AC">
        <w:t xml:space="preserve">Schwerpunktsetzungen bei der Stadt-und Siedlungsplanung </w:t>
      </w:r>
    </w:p>
    <w:p w:rsidR="0011152C" w:rsidRPr="006676AC" w:rsidRDefault="0011152C" w:rsidP="003B6DD6">
      <w:pPr>
        <w:pStyle w:val="Aufzhlungszeichen"/>
      </w:pPr>
      <w:r w:rsidRPr="006676AC">
        <w:t xml:space="preserve">begleitende Maßnahmen auf der Ebene der Hausgemeinschaften </w:t>
      </w:r>
    </w:p>
    <w:p w:rsidR="0011152C" w:rsidRPr="006676AC" w:rsidRDefault="0011152C" w:rsidP="003B6DD6">
      <w:pPr>
        <w:pStyle w:val="Aufzhlungszeichen"/>
      </w:pPr>
      <w:r w:rsidRPr="006676AC">
        <w:t>Öffentlichkeitsarbeit zur Verbesserung der Akzeptanz für die Wohnversor</w:t>
      </w:r>
      <w:r w:rsidRPr="006676AC">
        <w:softHyphen/>
        <w:t>gung von Hau</w:t>
      </w:r>
      <w:r w:rsidRPr="006676AC">
        <w:t>s</w:t>
      </w:r>
      <w:r w:rsidRPr="006676AC">
        <w:t xml:space="preserve">halten mit nicht-österreichischer Staatsbürgerschaft </w:t>
      </w:r>
    </w:p>
    <w:p w:rsidR="0011152C" w:rsidRPr="006676AC" w:rsidRDefault="0011152C" w:rsidP="003B6DD6">
      <w:pPr>
        <w:pStyle w:val="Aufzhlungszeichen"/>
      </w:pPr>
      <w:r w:rsidRPr="006676AC">
        <w:t xml:space="preserve">Sonstiges (bitte angeben) </w:t>
      </w:r>
    </w:p>
    <w:p w:rsidR="0011152C" w:rsidRPr="006676AC" w:rsidRDefault="0011152C" w:rsidP="0011152C">
      <w:pPr>
        <w:rPr>
          <w:rFonts w:cs="Tahoma"/>
          <w:szCs w:val="22"/>
        </w:rPr>
      </w:pPr>
    </w:p>
    <w:p w:rsidR="0011152C" w:rsidRPr="006676AC" w:rsidRDefault="0011152C" w:rsidP="0011152C">
      <w:pPr>
        <w:rPr>
          <w:rFonts w:cs="Tahoma"/>
          <w:szCs w:val="22"/>
        </w:rPr>
      </w:pPr>
      <w:r w:rsidRPr="006676AC">
        <w:rPr>
          <w:rFonts w:cs="Tahoma"/>
          <w:szCs w:val="22"/>
        </w:rPr>
        <w:t xml:space="preserve">Für die Wohnversorgung von Haushalten mit besonderen Belastungen werden eigenständige Vergabeschienen und/oder Vorsorgen benötigt </w:t>
      </w:r>
    </w:p>
    <w:p w:rsidR="0011152C" w:rsidRPr="006676AC" w:rsidRDefault="0011152C" w:rsidP="003B6DD6">
      <w:pPr>
        <w:pStyle w:val="Aufzhlungszeichen"/>
      </w:pPr>
      <w:r w:rsidRPr="006676AC">
        <w:t xml:space="preserve">Bereitstellung eines Kontingents für die Wohnversorgung von MigrantInnen </w:t>
      </w:r>
    </w:p>
    <w:p w:rsidR="0011152C" w:rsidRPr="006676AC" w:rsidRDefault="0011152C" w:rsidP="003B6DD6">
      <w:pPr>
        <w:pStyle w:val="Aufzhlungszeichen"/>
      </w:pPr>
      <w:r w:rsidRPr="006676AC">
        <w:t xml:space="preserve">Beratungsangebote / soziale Arbeit in Wohnsiedlungen / Gemeinwesenarbeit </w:t>
      </w:r>
    </w:p>
    <w:p w:rsidR="0011152C" w:rsidRPr="006676AC" w:rsidRDefault="0011152C" w:rsidP="003B6DD6">
      <w:pPr>
        <w:pStyle w:val="Aufzhlungszeichen"/>
      </w:pPr>
      <w:r w:rsidRPr="006676AC">
        <w:t xml:space="preserve">Sonstiges (bitte angeben) </w:t>
      </w:r>
    </w:p>
    <w:p w:rsidR="0011152C" w:rsidRPr="006676AC" w:rsidRDefault="0011152C" w:rsidP="0011152C">
      <w:pPr>
        <w:rPr>
          <w:rFonts w:cs="Tahoma"/>
          <w:szCs w:val="22"/>
        </w:rPr>
      </w:pPr>
    </w:p>
    <w:p w:rsidR="0011152C" w:rsidRPr="006676AC" w:rsidRDefault="0011152C" w:rsidP="0011152C">
      <w:pPr>
        <w:rPr>
          <w:rFonts w:cs="Tahoma"/>
          <w:szCs w:val="22"/>
        </w:rPr>
      </w:pPr>
      <w:r w:rsidRPr="006676AC">
        <w:rPr>
          <w:rFonts w:cs="Tahoma"/>
          <w:szCs w:val="22"/>
        </w:rPr>
        <w:t xml:space="preserve">Damit Diskriminierung aufgrund von Ethnie, Sprache oder Religion vermieden werden kann, müssen besondere Vorkehrungen geschaffen werden </w:t>
      </w:r>
    </w:p>
    <w:p w:rsidR="0011152C" w:rsidRPr="006676AC" w:rsidRDefault="0011152C" w:rsidP="003B6DD6">
      <w:pPr>
        <w:pStyle w:val="Aufzhlungszeichen"/>
      </w:pPr>
      <w:r w:rsidRPr="006676AC">
        <w:t xml:space="preserve">Aus-und Weiterbildung für die SachbearbeiterInnen </w:t>
      </w:r>
    </w:p>
    <w:p w:rsidR="0011152C" w:rsidRPr="006676AC" w:rsidRDefault="0011152C" w:rsidP="003B6DD6">
      <w:pPr>
        <w:pStyle w:val="Aufzhlungszeichen"/>
      </w:pPr>
      <w:r w:rsidRPr="006676AC">
        <w:t xml:space="preserve">Einstellung von SpezialistInnen / SozialarbeiterInnen </w:t>
      </w:r>
    </w:p>
    <w:p w:rsidR="0011152C" w:rsidRPr="006676AC" w:rsidRDefault="0011152C" w:rsidP="003B6DD6">
      <w:pPr>
        <w:pStyle w:val="Aufzhlungszeichen"/>
      </w:pPr>
      <w:r w:rsidRPr="006676AC">
        <w:t xml:space="preserve">positive Diskriminierung bei Planung und Vergabe von Mitteln aus der </w:t>
      </w:r>
    </w:p>
    <w:p w:rsidR="0011152C" w:rsidRPr="006676AC" w:rsidRDefault="0011152C" w:rsidP="003B6DD6">
      <w:pPr>
        <w:pStyle w:val="Aufzhlungszeichen"/>
      </w:pPr>
      <w:r w:rsidRPr="006676AC">
        <w:t xml:space="preserve">Wohnbauförderung </w:t>
      </w:r>
    </w:p>
    <w:p w:rsidR="0011152C" w:rsidRPr="006676AC" w:rsidRDefault="0011152C" w:rsidP="003B6DD6">
      <w:pPr>
        <w:pStyle w:val="Aufzhlungszeichen"/>
      </w:pPr>
      <w:r w:rsidRPr="006676AC">
        <w:t xml:space="preserve">Sonstiges (bitte angeben) </w:t>
      </w:r>
    </w:p>
    <w:p w:rsidR="0011152C" w:rsidRPr="006676AC" w:rsidRDefault="0011152C" w:rsidP="0011152C">
      <w:pPr>
        <w:rPr>
          <w:rFonts w:cs="Tahoma"/>
          <w:szCs w:val="22"/>
        </w:rPr>
      </w:pPr>
    </w:p>
    <w:p w:rsidR="0011152C" w:rsidRPr="006676AC" w:rsidRDefault="0011152C" w:rsidP="0011152C">
      <w:pPr>
        <w:rPr>
          <w:rFonts w:cs="Tahoma"/>
          <w:szCs w:val="22"/>
        </w:rPr>
      </w:pPr>
      <w:r>
        <w:rPr>
          <w:rFonts w:cs="Tahoma"/>
          <w:szCs w:val="22"/>
        </w:rPr>
        <w:t>l)</w:t>
      </w:r>
      <w:r w:rsidRPr="006676AC">
        <w:rPr>
          <w:rFonts w:cs="Tahoma"/>
          <w:szCs w:val="22"/>
        </w:rPr>
        <w:t xml:space="preserve"> Rahmenbedingungen für eine diskriminierungsfreie Wohnungsvergabe </w:t>
      </w:r>
      <w:r>
        <w:rPr>
          <w:rFonts w:cs="Tahoma"/>
        </w:rPr>
        <w:t xml:space="preserve">/ </w:t>
      </w:r>
      <w:r w:rsidRPr="006676AC">
        <w:rPr>
          <w:rFonts w:cs="Tahoma"/>
          <w:szCs w:val="22"/>
        </w:rPr>
        <w:t xml:space="preserve">Beantworten Sie bitte folgende Fragen zur Aktualität des Themas "Equality in Housing" </w:t>
      </w:r>
    </w:p>
    <w:p w:rsidR="0011152C" w:rsidRPr="006676AC" w:rsidRDefault="0011152C" w:rsidP="0011152C">
      <w:pPr>
        <w:pStyle w:val="Aufzhlungszeichen"/>
      </w:pPr>
      <w:r w:rsidRPr="006676AC">
        <w:t xml:space="preserve">Die Normen des Gleichbehandlungsgesetzes und deren Inhalte sind mir für meine Arbeit ausreichend bekannt. </w:t>
      </w:r>
    </w:p>
    <w:p w:rsidR="0011152C" w:rsidRPr="006676AC" w:rsidRDefault="0011152C" w:rsidP="0011152C">
      <w:pPr>
        <w:pStyle w:val="Aufzhlungszeichen"/>
      </w:pPr>
      <w:r w:rsidRPr="006676AC">
        <w:t>Wurden Diskriminierung und Benachteiligung am Wohnungsmarkt in</w:t>
      </w:r>
      <w:r>
        <w:t xml:space="preserve"> </w:t>
      </w:r>
      <w:r w:rsidRPr="006676AC">
        <w:t xml:space="preserve">Ihrer Einrichtung im Verlauf der vergangenen Jahre in Dienst-oder Teambesprechungen diskutiert? </w:t>
      </w:r>
    </w:p>
    <w:p w:rsidR="0011152C" w:rsidRPr="006676AC" w:rsidRDefault="0011152C" w:rsidP="0011152C">
      <w:pPr>
        <w:pStyle w:val="Aufzhlungszeichen"/>
      </w:pPr>
      <w:r w:rsidRPr="006676AC">
        <w:t xml:space="preserve">Wurde der Umgang mit nicht-österreichischen Haushalten bei der Wohnungsvergabe in betrieblichen Fortbildungen behandelt? </w:t>
      </w:r>
    </w:p>
    <w:p w:rsidR="0011152C" w:rsidRPr="006676AC" w:rsidRDefault="0011152C" w:rsidP="0011152C">
      <w:pPr>
        <w:pStyle w:val="Aufzhlungszeichen"/>
      </w:pPr>
      <w:r w:rsidRPr="006676AC">
        <w:t>Wurden an Ihrer Dienststelle in den vergangenen Jahren Strategien für eine diskrimini</w:t>
      </w:r>
      <w:r w:rsidRPr="006676AC">
        <w:t>e</w:t>
      </w:r>
      <w:r w:rsidRPr="006676AC">
        <w:t xml:space="preserve">rungsfreie Wohnungsvergabe erarbeitet und implementiert? </w:t>
      </w:r>
    </w:p>
    <w:p w:rsidR="0011152C" w:rsidRPr="006676AC" w:rsidRDefault="0011152C" w:rsidP="0011152C">
      <w:pPr>
        <w:pStyle w:val="Aufzhlungszeichen"/>
      </w:pPr>
      <w:r w:rsidRPr="006676AC">
        <w:lastRenderedPageBreak/>
        <w:t>Sind in Ihrer praktischen Arbeit in den vergangenen Jahren konkrete Beispiele diskutiert worden, die in Hinblick auf Strategien für eine diskriminierungsfreie Vergabe von Wo</w:t>
      </w:r>
      <w:r w:rsidRPr="006676AC">
        <w:t>h</w:t>
      </w:r>
      <w:r w:rsidRPr="006676AC">
        <w:t xml:space="preserve">nungen relevant erscheinen? </w:t>
      </w:r>
    </w:p>
    <w:p w:rsidR="0011152C" w:rsidRPr="006676AC" w:rsidRDefault="0011152C" w:rsidP="0011152C">
      <w:pPr>
        <w:pStyle w:val="Aufzhlungszeichen"/>
      </w:pPr>
      <w:r w:rsidRPr="006676AC">
        <w:t xml:space="preserve">Sonstiges (bitte angeben) </w:t>
      </w:r>
    </w:p>
    <w:p w:rsidR="0011152C" w:rsidRPr="006676AC" w:rsidRDefault="0011152C" w:rsidP="0011152C">
      <w:pPr>
        <w:rPr>
          <w:rFonts w:cs="Tahoma"/>
          <w:szCs w:val="22"/>
        </w:rPr>
      </w:pPr>
    </w:p>
    <w:p w:rsidR="0011152C" w:rsidRPr="006676AC" w:rsidRDefault="0011152C" w:rsidP="0011152C">
      <w:pPr>
        <w:rPr>
          <w:rFonts w:cs="Tahoma"/>
          <w:szCs w:val="22"/>
        </w:rPr>
      </w:pPr>
      <w:r w:rsidRPr="006676AC">
        <w:rPr>
          <w:rFonts w:cs="Tahoma"/>
          <w:szCs w:val="22"/>
        </w:rPr>
        <w:t xml:space="preserve">Sind Sie daran interessiert, an der weiteren Umsetzung dieser Studie persönlich mitzuwirken? </w:t>
      </w:r>
    </w:p>
    <w:p w:rsidR="0011152C" w:rsidRPr="006676AC" w:rsidRDefault="0011152C" w:rsidP="003B6DD6">
      <w:pPr>
        <w:pStyle w:val="Aufzhlungszeichen"/>
      </w:pPr>
      <w:r w:rsidRPr="006676AC">
        <w:t xml:space="preserve">Feedback-Schleife zu Auswertung und Interpretation der Fragebogenerhebung </w:t>
      </w:r>
    </w:p>
    <w:p w:rsidR="0011152C" w:rsidRPr="006676AC" w:rsidRDefault="0011152C" w:rsidP="003B6DD6">
      <w:pPr>
        <w:pStyle w:val="Aufzhlungszeichen"/>
      </w:pPr>
      <w:r w:rsidRPr="006676AC">
        <w:t xml:space="preserve">vertiefendes Interview zu Fragen der Vergabepraxis </w:t>
      </w:r>
    </w:p>
    <w:p w:rsidR="0011152C" w:rsidRPr="006676AC" w:rsidRDefault="0011152C" w:rsidP="003B6DD6">
      <w:pPr>
        <w:pStyle w:val="Aufzhlungszeichen"/>
      </w:pPr>
      <w:r w:rsidRPr="006676AC">
        <w:t xml:space="preserve">Teilnahme an einem Workshop zur Erarbeitung einer kommunalen/regionalen Fallstudie </w:t>
      </w:r>
    </w:p>
    <w:p w:rsidR="0011152C" w:rsidRPr="006676AC" w:rsidRDefault="0011152C" w:rsidP="003B6DD6">
      <w:pPr>
        <w:pStyle w:val="Aufzhlungszeichen"/>
      </w:pPr>
      <w:r w:rsidRPr="006676AC">
        <w:t xml:space="preserve">Bereitstellung von konkreten Fallbeispielen aus Ihrer Praxis </w:t>
      </w:r>
    </w:p>
    <w:p w:rsidR="0011152C" w:rsidRPr="006676AC" w:rsidRDefault="0011152C" w:rsidP="003B6DD6">
      <w:pPr>
        <w:pStyle w:val="Aufzhlungszeichen"/>
      </w:pPr>
      <w:r w:rsidRPr="006676AC">
        <w:t xml:space="preserve">Im Falle Ihres Interesses ersuchen wir Sie um Angabe einer Kontaktadresse </w:t>
      </w:r>
    </w:p>
    <w:p w:rsidR="0011152C" w:rsidRPr="006676AC" w:rsidRDefault="0011152C" w:rsidP="0011152C">
      <w:pPr>
        <w:rPr>
          <w:rFonts w:cs="Tahoma"/>
          <w:szCs w:val="22"/>
        </w:rPr>
      </w:pPr>
    </w:p>
    <w:p w:rsidR="0011152C" w:rsidRPr="006676AC" w:rsidRDefault="0011152C" w:rsidP="0011152C">
      <w:pPr>
        <w:rPr>
          <w:rFonts w:cs="Tahoma"/>
          <w:szCs w:val="22"/>
        </w:rPr>
      </w:pPr>
    </w:p>
    <w:p w:rsidR="0011152C" w:rsidRPr="006676AC" w:rsidRDefault="0011152C" w:rsidP="0011152C">
      <w:pPr>
        <w:rPr>
          <w:rFonts w:cs="Tahoma"/>
          <w:szCs w:val="22"/>
        </w:rPr>
      </w:pPr>
      <w:r w:rsidRPr="006676AC">
        <w:rPr>
          <w:rFonts w:cs="Tahoma"/>
          <w:szCs w:val="22"/>
        </w:rPr>
        <w:t xml:space="preserve">Wir hoffen, dass Ihnen dieser Fragebogen nicht allzu viele Mühen bereitet hat und bedanken uns herzlich für Ihre Teilnahme und Unterstützung. </w:t>
      </w:r>
    </w:p>
    <w:p w:rsidR="0011152C" w:rsidRPr="006676AC" w:rsidRDefault="0011152C" w:rsidP="0011152C">
      <w:pPr>
        <w:rPr>
          <w:rFonts w:cs="Tahoma"/>
          <w:szCs w:val="22"/>
        </w:rPr>
      </w:pPr>
    </w:p>
    <w:p w:rsidR="0011152C" w:rsidRPr="00044AF0" w:rsidRDefault="0011152C" w:rsidP="00E34973"/>
    <w:sectPr w:rsidR="0011152C" w:rsidRPr="00044AF0" w:rsidSect="000A0956">
      <w:type w:val="continuous"/>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F06" w:rsidRDefault="00445F06" w:rsidP="00F64497">
      <w:pPr>
        <w:spacing w:after="0" w:line="240" w:lineRule="auto"/>
      </w:pPr>
      <w:r>
        <w:separator/>
      </w:r>
    </w:p>
  </w:endnote>
  <w:endnote w:type="continuationSeparator" w:id="0">
    <w:p w:rsidR="00445F06" w:rsidRDefault="00445F06" w:rsidP="00F644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7430"/>
      <w:gridCol w:w="1858"/>
    </w:tblGrid>
    <w:sdt>
      <w:sdtPr>
        <w:rPr>
          <w:rFonts w:asciiTheme="majorHAnsi" w:eastAsiaTheme="majorEastAsia" w:hAnsiTheme="majorHAnsi" w:cstheme="majorBidi"/>
          <w:sz w:val="20"/>
          <w:szCs w:val="20"/>
        </w:rPr>
        <w:id w:val="27331785"/>
        <w:docPartObj>
          <w:docPartGallery w:val="Page Numbers (Bottom of Page)"/>
          <w:docPartUnique/>
        </w:docPartObj>
      </w:sdtPr>
      <w:sdtEndPr>
        <w:rPr>
          <w:rFonts w:ascii="Tahoma" w:eastAsia="Times New Roman" w:hAnsi="Tahoma" w:cs="Times New Roman"/>
          <w:sz w:val="22"/>
          <w:szCs w:val="24"/>
        </w:rPr>
      </w:sdtEndPr>
      <w:sdtContent>
        <w:tr w:rsidR="003714AC">
          <w:trPr>
            <w:trHeight w:val="727"/>
          </w:trPr>
          <w:tc>
            <w:tcPr>
              <w:tcW w:w="4000" w:type="pct"/>
              <w:tcBorders>
                <w:right w:val="triple" w:sz="4" w:space="0" w:color="4F81BD" w:themeColor="accent1"/>
              </w:tcBorders>
            </w:tcPr>
            <w:p w:rsidR="003714AC" w:rsidRDefault="003714AC">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3714AC" w:rsidRDefault="0019487A">
              <w:pPr>
                <w:tabs>
                  <w:tab w:val="left" w:pos="1490"/>
                </w:tabs>
                <w:rPr>
                  <w:rFonts w:asciiTheme="majorHAnsi" w:hAnsiTheme="majorHAnsi"/>
                  <w:sz w:val="28"/>
                  <w:szCs w:val="28"/>
                </w:rPr>
              </w:pPr>
              <w:fldSimple w:instr=" PAGE    \* MERGEFORMAT ">
                <w:r w:rsidR="00044AF0">
                  <w:rPr>
                    <w:noProof/>
                  </w:rPr>
                  <w:t>129</w:t>
                </w:r>
              </w:fldSimple>
            </w:p>
          </w:tc>
        </w:tr>
      </w:sdtContent>
    </w:sdt>
  </w:tbl>
  <w:p w:rsidR="003714AC" w:rsidRDefault="003714AC">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4AC" w:rsidRDefault="003714AC" w:rsidP="00454479">
    <w:pPr>
      <w:rPr>
        <w:rFonts w:ascii="Times New Roman" w:hAnsi="Times New Roman"/>
        <w:sz w:val="24"/>
      </w:rPr>
    </w:pPr>
    <w:r>
      <w:rPr>
        <w:rFonts w:ascii="Times New Roman" w:hAnsi="Times New Roman"/>
        <w:noProof/>
        <w:sz w:val="24"/>
        <w:lang w:val="de-AT" w:eastAsia="de-AT"/>
      </w:rPr>
      <w:drawing>
        <wp:inline distT="0" distB="0" distL="0" distR="0">
          <wp:extent cx="592455" cy="573405"/>
          <wp:effectExtent l="1905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592455" cy="573405"/>
                  </a:xfrm>
                  <a:prstGeom prst="rect">
                    <a:avLst/>
                  </a:prstGeom>
                  <a:noFill/>
                  <a:ln w="9525">
                    <a:noFill/>
                    <a:miter lim="800000"/>
                    <a:headEnd/>
                    <a:tailEnd/>
                  </a:ln>
                </pic:spPr>
              </pic:pic>
            </a:graphicData>
          </a:graphic>
        </wp:inline>
      </w:drawing>
    </w:r>
    <w:r>
      <w:rPr>
        <w:rFonts w:ascii="Times New Roman" w:hAnsi="Times New Roman"/>
        <w:sz w:val="24"/>
      </w:rPr>
      <w:t xml:space="preserve">         </w:t>
    </w:r>
    <w:r>
      <w:rPr>
        <w:rFonts w:ascii="Times New Roman" w:hAnsi="Times New Roman"/>
        <w:noProof/>
        <w:sz w:val="24"/>
        <w:lang w:val="de-AT" w:eastAsia="de-AT"/>
      </w:rPr>
      <w:drawing>
        <wp:inline distT="0" distB="0" distL="0" distR="0">
          <wp:extent cx="701675" cy="579755"/>
          <wp:effectExtent l="19050" t="0" r="3175"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
                  <a:srcRect/>
                  <a:stretch>
                    <a:fillRect/>
                  </a:stretch>
                </pic:blipFill>
                <pic:spPr bwMode="auto">
                  <a:xfrm>
                    <a:off x="0" y="0"/>
                    <a:ext cx="701675" cy="579755"/>
                  </a:xfrm>
                  <a:prstGeom prst="rect">
                    <a:avLst/>
                  </a:prstGeom>
                  <a:noFill/>
                  <a:ln w="9525">
                    <a:noFill/>
                    <a:miter lim="800000"/>
                    <a:headEnd/>
                    <a:tailEnd/>
                  </a:ln>
                </pic:spPr>
              </pic:pic>
            </a:graphicData>
          </a:graphic>
        </wp:inline>
      </w:drawing>
    </w:r>
    <w:r>
      <w:rPr>
        <w:rFonts w:ascii="Times New Roman" w:hAnsi="Times New Roman"/>
        <w:sz w:val="24"/>
      </w:rPr>
      <w:t xml:space="preserve">        </w:t>
    </w:r>
    <w:r>
      <w:rPr>
        <w:rFonts w:ascii="Times New Roman" w:hAnsi="Times New Roman"/>
        <w:noProof/>
        <w:sz w:val="24"/>
        <w:lang w:val="de-AT" w:eastAsia="de-AT"/>
      </w:rPr>
      <w:drawing>
        <wp:inline distT="0" distB="0" distL="0" distR="0">
          <wp:extent cx="1654810" cy="573405"/>
          <wp:effectExtent l="19050" t="0" r="2540" b="0"/>
          <wp:docPr id="3" name="Bild 3" descr="VH neu mit Österreich underline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VH neu mit Österreich underline 4c"/>
                  <pic:cNvPicPr>
                    <a:picLocks noChangeAspect="1" noChangeArrowheads="1"/>
                  </pic:cNvPicPr>
                </pic:nvPicPr>
                <pic:blipFill>
                  <a:blip r:embed="rId3"/>
                  <a:srcRect/>
                  <a:stretch>
                    <a:fillRect/>
                  </a:stretch>
                </pic:blipFill>
                <pic:spPr bwMode="auto">
                  <a:xfrm>
                    <a:off x="0" y="0"/>
                    <a:ext cx="1654810" cy="573405"/>
                  </a:xfrm>
                  <a:prstGeom prst="rect">
                    <a:avLst/>
                  </a:prstGeom>
                  <a:noFill/>
                  <a:ln w="9525">
                    <a:noFill/>
                    <a:miter lim="800000"/>
                    <a:headEnd/>
                    <a:tailEnd/>
                  </a:ln>
                </pic:spPr>
              </pic:pic>
            </a:graphicData>
          </a:graphic>
        </wp:inline>
      </w:drawing>
    </w:r>
  </w:p>
  <w:p w:rsidR="003714AC" w:rsidRDefault="003714A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F06" w:rsidRDefault="00445F06" w:rsidP="00F64497">
      <w:pPr>
        <w:spacing w:after="0" w:line="240" w:lineRule="auto"/>
      </w:pPr>
      <w:r>
        <w:separator/>
      </w:r>
    </w:p>
  </w:footnote>
  <w:footnote w:type="continuationSeparator" w:id="0">
    <w:p w:rsidR="00445F06" w:rsidRDefault="00445F06" w:rsidP="00F64497">
      <w:pPr>
        <w:spacing w:after="0" w:line="240" w:lineRule="auto"/>
      </w:pPr>
      <w:r>
        <w:continuationSeparator/>
      </w:r>
    </w:p>
  </w:footnote>
  <w:footnote w:id="1">
    <w:p w:rsidR="003714AC" w:rsidRDefault="003714AC" w:rsidP="00BA3499">
      <w:pPr>
        <w:pStyle w:val="Funotentext"/>
        <w:ind w:left="426" w:hanging="426"/>
      </w:pPr>
      <w:r>
        <w:rPr>
          <w:rStyle w:val="Funotenzeichen"/>
        </w:rPr>
        <w:footnoteRef/>
      </w:r>
      <w:r>
        <w:t xml:space="preserve"> </w:t>
      </w:r>
      <w:r>
        <w:tab/>
        <w:t>Vgl. dazu: Statistik Austria 2006</w:t>
      </w:r>
    </w:p>
  </w:footnote>
  <w:footnote w:id="2">
    <w:p w:rsidR="003714AC" w:rsidRDefault="003714AC" w:rsidP="00587957">
      <w:pPr>
        <w:pStyle w:val="Funotentext"/>
        <w:ind w:left="426" w:hanging="426"/>
      </w:pPr>
      <w:r>
        <w:rPr>
          <w:rStyle w:val="Funotenzeichen"/>
        </w:rPr>
        <w:footnoteRef/>
      </w:r>
      <w:r>
        <w:t xml:space="preserve"> </w:t>
      </w:r>
      <w:r>
        <w:tab/>
        <w:t>Im Detail siehe dazu unter, S. 22</w:t>
      </w:r>
    </w:p>
  </w:footnote>
  <w:footnote w:id="3">
    <w:p w:rsidR="003714AC" w:rsidRDefault="003714AC" w:rsidP="00587957">
      <w:pPr>
        <w:pStyle w:val="Funotentext"/>
        <w:ind w:left="426" w:hanging="426"/>
      </w:pPr>
      <w:r>
        <w:rPr>
          <w:rStyle w:val="Funotenzeichen"/>
        </w:rPr>
        <w:footnoteRef/>
      </w:r>
      <w:r>
        <w:t xml:space="preserve"> </w:t>
      </w:r>
      <w:r>
        <w:tab/>
        <w:t>Die Einladung zur Teilnahme an der Online-Befragung wurde sehr breit gestreut. Es ist deshalb nicht möglich, eine konkrete Rücklaufquote anzugeben. Insgesamt aber liegt die Anzahl von 300 ausgefüllten Fragebögen deutlich über unseren Erwartungen.</w:t>
      </w:r>
    </w:p>
  </w:footnote>
  <w:footnote w:id="4">
    <w:p w:rsidR="003714AC" w:rsidRDefault="003714AC" w:rsidP="00DC702B">
      <w:pPr>
        <w:pStyle w:val="Funotentext"/>
        <w:ind w:left="426" w:hanging="426"/>
      </w:pPr>
      <w:r>
        <w:rPr>
          <w:rStyle w:val="Funotenzeichen"/>
        </w:rPr>
        <w:footnoteRef/>
      </w:r>
      <w:r>
        <w:t xml:space="preserve"> </w:t>
      </w:r>
      <w:r>
        <w:tab/>
        <w:t xml:space="preserve">Unter Migrationshintergrund werden in diesem Bericht (gemäß dem Definitionsvorschlag von Statistik Austria) Personen subsumiert, die selbst oder deren Eltern im Ausland geboren wurden. </w:t>
      </w:r>
    </w:p>
  </w:footnote>
  <w:footnote w:id="5">
    <w:p w:rsidR="003714AC" w:rsidRDefault="003714AC">
      <w:pPr>
        <w:pStyle w:val="Funotentext"/>
      </w:pPr>
      <w:r>
        <w:rPr>
          <w:rStyle w:val="Funotenzeichen"/>
        </w:rPr>
        <w:footnoteRef/>
      </w:r>
      <w:r>
        <w:t xml:space="preserve"> </w:t>
      </w:r>
      <w:r>
        <w:tab/>
        <w:t>Eine detaillierte Darstellung dieser Modelle findet sich unten, S. 106ff.</w:t>
      </w:r>
    </w:p>
  </w:footnote>
  <w:footnote w:id="6">
    <w:p w:rsidR="003714AC" w:rsidRDefault="003714AC" w:rsidP="000D2265">
      <w:pPr>
        <w:pStyle w:val="Funotentext"/>
        <w:ind w:left="426" w:hanging="426"/>
      </w:pPr>
      <w:r>
        <w:rPr>
          <w:rStyle w:val="Funotenzeichen"/>
        </w:rPr>
        <w:footnoteRef/>
      </w:r>
      <w:r>
        <w:t xml:space="preserve"> </w:t>
      </w:r>
      <w:r>
        <w:tab/>
        <w:t>Die nachstehenden Beschreibungen der kommunalen / regionalen Vergabemodelle stützen sich durchgängig auf mündliche Mitteilungen von InterviewpartnerInnen oder TeilnehmerInnen an Gesprächsrunden und sind hier sinngemäß wiedergegeben</w:t>
      </w:r>
    </w:p>
  </w:footnote>
  <w:footnote w:id="7">
    <w:p w:rsidR="003714AC" w:rsidRDefault="003714AC" w:rsidP="00035464">
      <w:pPr>
        <w:pStyle w:val="Funotentext"/>
        <w:ind w:left="426" w:hanging="426"/>
      </w:pPr>
      <w:r>
        <w:rPr>
          <w:rStyle w:val="Funotenzeichen"/>
        </w:rPr>
        <w:footnoteRef/>
      </w:r>
      <w:r>
        <w:t xml:space="preserve"> </w:t>
      </w:r>
      <w:r>
        <w:tab/>
        <w:t>Von VertreterInnen aus dem Bereich der Beratungs- und Betreuungseinrichtungen wird die Praxis des Wohnungsamtes mit Verweis darauf in Frage gestellt, dass die Zielsetzung der Förderung von Durchmischung, Integration und Wohnzufriedenheit zu einer Benachteiligung von Wohnungswer</w:t>
      </w:r>
      <w:r>
        <w:softHyphen/>
        <w:t>berInnen mit Migrationshintergrund führen kann, vor allem dann wenn es sich um einen kinde</w:t>
      </w:r>
      <w:r>
        <w:t>r</w:t>
      </w:r>
      <w:r>
        <w:t>reichen Haushalt handelt.</w:t>
      </w:r>
    </w:p>
  </w:footnote>
  <w:footnote w:id="8">
    <w:p w:rsidR="003714AC" w:rsidRPr="000C3B44" w:rsidRDefault="003714AC">
      <w:pPr>
        <w:autoSpaceDE w:val="0"/>
        <w:autoSpaceDN w:val="0"/>
        <w:adjustRightInd w:val="0"/>
        <w:spacing w:after="0" w:line="240" w:lineRule="auto"/>
        <w:ind w:left="426" w:hanging="426"/>
        <w:rPr>
          <w:sz w:val="20"/>
        </w:rPr>
      </w:pPr>
      <w:r>
        <w:rPr>
          <w:rStyle w:val="Funotenzeichen"/>
        </w:rPr>
        <w:footnoteRef/>
      </w:r>
      <w:r>
        <w:t xml:space="preserve"> </w:t>
      </w:r>
      <w:r>
        <w:tab/>
      </w:r>
      <w:r w:rsidRPr="000C3B44">
        <w:rPr>
          <w:sz w:val="20"/>
        </w:rPr>
        <w:t xml:space="preserve">Vgl. dazu ausführlich: </w:t>
      </w:r>
      <w:r w:rsidRPr="000C3B44">
        <w:rPr>
          <w:rFonts w:cs="Tahoma"/>
          <w:sz w:val="20"/>
          <w:szCs w:val="22"/>
          <w:lang w:val="de-AT" w:eastAsia="en-US"/>
        </w:rPr>
        <w:t>Lugger,</w:t>
      </w:r>
      <w:r>
        <w:rPr>
          <w:rFonts w:cs="Tahoma"/>
          <w:sz w:val="20"/>
          <w:szCs w:val="22"/>
          <w:lang w:val="de-AT" w:eastAsia="en-US"/>
        </w:rPr>
        <w:t xml:space="preserve"> </w:t>
      </w:r>
      <w:r w:rsidRPr="000C3B44">
        <w:rPr>
          <w:rFonts w:cs="Tahoma"/>
          <w:sz w:val="20"/>
          <w:szCs w:val="22"/>
          <w:lang w:val="de-AT" w:eastAsia="en-US"/>
        </w:rPr>
        <w:t>K.</w:t>
      </w:r>
      <w:r>
        <w:rPr>
          <w:rFonts w:cs="Tahoma"/>
          <w:sz w:val="20"/>
          <w:szCs w:val="22"/>
          <w:lang w:val="de-AT" w:eastAsia="en-US"/>
        </w:rPr>
        <w:t xml:space="preserve"> </w:t>
      </w:r>
      <w:r w:rsidRPr="000C3B44">
        <w:rPr>
          <w:rFonts w:cs="Tahoma"/>
          <w:sz w:val="20"/>
          <w:szCs w:val="22"/>
          <w:lang w:val="de-AT" w:eastAsia="en-US"/>
        </w:rPr>
        <w:t>/</w:t>
      </w:r>
      <w:r>
        <w:rPr>
          <w:rFonts w:cs="Tahoma"/>
          <w:sz w:val="20"/>
          <w:szCs w:val="22"/>
          <w:lang w:val="de-AT" w:eastAsia="en-US"/>
        </w:rPr>
        <w:t xml:space="preserve"> </w:t>
      </w:r>
      <w:r w:rsidRPr="000C3B44">
        <w:rPr>
          <w:rFonts w:cs="Tahoma"/>
          <w:sz w:val="20"/>
          <w:szCs w:val="22"/>
          <w:lang w:val="de-AT" w:eastAsia="en-US"/>
        </w:rPr>
        <w:t>Amann,</w:t>
      </w:r>
      <w:r>
        <w:rPr>
          <w:rFonts w:cs="Tahoma"/>
          <w:sz w:val="20"/>
          <w:szCs w:val="22"/>
          <w:lang w:val="de-AT" w:eastAsia="en-US"/>
        </w:rPr>
        <w:t xml:space="preserve"> </w:t>
      </w:r>
      <w:r w:rsidRPr="000C3B44">
        <w:rPr>
          <w:rFonts w:cs="Tahoma"/>
          <w:sz w:val="20"/>
          <w:szCs w:val="22"/>
          <w:lang w:val="de-AT" w:eastAsia="en-US"/>
        </w:rPr>
        <w:t xml:space="preserve">W. (Hrsg.): Der soziale Wohnbau in Europa, </w:t>
      </w:r>
      <w:r>
        <w:rPr>
          <w:rFonts w:cs="Tahoma"/>
          <w:sz w:val="20"/>
          <w:szCs w:val="22"/>
          <w:lang w:val="de-AT" w:eastAsia="en-US"/>
        </w:rPr>
        <w:br/>
      </w:r>
      <w:r w:rsidRPr="000C3B44">
        <w:rPr>
          <w:rFonts w:cs="Tahoma"/>
          <w:sz w:val="20"/>
          <w:szCs w:val="22"/>
          <w:lang w:val="de-AT" w:eastAsia="en-US"/>
        </w:rPr>
        <w:t>Österreich als Vorbild, Wien 2006</w:t>
      </w:r>
    </w:p>
  </w:footnote>
  <w:footnote w:id="9">
    <w:p w:rsidR="003714AC" w:rsidRDefault="003714AC">
      <w:pPr>
        <w:pStyle w:val="Funotentext"/>
        <w:ind w:left="426" w:hanging="426"/>
      </w:pPr>
      <w:r>
        <w:rPr>
          <w:rStyle w:val="Funotenzeichen"/>
        </w:rPr>
        <w:footnoteRef/>
      </w:r>
      <w:r>
        <w:t xml:space="preserve"> </w:t>
      </w:r>
      <w:r>
        <w:tab/>
        <w:t xml:space="preserve">Vgl. dazu ausführlich: Schoibl, H., Knappes Gut Wohnen, Salzburg 2008 sowie Schoibl, H., </w:t>
      </w:r>
      <w:r>
        <w:br/>
        <w:t>Armutsfalle Wohnen, Salzburg 2007</w:t>
      </w:r>
    </w:p>
  </w:footnote>
  <w:footnote w:id="10">
    <w:p w:rsidR="003714AC" w:rsidRDefault="003714AC">
      <w:pPr>
        <w:pStyle w:val="Funotentext"/>
        <w:ind w:left="426" w:hanging="426"/>
      </w:pPr>
      <w:r>
        <w:rPr>
          <w:rStyle w:val="Funotenzeichen"/>
        </w:rPr>
        <w:footnoteRef/>
      </w:r>
      <w:r>
        <w:t xml:space="preserve"> </w:t>
      </w:r>
      <w:r>
        <w:tab/>
      </w:r>
      <w:r>
        <w:rPr>
          <w:lang w:eastAsia="en-US"/>
        </w:rPr>
        <w:t>siehe dazu im Detail: Frey, V., Recht auf Wohnen?, Wien 2011</w:t>
      </w:r>
    </w:p>
  </w:footnote>
  <w:footnote w:id="11">
    <w:p w:rsidR="003714AC" w:rsidRDefault="003714AC" w:rsidP="00365EC6">
      <w:pPr>
        <w:pStyle w:val="Funotentext"/>
        <w:ind w:left="426" w:hanging="426"/>
      </w:pPr>
      <w:r>
        <w:rPr>
          <w:rStyle w:val="Funotenzeichen"/>
        </w:rPr>
        <w:footnoteRef/>
      </w:r>
      <w:r>
        <w:t xml:space="preserve"> </w:t>
      </w:r>
      <w:r>
        <w:tab/>
        <w:t xml:space="preserve">Die Einladung zur Mitwirkung an der Online-Befragung wurde sehr breit, z.B. über Newsletter und Homepage der BAWO sowie im Schneeballsystem über die länderspezifischen Vernetzung der BAWO-Mitglieder, gestreut. Eine Rücklaufquote ist leider nicht errechenbar. </w:t>
      </w:r>
    </w:p>
  </w:footnote>
  <w:footnote w:id="12">
    <w:p w:rsidR="003714AC" w:rsidRDefault="003714AC" w:rsidP="00730C39">
      <w:pPr>
        <w:pStyle w:val="Funotentext"/>
        <w:ind w:left="426" w:hanging="426"/>
      </w:pPr>
      <w:r>
        <w:rPr>
          <w:rStyle w:val="Funotenzeichen"/>
        </w:rPr>
        <w:footnoteRef/>
      </w:r>
      <w:r>
        <w:t xml:space="preserve"> </w:t>
      </w:r>
      <w:r>
        <w:tab/>
        <w:t>Namen und Funktionen der GesprächsteilnehmerInnen sind im Anhang auf S.128f. angeführt.</w:t>
      </w:r>
    </w:p>
  </w:footnote>
  <w:footnote w:id="13">
    <w:p w:rsidR="003714AC" w:rsidRDefault="003714AC">
      <w:pPr>
        <w:pStyle w:val="Funotentext"/>
        <w:ind w:left="426" w:hanging="426"/>
      </w:pPr>
      <w:r>
        <w:rPr>
          <w:rStyle w:val="Funotenzeichen"/>
        </w:rPr>
        <w:footnoteRef/>
      </w:r>
      <w:r>
        <w:t xml:space="preserve"> </w:t>
      </w:r>
      <w:r>
        <w:tab/>
        <w:t>Eine Benachteiligung und mithin verbotene Diskriminierung liegt nach der Rechtsmeinung von Volker Frey (Recht auf Wohnen? 2011) dann vor, wenn mit dem Zielkriterium einer ausgewog</w:t>
      </w:r>
      <w:r>
        <w:t>e</w:t>
      </w:r>
      <w:r>
        <w:t>nen ethnischen Mischung ein temporärer oder gänzlicher Ausschluss einzelner nicht-österreichischer Haushalte aus der Wohnversorgung begründet oder eine Behandlung dieser Wohnversorgungsanträge z.B. ausgesetzt bzw. zeitlich verschoben wird.</w:t>
      </w:r>
    </w:p>
  </w:footnote>
  <w:footnote w:id="14">
    <w:p w:rsidR="003714AC" w:rsidRDefault="003714AC">
      <w:pPr>
        <w:pStyle w:val="Funotentext"/>
        <w:ind w:left="426" w:hanging="426"/>
      </w:pPr>
      <w:r>
        <w:rPr>
          <w:rStyle w:val="Funotenzeichen"/>
        </w:rPr>
        <w:footnoteRef/>
      </w:r>
      <w:r>
        <w:t xml:space="preserve"> </w:t>
      </w:r>
      <w:r>
        <w:tab/>
        <w:t>Zur Problematik von Quotenregelungen und den rechtlichen Einschränkungen einer praktischen Umsetzung im Rahmen der Wohnungsvergabe vgl. Abermann, J. / 2008</w:t>
      </w:r>
    </w:p>
  </w:footnote>
  <w:footnote w:id="15">
    <w:p w:rsidR="003714AC" w:rsidRDefault="003714AC" w:rsidP="00582B37">
      <w:pPr>
        <w:pStyle w:val="Funotentext"/>
        <w:ind w:left="426" w:hanging="426"/>
      </w:pPr>
      <w:r>
        <w:rPr>
          <w:rStyle w:val="Funotenzeichen"/>
        </w:rPr>
        <w:footnoteRef/>
      </w:r>
      <w:r>
        <w:t xml:space="preserve"> </w:t>
      </w:r>
      <w:r>
        <w:tab/>
        <w:t>Vgl. dazu Moser 2010, Melcher 2011, ZeMiT 2010</w:t>
      </w:r>
    </w:p>
  </w:footnote>
  <w:footnote w:id="16">
    <w:p w:rsidR="003714AC" w:rsidRDefault="003714AC">
      <w:pPr>
        <w:pStyle w:val="Funotentext"/>
        <w:ind w:left="426" w:hanging="426"/>
      </w:pPr>
      <w:r>
        <w:rPr>
          <w:rStyle w:val="Funotenzeichen"/>
        </w:rPr>
        <w:footnoteRef/>
      </w:r>
      <w:r>
        <w:t xml:space="preserve"> </w:t>
      </w:r>
      <w:r>
        <w:tab/>
        <w:t>Als problematisch wird von InterviewpartnerInnen aus Beratungseinrichtungen beurteilt, dass den WohnungswerberInnen letztlich keine Möglichkeit eingeräumt wird, die vergaberelevanten Voren</w:t>
      </w:r>
      <w:r>
        <w:t>t</w:t>
      </w:r>
      <w:r>
        <w:t>scheidungen zu kontrollieren bzw. aktiv an der Vergabe mitzuwirken.</w:t>
      </w:r>
    </w:p>
  </w:footnote>
  <w:footnote w:id="17">
    <w:p w:rsidR="003714AC" w:rsidRDefault="003714AC" w:rsidP="003B768E">
      <w:pPr>
        <w:pStyle w:val="Funotentext"/>
        <w:ind w:left="426" w:hanging="426"/>
      </w:pPr>
      <w:r>
        <w:rPr>
          <w:rStyle w:val="Funotenzeichen"/>
        </w:rPr>
        <w:footnoteRef/>
      </w:r>
      <w:r>
        <w:t xml:space="preserve"> </w:t>
      </w:r>
      <w:r>
        <w:tab/>
        <w:t>Gleichbehandlungsanwaltschaft Österreich, Nur wer Deutsch kann, soll auch wohnen? o.J.</w:t>
      </w:r>
    </w:p>
  </w:footnote>
  <w:footnote w:id="18">
    <w:p w:rsidR="003714AC" w:rsidRDefault="003714AC">
      <w:pPr>
        <w:pStyle w:val="Funotentext"/>
        <w:ind w:left="426" w:hanging="426"/>
      </w:pPr>
      <w:r>
        <w:rPr>
          <w:rStyle w:val="Funotenzeichen"/>
        </w:rPr>
        <w:footnoteRef/>
      </w:r>
      <w:r>
        <w:t xml:space="preserve"> </w:t>
      </w:r>
      <w:r>
        <w:tab/>
        <w:t>ZeMiT, Wohnen und Migrationsgesellschaft, Tagungsdokumentation, Innsbruck 2010</w:t>
      </w:r>
    </w:p>
  </w:footnote>
  <w:footnote w:id="19">
    <w:p w:rsidR="003714AC" w:rsidRDefault="003714AC" w:rsidP="00915107">
      <w:pPr>
        <w:pStyle w:val="Funotentext"/>
        <w:ind w:left="426" w:hanging="426"/>
      </w:pPr>
      <w:r>
        <w:rPr>
          <w:rStyle w:val="Funotenzeichen"/>
        </w:rPr>
        <w:footnoteRef/>
      </w:r>
      <w:r>
        <w:t xml:space="preserve"> </w:t>
      </w:r>
      <w:r>
        <w:tab/>
      </w:r>
      <w:r>
        <w:rPr>
          <w:lang w:val="de-AT"/>
        </w:rPr>
        <w:t>Um Missverständnisse auszuschließen, sei hier vorab festgestellt, dass diese Aussagen bestenfalls sehr eingeschränkt der Meinung des Projektteams von EQUALITY IN HOUSING entsprechen. Ziel dieses Fragebogenabschnitts war es stattdessen, den Handlungsbedarf in Bezug auf die ideellen Grundlagen der örtlichen / regionalen Wohnpolitik respektive der Vergabe von öffentlichem Woh</w:t>
      </w:r>
      <w:r>
        <w:rPr>
          <w:lang w:val="de-AT"/>
        </w:rPr>
        <w:t>n</w:t>
      </w:r>
      <w:r>
        <w:rPr>
          <w:lang w:val="de-AT"/>
        </w:rPr>
        <w:t>raum abzuklären.</w:t>
      </w:r>
    </w:p>
  </w:footnote>
  <w:footnote w:id="20">
    <w:p w:rsidR="003714AC" w:rsidRDefault="003714AC" w:rsidP="00007278">
      <w:pPr>
        <w:pStyle w:val="Funotentext"/>
        <w:ind w:left="426" w:hanging="426"/>
      </w:pPr>
      <w:r>
        <w:rPr>
          <w:rStyle w:val="Funotenzeichen"/>
        </w:rPr>
        <w:footnoteRef/>
      </w:r>
      <w:r>
        <w:t xml:space="preserve"> </w:t>
      </w:r>
      <w:r>
        <w:tab/>
        <w:t xml:space="preserve">Vgl. dazu: </w:t>
      </w:r>
      <w:hyperlink r:id="rId1" w:history="1">
        <w:r w:rsidRPr="00B177D4">
          <w:rPr>
            <w:rStyle w:val="Hyperlink"/>
          </w:rPr>
          <w:t>http://www.verein-wohnplattform.at/index2.htm</w:t>
        </w:r>
      </w:hyperlink>
    </w:p>
  </w:footnote>
  <w:footnote w:id="21">
    <w:p w:rsidR="003714AC" w:rsidRDefault="003714AC" w:rsidP="008A451D">
      <w:pPr>
        <w:pStyle w:val="Funotentext"/>
        <w:ind w:left="426" w:hanging="426"/>
      </w:pPr>
      <w:r>
        <w:rPr>
          <w:rStyle w:val="Funotenzeichen"/>
        </w:rPr>
        <w:footnoteRef/>
      </w:r>
      <w:r>
        <w:t xml:space="preserve"> </w:t>
      </w:r>
      <w:r>
        <w:tab/>
        <w:t xml:space="preserve">Lorenzi, H., Soziales Netzwerk Wohnen, in: Sozialarbeit in Tirol, 76, S. 26-27, Innsbruck 2010; vgl. dazu: </w:t>
      </w:r>
      <w:hyperlink r:id="rId2" w:history="1">
        <w:r w:rsidRPr="00B177D4">
          <w:rPr>
            <w:rStyle w:val="Hyperlink"/>
          </w:rPr>
          <w:t>http://www.ifs.at/wohnen.html</w:t>
        </w:r>
      </w:hyperlink>
    </w:p>
  </w:footnote>
  <w:footnote w:id="22">
    <w:p w:rsidR="003714AC" w:rsidRDefault="003714AC" w:rsidP="008A451D">
      <w:pPr>
        <w:pStyle w:val="Funotentext"/>
        <w:ind w:left="426" w:hanging="426"/>
      </w:pPr>
      <w:r>
        <w:rPr>
          <w:rStyle w:val="Funotenzeichen"/>
        </w:rPr>
        <w:footnoteRef/>
      </w:r>
      <w:r>
        <w:t xml:space="preserve"> </w:t>
      </w:r>
      <w:r>
        <w:tab/>
        <w:t xml:space="preserve">Vgl. dazu. </w:t>
      </w:r>
      <w:hyperlink r:id="rId3" w:history="1">
        <w:r w:rsidRPr="00B177D4">
          <w:rPr>
            <w:rStyle w:val="Hyperlink"/>
          </w:rPr>
          <w:t>www.wohnassistenz-noe.at</w:t>
        </w:r>
      </w:hyperlink>
    </w:p>
  </w:footnote>
  <w:footnote w:id="23">
    <w:p w:rsidR="003714AC" w:rsidRDefault="003714AC" w:rsidP="008A451D">
      <w:pPr>
        <w:pStyle w:val="Funotentext"/>
        <w:ind w:left="426" w:hanging="426"/>
      </w:pPr>
      <w:r>
        <w:rPr>
          <w:rStyle w:val="Funotenzeichen"/>
        </w:rPr>
        <w:footnoteRef/>
      </w:r>
      <w:r>
        <w:t xml:space="preserve"> </w:t>
      </w:r>
      <w:r>
        <w:tab/>
        <w:t xml:space="preserve">Vgl. dazu im Überblick: </w:t>
      </w:r>
      <w:hyperlink r:id="rId4" w:history="1">
        <w:r w:rsidRPr="00B177D4">
          <w:rPr>
            <w:rStyle w:val="Hyperlink"/>
          </w:rPr>
          <w:t>http://www.wien.gv.at/bauen-wohnen/sozial/index.html</w:t>
        </w:r>
      </w:hyperlink>
    </w:p>
  </w:footnote>
  <w:footnote w:id="24">
    <w:p w:rsidR="003714AC" w:rsidRDefault="003714AC" w:rsidP="00007278">
      <w:pPr>
        <w:pStyle w:val="Funotentext"/>
        <w:ind w:left="426" w:hanging="426"/>
      </w:pPr>
      <w:r>
        <w:rPr>
          <w:rStyle w:val="Funotenzeichen"/>
        </w:rPr>
        <w:footnoteRef/>
      </w:r>
      <w:r>
        <w:t xml:space="preserve"> </w:t>
      </w:r>
      <w:r>
        <w:tab/>
        <w:t xml:space="preserve">Vgl. dazu: </w:t>
      </w:r>
      <w:hyperlink r:id="rId5" w:history="1">
        <w:r w:rsidRPr="00B177D4">
          <w:rPr>
            <w:rStyle w:val="Hyperlink"/>
          </w:rPr>
          <w:t>http://www.wien.gv.at/wohnen/wienerwohnen/superfoerderung.html</w:t>
        </w:r>
      </w:hyperlink>
    </w:p>
  </w:footnote>
  <w:footnote w:id="25">
    <w:p w:rsidR="003714AC" w:rsidRDefault="003714AC" w:rsidP="008A451D">
      <w:pPr>
        <w:pStyle w:val="Funotentext"/>
        <w:ind w:left="426" w:hanging="426"/>
      </w:pPr>
      <w:r>
        <w:rPr>
          <w:rStyle w:val="Funotenzeichen"/>
        </w:rPr>
        <w:footnoteRef/>
      </w:r>
      <w:r>
        <w:t xml:space="preserve"> </w:t>
      </w:r>
      <w:r>
        <w:tab/>
        <w:t xml:space="preserve">Vgl. dazu: </w:t>
      </w:r>
      <w:hyperlink r:id="rId6" w:history="1">
        <w:r w:rsidRPr="00A9714D">
          <w:rPr>
            <w:rStyle w:val="Hyperlink"/>
          </w:rPr>
          <w:t>http://www.wels-aktuell.at/userupload/editorupload/files/files/Konzepte/180510_Otto_Loewi_Strasse.pdf</w:t>
        </w:r>
      </w:hyperlink>
    </w:p>
  </w:footnote>
  <w:footnote w:id="26">
    <w:p w:rsidR="003714AC" w:rsidRDefault="003714AC" w:rsidP="008A451D">
      <w:pPr>
        <w:pStyle w:val="Funotentext"/>
        <w:ind w:left="426" w:hanging="426"/>
      </w:pPr>
      <w:r>
        <w:rPr>
          <w:rStyle w:val="Funotenzeichen"/>
        </w:rPr>
        <w:footnoteRef/>
      </w:r>
      <w:r>
        <w:t xml:space="preserve"> </w:t>
      </w:r>
      <w:r>
        <w:tab/>
        <w:t xml:space="preserve">Vgl. dazu: </w:t>
      </w:r>
      <w:hyperlink r:id="rId7" w:history="1">
        <w:r w:rsidRPr="00A9714D">
          <w:rPr>
            <w:rStyle w:val="Hyperlink"/>
          </w:rPr>
          <w:t>http://www.wohnpartner-wien.at/home/wohnpartner-angebot</w:t>
        </w:r>
      </w:hyperlink>
    </w:p>
  </w:footnote>
  <w:footnote w:id="27">
    <w:p w:rsidR="003714AC" w:rsidRDefault="003714AC" w:rsidP="008A451D">
      <w:pPr>
        <w:pStyle w:val="Funotentext"/>
        <w:ind w:left="426" w:hanging="426"/>
      </w:pPr>
      <w:r>
        <w:rPr>
          <w:rStyle w:val="Funotenzeichen"/>
        </w:rPr>
        <w:footnoteRef/>
      </w:r>
      <w:r>
        <w:t xml:space="preserve"> </w:t>
      </w:r>
      <w:r>
        <w:tab/>
        <w:t xml:space="preserve">Vgl. dazu: </w:t>
      </w:r>
      <w:hyperlink r:id="rId8" w:history="1">
        <w:r w:rsidRPr="00B177D4">
          <w:rPr>
            <w:rStyle w:val="Hyperlink"/>
          </w:rPr>
          <w:t>http://www.ifs.at/wohnen.html</w:t>
        </w:r>
      </w:hyperlink>
    </w:p>
  </w:footnote>
  <w:footnote w:id="28">
    <w:p w:rsidR="003714AC" w:rsidRDefault="003714AC" w:rsidP="008A451D">
      <w:pPr>
        <w:pStyle w:val="Funotentext"/>
        <w:ind w:left="426" w:hanging="426"/>
      </w:pPr>
      <w:r>
        <w:rPr>
          <w:rStyle w:val="Funotenzeichen"/>
        </w:rPr>
        <w:footnoteRef/>
      </w:r>
      <w:r>
        <w:t xml:space="preserve"> </w:t>
      </w:r>
      <w:r>
        <w:tab/>
        <w:t xml:space="preserve">Vgl. dazu </w:t>
      </w:r>
      <w:hyperlink r:id="rId9" w:history="1">
        <w:r w:rsidRPr="00A9714D">
          <w:rPr>
            <w:rStyle w:val="Hyperlink"/>
          </w:rPr>
          <w:t>http://www.okay-line.at/</w:t>
        </w:r>
      </w:hyperlink>
    </w:p>
  </w:footnote>
  <w:footnote w:id="29">
    <w:p w:rsidR="003714AC" w:rsidRPr="008A451D" w:rsidRDefault="003714AC" w:rsidP="008A451D">
      <w:pPr>
        <w:pStyle w:val="Funotentext"/>
        <w:ind w:left="426" w:hanging="426"/>
        <w:rPr>
          <w:lang w:val="fr-FR"/>
        </w:rPr>
      </w:pPr>
      <w:r>
        <w:rPr>
          <w:rStyle w:val="Funotenzeichen"/>
        </w:rPr>
        <w:footnoteRef/>
      </w:r>
      <w:r w:rsidRPr="008A451D">
        <w:rPr>
          <w:lang w:val="fr-FR"/>
        </w:rPr>
        <w:t xml:space="preserve"> </w:t>
      </w:r>
      <w:r w:rsidRPr="008A451D">
        <w:rPr>
          <w:lang w:val="fr-FR"/>
        </w:rPr>
        <w:tab/>
        <w:t xml:space="preserve">Vgl. </w:t>
      </w:r>
      <w:hyperlink r:id="rId10" w:history="1">
        <w:r w:rsidRPr="008A451D">
          <w:rPr>
            <w:rStyle w:val="Hyperlink"/>
            <w:lang w:val="fr-FR"/>
          </w:rPr>
          <w:t>http://www.land-oberoesterreich.gv.at/cps/rde/xchg/ooe/hs.xsl/26903_DEU_HTML.htm</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846322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1513B7B"/>
    <w:multiLevelType w:val="multilevel"/>
    <w:tmpl w:val="3F8C45F6"/>
    <w:lvl w:ilvl="0">
      <w:start w:val="2"/>
      <w:numFmt w:val="decimal"/>
      <w:lvlText w:val="%1"/>
      <w:lvlJc w:val="left"/>
      <w:pPr>
        <w:ind w:left="510" w:hanging="510"/>
      </w:pPr>
      <w:rPr>
        <w:rFonts w:hint="default"/>
      </w:rPr>
    </w:lvl>
    <w:lvl w:ilvl="1">
      <w:start w:val="3"/>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
    <w:nsid w:val="08AE1A3E"/>
    <w:multiLevelType w:val="multilevel"/>
    <w:tmpl w:val="0414AC48"/>
    <w:lvl w:ilvl="0">
      <w:start w:val="8"/>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DE4214F"/>
    <w:multiLevelType w:val="hybridMultilevel"/>
    <w:tmpl w:val="F9AE0F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8AB18FB"/>
    <w:multiLevelType w:val="hybridMultilevel"/>
    <w:tmpl w:val="0262B54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1D5D2ED9"/>
    <w:multiLevelType w:val="hybridMultilevel"/>
    <w:tmpl w:val="38E6298E"/>
    <w:lvl w:ilvl="0" w:tplc="9A04081C">
      <w:start w:val="1"/>
      <w:numFmt w:val="bullet"/>
      <w:lvlText w:val="o"/>
      <w:lvlJc w:val="left"/>
      <w:pPr>
        <w:ind w:left="720" w:hanging="360"/>
      </w:pPr>
      <w:rPr>
        <w:rFonts w:ascii="Tahoma" w:hAnsi="Tahoma" w:cs="Tahoma" w:hint="default"/>
        <w:sz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ED0467C"/>
    <w:multiLevelType w:val="hybridMultilevel"/>
    <w:tmpl w:val="A88ED4F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0AE7737"/>
    <w:multiLevelType w:val="hybridMultilevel"/>
    <w:tmpl w:val="78EA28B0"/>
    <w:lvl w:ilvl="0" w:tplc="0C07000B">
      <w:start w:val="1"/>
      <w:numFmt w:val="bullet"/>
      <w:lvlText w:val=""/>
      <w:lvlJc w:val="left"/>
      <w:pPr>
        <w:ind w:left="1068" w:hanging="360"/>
      </w:pPr>
      <w:rPr>
        <w:rFonts w:ascii="Wingdings" w:hAnsi="Wingdings"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8">
    <w:nsid w:val="213D479D"/>
    <w:multiLevelType w:val="hybridMultilevel"/>
    <w:tmpl w:val="B6B4A292"/>
    <w:lvl w:ilvl="0" w:tplc="B05AF1F2">
      <w:start w:val="1"/>
      <w:numFmt w:val="ordinal"/>
      <w:lvlText w:val="%1."/>
      <w:lvlJc w:val="left"/>
      <w:pPr>
        <w:ind w:left="1656" w:hanging="720"/>
      </w:pPr>
      <w:rPr>
        <w:rFonts w:hint="default"/>
      </w:rPr>
    </w:lvl>
    <w:lvl w:ilvl="1" w:tplc="0C070019" w:tentative="1">
      <w:start w:val="1"/>
      <w:numFmt w:val="lowerLetter"/>
      <w:lvlText w:val="%2."/>
      <w:lvlJc w:val="left"/>
      <w:pPr>
        <w:ind w:left="2016" w:hanging="360"/>
      </w:pPr>
    </w:lvl>
    <w:lvl w:ilvl="2" w:tplc="0C07001B" w:tentative="1">
      <w:start w:val="1"/>
      <w:numFmt w:val="lowerRoman"/>
      <w:lvlText w:val="%3."/>
      <w:lvlJc w:val="right"/>
      <w:pPr>
        <w:ind w:left="2736" w:hanging="180"/>
      </w:pPr>
    </w:lvl>
    <w:lvl w:ilvl="3" w:tplc="0C07000F" w:tentative="1">
      <w:start w:val="1"/>
      <w:numFmt w:val="decimal"/>
      <w:lvlText w:val="%4."/>
      <w:lvlJc w:val="left"/>
      <w:pPr>
        <w:ind w:left="3456" w:hanging="360"/>
      </w:pPr>
    </w:lvl>
    <w:lvl w:ilvl="4" w:tplc="0C070019" w:tentative="1">
      <w:start w:val="1"/>
      <w:numFmt w:val="lowerLetter"/>
      <w:lvlText w:val="%5."/>
      <w:lvlJc w:val="left"/>
      <w:pPr>
        <w:ind w:left="4176" w:hanging="360"/>
      </w:pPr>
    </w:lvl>
    <w:lvl w:ilvl="5" w:tplc="0C07001B" w:tentative="1">
      <w:start w:val="1"/>
      <w:numFmt w:val="lowerRoman"/>
      <w:lvlText w:val="%6."/>
      <w:lvlJc w:val="right"/>
      <w:pPr>
        <w:ind w:left="4896" w:hanging="180"/>
      </w:pPr>
    </w:lvl>
    <w:lvl w:ilvl="6" w:tplc="0C07000F" w:tentative="1">
      <w:start w:val="1"/>
      <w:numFmt w:val="decimal"/>
      <w:lvlText w:val="%7."/>
      <w:lvlJc w:val="left"/>
      <w:pPr>
        <w:ind w:left="5616" w:hanging="360"/>
      </w:pPr>
    </w:lvl>
    <w:lvl w:ilvl="7" w:tplc="0C070019" w:tentative="1">
      <w:start w:val="1"/>
      <w:numFmt w:val="lowerLetter"/>
      <w:lvlText w:val="%8."/>
      <w:lvlJc w:val="left"/>
      <w:pPr>
        <w:ind w:left="6336" w:hanging="360"/>
      </w:pPr>
    </w:lvl>
    <w:lvl w:ilvl="8" w:tplc="0C07001B" w:tentative="1">
      <w:start w:val="1"/>
      <w:numFmt w:val="lowerRoman"/>
      <w:lvlText w:val="%9."/>
      <w:lvlJc w:val="right"/>
      <w:pPr>
        <w:ind w:left="7056" w:hanging="180"/>
      </w:pPr>
    </w:lvl>
  </w:abstractNum>
  <w:abstractNum w:abstractNumId="9">
    <w:nsid w:val="2FEA56C4"/>
    <w:multiLevelType w:val="multilevel"/>
    <w:tmpl w:val="A6F6B3BA"/>
    <w:lvl w:ilvl="0">
      <w:start w:val="2"/>
      <w:numFmt w:val="decimal"/>
      <w:lvlText w:val="%1"/>
      <w:lvlJc w:val="left"/>
      <w:pPr>
        <w:ind w:left="510" w:hanging="510"/>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30A911D6"/>
    <w:multiLevelType w:val="multilevel"/>
    <w:tmpl w:val="ACEEB62C"/>
    <w:lvl w:ilvl="0">
      <w:start w:val="1"/>
      <w:numFmt w:val="decimal"/>
      <w:lvlText w:val="%1."/>
      <w:lvlJc w:val="left"/>
      <w:pPr>
        <w:ind w:left="1656" w:hanging="360"/>
      </w:pPr>
    </w:lvl>
    <w:lvl w:ilvl="1">
      <w:start w:val="4"/>
      <w:numFmt w:val="decimal"/>
      <w:isLgl/>
      <w:lvlText w:val="%1.%2"/>
      <w:lvlJc w:val="left"/>
      <w:pPr>
        <w:ind w:left="2016" w:hanging="72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376" w:hanging="108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736" w:hanging="1440"/>
      </w:pPr>
      <w:rPr>
        <w:rFonts w:hint="default"/>
      </w:rPr>
    </w:lvl>
    <w:lvl w:ilvl="6">
      <w:start w:val="1"/>
      <w:numFmt w:val="decimal"/>
      <w:isLgl/>
      <w:lvlText w:val="%1.%2.%3.%4.%5.%6.%7"/>
      <w:lvlJc w:val="left"/>
      <w:pPr>
        <w:ind w:left="3096" w:hanging="1800"/>
      </w:pPr>
      <w:rPr>
        <w:rFonts w:hint="default"/>
      </w:rPr>
    </w:lvl>
    <w:lvl w:ilvl="7">
      <w:start w:val="1"/>
      <w:numFmt w:val="decimal"/>
      <w:isLgl/>
      <w:lvlText w:val="%1.%2.%3.%4.%5.%6.%7.%8"/>
      <w:lvlJc w:val="left"/>
      <w:pPr>
        <w:ind w:left="3096" w:hanging="1800"/>
      </w:pPr>
      <w:rPr>
        <w:rFonts w:hint="default"/>
      </w:rPr>
    </w:lvl>
    <w:lvl w:ilvl="8">
      <w:start w:val="1"/>
      <w:numFmt w:val="decimal"/>
      <w:isLgl/>
      <w:lvlText w:val="%1.%2.%3.%4.%5.%6.%7.%8.%9"/>
      <w:lvlJc w:val="left"/>
      <w:pPr>
        <w:ind w:left="3456" w:hanging="2160"/>
      </w:pPr>
      <w:rPr>
        <w:rFonts w:hint="default"/>
      </w:rPr>
    </w:lvl>
  </w:abstractNum>
  <w:abstractNum w:abstractNumId="11">
    <w:nsid w:val="36063B11"/>
    <w:multiLevelType w:val="multilevel"/>
    <w:tmpl w:val="73725B42"/>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6F81517"/>
    <w:multiLevelType w:val="hybridMultilevel"/>
    <w:tmpl w:val="4E4E9E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78F2C7E"/>
    <w:multiLevelType w:val="hybridMultilevel"/>
    <w:tmpl w:val="10D8B0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398851A3"/>
    <w:multiLevelType w:val="hybridMultilevel"/>
    <w:tmpl w:val="5B36B9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3AAC17DA"/>
    <w:multiLevelType w:val="hybridMultilevel"/>
    <w:tmpl w:val="7C6246A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3B561F30"/>
    <w:multiLevelType w:val="multilevel"/>
    <w:tmpl w:val="0407001F"/>
    <w:lvl w:ilvl="0">
      <w:start w:val="1"/>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7">
    <w:nsid w:val="3D727FBC"/>
    <w:multiLevelType w:val="hybridMultilevel"/>
    <w:tmpl w:val="728CEF64"/>
    <w:lvl w:ilvl="0" w:tplc="951E267C">
      <w:numFmt w:val="decimal"/>
      <w:lvlText w:val="%1."/>
      <w:lvlJc w:val="left"/>
      <w:pPr>
        <w:ind w:left="1296" w:hanging="360"/>
      </w:pPr>
      <w:rPr>
        <w:rFonts w:hint="default"/>
        <w:color w:val="FFFFFF" w:themeColor="background1"/>
      </w:rPr>
    </w:lvl>
    <w:lvl w:ilvl="1" w:tplc="0C070019" w:tentative="1">
      <w:start w:val="1"/>
      <w:numFmt w:val="lowerLetter"/>
      <w:lvlText w:val="%2."/>
      <w:lvlJc w:val="left"/>
      <w:pPr>
        <w:ind w:left="2016" w:hanging="360"/>
      </w:pPr>
    </w:lvl>
    <w:lvl w:ilvl="2" w:tplc="0C07001B" w:tentative="1">
      <w:start w:val="1"/>
      <w:numFmt w:val="lowerRoman"/>
      <w:lvlText w:val="%3."/>
      <w:lvlJc w:val="right"/>
      <w:pPr>
        <w:ind w:left="2736" w:hanging="180"/>
      </w:pPr>
    </w:lvl>
    <w:lvl w:ilvl="3" w:tplc="0C07000F" w:tentative="1">
      <w:start w:val="1"/>
      <w:numFmt w:val="decimal"/>
      <w:lvlText w:val="%4."/>
      <w:lvlJc w:val="left"/>
      <w:pPr>
        <w:ind w:left="3456" w:hanging="360"/>
      </w:pPr>
    </w:lvl>
    <w:lvl w:ilvl="4" w:tplc="0C070019" w:tentative="1">
      <w:start w:val="1"/>
      <w:numFmt w:val="lowerLetter"/>
      <w:lvlText w:val="%5."/>
      <w:lvlJc w:val="left"/>
      <w:pPr>
        <w:ind w:left="4176" w:hanging="360"/>
      </w:pPr>
    </w:lvl>
    <w:lvl w:ilvl="5" w:tplc="0C07001B" w:tentative="1">
      <w:start w:val="1"/>
      <w:numFmt w:val="lowerRoman"/>
      <w:lvlText w:val="%6."/>
      <w:lvlJc w:val="right"/>
      <w:pPr>
        <w:ind w:left="4896" w:hanging="180"/>
      </w:pPr>
    </w:lvl>
    <w:lvl w:ilvl="6" w:tplc="0C07000F" w:tentative="1">
      <w:start w:val="1"/>
      <w:numFmt w:val="decimal"/>
      <w:lvlText w:val="%7."/>
      <w:lvlJc w:val="left"/>
      <w:pPr>
        <w:ind w:left="5616" w:hanging="360"/>
      </w:pPr>
    </w:lvl>
    <w:lvl w:ilvl="7" w:tplc="0C070019" w:tentative="1">
      <w:start w:val="1"/>
      <w:numFmt w:val="lowerLetter"/>
      <w:lvlText w:val="%8."/>
      <w:lvlJc w:val="left"/>
      <w:pPr>
        <w:ind w:left="6336" w:hanging="360"/>
      </w:pPr>
    </w:lvl>
    <w:lvl w:ilvl="8" w:tplc="0C07001B" w:tentative="1">
      <w:start w:val="1"/>
      <w:numFmt w:val="lowerRoman"/>
      <w:lvlText w:val="%9."/>
      <w:lvlJc w:val="right"/>
      <w:pPr>
        <w:ind w:left="7056" w:hanging="180"/>
      </w:pPr>
    </w:lvl>
  </w:abstractNum>
  <w:abstractNum w:abstractNumId="18">
    <w:nsid w:val="43EF6141"/>
    <w:multiLevelType w:val="hybridMultilevel"/>
    <w:tmpl w:val="67A81F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457B4B77"/>
    <w:multiLevelType w:val="hybridMultilevel"/>
    <w:tmpl w:val="09EAD7C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5258388D"/>
    <w:multiLevelType w:val="hybridMultilevel"/>
    <w:tmpl w:val="7056ED5A"/>
    <w:lvl w:ilvl="0" w:tplc="0C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21">
    <w:nsid w:val="57620CC0"/>
    <w:multiLevelType w:val="hybridMultilevel"/>
    <w:tmpl w:val="BF0007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636264E1"/>
    <w:multiLevelType w:val="hybridMultilevel"/>
    <w:tmpl w:val="A8007BB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6470569E"/>
    <w:multiLevelType w:val="hybridMultilevel"/>
    <w:tmpl w:val="E51E32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693E4F12"/>
    <w:multiLevelType w:val="hybridMultilevel"/>
    <w:tmpl w:val="4508A7E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6AE46845"/>
    <w:multiLevelType w:val="hybridMultilevel"/>
    <w:tmpl w:val="56B6F8EE"/>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6E894424"/>
    <w:multiLevelType w:val="hybridMultilevel"/>
    <w:tmpl w:val="39B68B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6F415FEE"/>
    <w:multiLevelType w:val="hybridMultilevel"/>
    <w:tmpl w:val="82E294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nsid w:val="72ED48BE"/>
    <w:multiLevelType w:val="multilevel"/>
    <w:tmpl w:val="EB18A68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BA7050C"/>
    <w:multiLevelType w:val="multilevel"/>
    <w:tmpl w:val="8610B94C"/>
    <w:lvl w:ilvl="0">
      <w:start w:val="2"/>
      <w:numFmt w:val="decimal"/>
      <w:lvlText w:val="%1"/>
      <w:lvlJc w:val="left"/>
      <w:pPr>
        <w:ind w:left="510" w:hanging="510"/>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7E1F4984"/>
    <w:multiLevelType w:val="hybridMultilevel"/>
    <w:tmpl w:val="25245C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8"/>
  </w:num>
  <w:num w:numId="4">
    <w:abstractNumId w:val="30"/>
  </w:num>
  <w:num w:numId="5">
    <w:abstractNumId w:val="26"/>
  </w:num>
  <w:num w:numId="6">
    <w:abstractNumId w:val="14"/>
  </w:num>
  <w:num w:numId="7">
    <w:abstractNumId w:val="16"/>
  </w:num>
  <w:num w:numId="8">
    <w:abstractNumId w:val="21"/>
  </w:num>
  <w:num w:numId="9">
    <w:abstractNumId w:val="5"/>
  </w:num>
  <w:num w:numId="10">
    <w:abstractNumId w:val="20"/>
  </w:num>
  <w:num w:numId="11">
    <w:abstractNumId w:val="3"/>
  </w:num>
  <w:num w:numId="12">
    <w:abstractNumId w:val="13"/>
  </w:num>
  <w:num w:numId="13">
    <w:abstractNumId w:val="23"/>
  </w:num>
  <w:num w:numId="14">
    <w:abstractNumId w:val="28"/>
  </w:num>
  <w:num w:numId="15">
    <w:abstractNumId w:val="11"/>
  </w:num>
  <w:num w:numId="16">
    <w:abstractNumId w:val="2"/>
  </w:num>
  <w:num w:numId="17">
    <w:abstractNumId w:val="27"/>
  </w:num>
  <w:num w:numId="18">
    <w:abstractNumId w:val="8"/>
  </w:num>
  <w:num w:numId="19">
    <w:abstractNumId w:val="7"/>
  </w:num>
  <w:num w:numId="20">
    <w:abstractNumId w:val="15"/>
  </w:num>
  <w:num w:numId="21">
    <w:abstractNumId w:val="24"/>
  </w:num>
  <w:num w:numId="22">
    <w:abstractNumId w:val="22"/>
  </w:num>
  <w:num w:numId="23">
    <w:abstractNumId w:val="6"/>
  </w:num>
  <w:num w:numId="24">
    <w:abstractNumId w:val="17"/>
  </w:num>
  <w:num w:numId="25">
    <w:abstractNumId w:val="4"/>
  </w:num>
  <w:num w:numId="26">
    <w:abstractNumId w:val="19"/>
  </w:num>
  <w:num w:numId="27">
    <w:abstractNumId w:val="25"/>
  </w:num>
  <w:num w:numId="28">
    <w:abstractNumId w:val="0"/>
  </w:num>
  <w:num w:numId="29">
    <w:abstractNumId w:val="0"/>
  </w:num>
  <w:num w:numId="30">
    <w:abstractNumId w:val="0"/>
  </w:num>
  <w:num w:numId="31">
    <w:abstractNumId w:val="10"/>
  </w:num>
  <w:num w:numId="32">
    <w:abstractNumId w:val="1"/>
  </w:num>
  <w:num w:numId="33">
    <w:abstractNumId w:val="9"/>
  </w:num>
  <w:num w:numId="34">
    <w:abstractNumId w:val="2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autoHyphenation/>
  <w:hyphenationZone w:val="425"/>
  <w:drawingGridHorizontalSpacing w:val="110"/>
  <w:displayHorizontalDrawingGridEvery w:val="2"/>
  <w:characterSpacingControl w:val="doNotCompress"/>
  <w:hdrShapeDefaults>
    <o:shapedefaults v:ext="edit" spidmax="87042"/>
  </w:hdrShapeDefaults>
  <w:footnotePr>
    <w:footnote w:id="-1"/>
    <w:footnote w:id="0"/>
  </w:footnotePr>
  <w:endnotePr>
    <w:endnote w:id="-1"/>
    <w:endnote w:id="0"/>
  </w:endnotePr>
  <w:compat/>
  <w:rsids>
    <w:rsidRoot w:val="00810439"/>
    <w:rsid w:val="00006438"/>
    <w:rsid w:val="0000694E"/>
    <w:rsid w:val="00007278"/>
    <w:rsid w:val="00020D6F"/>
    <w:rsid w:val="00025202"/>
    <w:rsid w:val="00030AFC"/>
    <w:rsid w:val="00034EDA"/>
    <w:rsid w:val="00035464"/>
    <w:rsid w:val="00035D62"/>
    <w:rsid w:val="00035EA1"/>
    <w:rsid w:val="00037EB3"/>
    <w:rsid w:val="000420FB"/>
    <w:rsid w:val="000431FD"/>
    <w:rsid w:val="00044AF0"/>
    <w:rsid w:val="000471CF"/>
    <w:rsid w:val="00051AC9"/>
    <w:rsid w:val="000524D8"/>
    <w:rsid w:val="00056557"/>
    <w:rsid w:val="000573C6"/>
    <w:rsid w:val="000614D1"/>
    <w:rsid w:val="00061FFE"/>
    <w:rsid w:val="00062F19"/>
    <w:rsid w:val="00063282"/>
    <w:rsid w:val="000671F8"/>
    <w:rsid w:val="0006729D"/>
    <w:rsid w:val="00070EE3"/>
    <w:rsid w:val="0008382F"/>
    <w:rsid w:val="0008774F"/>
    <w:rsid w:val="00092B5B"/>
    <w:rsid w:val="00094BA8"/>
    <w:rsid w:val="000A0721"/>
    <w:rsid w:val="000A0956"/>
    <w:rsid w:val="000A3595"/>
    <w:rsid w:val="000B068E"/>
    <w:rsid w:val="000B5889"/>
    <w:rsid w:val="000C2708"/>
    <w:rsid w:val="000C3B44"/>
    <w:rsid w:val="000C3D81"/>
    <w:rsid w:val="000C66EE"/>
    <w:rsid w:val="000D1388"/>
    <w:rsid w:val="000D2265"/>
    <w:rsid w:val="000D5266"/>
    <w:rsid w:val="000D7D59"/>
    <w:rsid w:val="000D7D6D"/>
    <w:rsid w:val="000E5150"/>
    <w:rsid w:val="000E5A98"/>
    <w:rsid w:val="000F2AC4"/>
    <w:rsid w:val="000F48D8"/>
    <w:rsid w:val="000F5F55"/>
    <w:rsid w:val="000F6FC2"/>
    <w:rsid w:val="000F7D6F"/>
    <w:rsid w:val="00103ABA"/>
    <w:rsid w:val="00107FB1"/>
    <w:rsid w:val="0011152C"/>
    <w:rsid w:val="00112983"/>
    <w:rsid w:val="0011374F"/>
    <w:rsid w:val="00121898"/>
    <w:rsid w:val="00123137"/>
    <w:rsid w:val="00125301"/>
    <w:rsid w:val="00126E08"/>
    <w:rsid w:val="00126F33"/>
    <w:rsid w:val="001308D8"/>
    <w:rsid w:val="001309F6"/>
    <w:rsid w:val="00132667"/>
    <w:rsid w:val="00134955"/>
    <w:rsid w:val="00134EB1"/>
    <w:rsid w:val="00136C19"/>
    <w:rsid w:val="00142103"/>
    <w:rsid w:val="0014272F"/>
    <w:rsid w:val="00142A4B"/>
    <w:rsid w:val="00143995"/>
    <w:rsid w:val="001443C1"/>
    <w:rsid w:val="001453E8"/>
    <w:rsid w:val="00152CD1"/>
    <w:rsid w:val="00153C28"/>
    <w:rsid w:val="001576BE"/>
    <w:rsid w:val="00163117"/>
    <w:rsid w:val="0016347C"/>
    <w:rsid w:val="00166A6E"/>
    <w:rsid w:val="00170925"/>
    <w:rsid w:val="001716C0"/>
    <w:rsid w:val="00172361"/>
    <w:rsid w:val="00180EBC"/>
    <w:rsid w:val="00181916"/>
    <w:rsid w:val="00182408"/>
    <w:rsid w:val="0018340B"/>
    <w:rsid w:val="00183DE4"/>
    <w:rsid w:val="0018423F"/>
    <w:rsid w:val="00187933"/>
    <w:rsid w:val="001911BA"/>
    <w:rsid w:val="001931E2"/>
    <w:rsid w:val="0019477E"/>
    <w:rsid w:val="0019480A"/>
    <w:rsid w:val="0019487A"/>
    <w:rsid w:val="00197ADB"/>
    <w:rsid w:val="001A062D"/>
    <w:rsid w:val="001A4B1C"/>
    <w:rsid w:val="001A6AEE"/>
    <w:rsid w:val="001A71A6"/>
    <w:rsid w:val="001B197B"/>
    <w:rsid w:val="001B54D8"/>
    <w:rsid w:val="001B5974"/>
    <w:rsid w:val="001B63C5"/>
    <w:rsid w:val="001B75B9"/>
    <w:rsid w:val="001C05BA"/>
    <w:rsid w:val="001D0619"/>
    <w:rsid w:val="001D18E3"/>
    <w:rsid w:val="001D276D"/>
    <w:rsid w:val="001D3CAE"/>
    <w:rsid w:val="001D4877"/>
    <w:rsid w:val="001D4B51"/>
    <w:rsid w:val="001D5DB9"/>
    <w:rsid w:val="001D78E4"/>
    <w:rsid w:val="001E0834"/>
    <w:rsid w:val="001E30B4"/>
    <w:rsid w:val="001E5D33"/>
    <w:rsid w:val="001E7992"/>
    <w:rsid w:val="001F0115"/>
    <w:rsid w:val="001F53EA"/>
    <w:rsid w:val="0020235F"/>
    <w:rsid w:val="00203E35"/>
    <w:rsid w:val="00204B47"/>
    <w:rsid w:val="00213EF7"/>
    <w:rsid w:val="00217382"/>
    <w:rsid w:val="002254C2"/>
    <w:rsid w:val="002278F5"/>
    <w:rsid w:val="00231E9D"/>
    <w:rsid w:val="00233081"/>
    <w:rsid w:val="002343B9"/>
    <w:rsid w:val="0023571A"/>
    <w:rsid w:val="00235B2F"/>
    <w:rsid w:val="00237ED0"/>
    <w:rsid w:val="00243E84"/>
    <w:rsid w:val="00250055"/>
    <w:rsid w:val="0025017F"/>
    <w:rsid w:val="00252FF7"/>
    <w:rsid w:val="00254AF6"/>
    <w:rsid w:val="00256274"/>
    <w:rsid w:val="00256549"/>
    <w:rsid w:val="00260CE1"/>
    <w:rsid w:val="00263620"/>
    <w:rsid w:val="002679D4"/>
    <w:rsid w:val="0027256F"/>
    <w:rsid w:val="002809A5"/>
    <w:rsid w:val="00282222"/>
    <w:rsid w:val="00282634"/>
    <w:rsid w:val="00283C63"/>
    <w:rsid w:val="00286AC6"/>
    <w:rsid w:val="0029108A"/>
    <w:rsid w:val="002938BA"/>
    <w:rsid w:val="00295CFE"/>
    <w:rsid w:val="002963EE"/>
    <w:rsid w:val="0029708D"/>
    <w:rsid w:val="002A17FF"/>
    <w:rsid w:val="002A1C00"/>
    <w:rsid w:val="002A3A24"/>
    <w:rsid w:val="002A426C"/>
    <w:rsid w:val="002A42B7"/>
    <w:rsid w:val="002B09E6"/>
    <w:rsid w:val="002B46F4"/>
    <w:rsid w:val="002B5F21"/>
    <w:rsid w:val="002C0B5F"/>
    <w:rsid w:val="002C3747"/>
    <w:rsid w:val="002C59C7"/>
    <w:rsid w:val="002D2032"/>
    <w:rsid w:val="002D2432"/>
    <w:rsid w:val="002D36A8"/>
    <w:rsid w:val="002E2AD7"/>
    <w:rsid w:val="002E635A"/>
    <w:rsid w:val="002E64CF"/>
    <w:rsid w:val="002F09C7"/>
    <w:rsid w:val="002F2B8A"/>
    <w:rsid w:val="002F2FE6"/>
    <w:rsid w:val="003026D4"/>
    <w:rsid w:val="00302F17"/>
    <w:rsid w:val="00304347"/>
    <w:rsid w:val="00304AD0"/>
    <w:rsid w:val="00305725"/>
    <w:rsid w:val="003057D5"/>
    <w:rsid w:val="0031053A"/>
    <w:rsid w:val="00312B34"/>
    <w:rsid w:val="003131FC"/>
    <w:rsid w:val="003138FD"/>
    <w:rsid w:val="003150EC"/>
    <w:rsid w:val="00315F2F"/>
    <w:rsid w:val="003173F7"/>
    <w:rsid w:val="00322768"/>
    <w:rsid w:val="00323332"/>
    <w:rsid w:val="003263BE"/>
    <w:rsid w:val="00327D44"/>
    <w:rsid w:val="00334975"/>
    <w:rsid w:val="00340FB7"/>
    <w:rsid w:val="003439E0"/>
    <w:rsid w:val="003440F8"/>
    <w:rsid w:val="003501F0"/>
    <w:rsid w:val="003519EA"/>
    <w:rsid w:val="00353B11"/>
    <w:rsid w:val="00355892"/>
    <w:rsid w:val="00365EC6"/>
    <w:rsid w:val="003672C9"/>
    <w:rsid w:val="00370418"/>
    <w:rsid w:val="00371086"/>
    <w:rsid w:val="003714AC"/>
    <w:rsid w:val="00371B9A"/>
    <w:rsid w:val="0037333D"/>
    <w:rsid w:val="003737BC"/>
    <w:rsid w:val="003910C0"/>
    <w:rsid w:val="00391535"/>
    <w:rsid w:val="0039584A"/>
    <w:rsid w:val="003A2838"/>
    <w:rsid w:val="003A59A8"/>
    <w:rsid w:val="003A6CB9"/>
    <w:rsid w:val="003B016E"/>
    <w:rsid w:val="003B054A"/>
    <w:rsid w:val="003B275C"/>
    <w:rsid w:val="003B3AC7"/>
    <w:rsid w:val="003B6DD6"/>
    <w:rsid w:val="003B768E"/>
    <w:rsid w:val="003C23C1"/>
    <w:rsid w:val="003C425D"/>
    <w:rsid w:val="003C5953"/>
    <w:rsid w:val="003C7221"/>
    <w:rsid w:val="003D18CC"/>
    <w:rsid w:val="003D3E84"/>
    <w:rsid w:val="003D46E0"/>
    <w:rsid w:val="003D47C8"/>
    <w:rsid w:val="003D6C00"/>
    <w:rsid w:val="003D6EA6"/>
    <w:rsid w:val="003D7691"/>
    <w:rsid w:val="003E315D"/>
    <w:rsid w:val="003F2DB5"/>
    <w:rsid w:val="003F4A81"/>
    <w:rsid w:val="003F4CF3"/>
    <w:rsid w:val="003F734C"/>
    <w:rsid w:val="003F7C1F"/>
    <w:rsid w:val="00400460"/>
    <w:rsid w:val="00400E59"/>
    <w:rsid w:val="00401758"/>
    <w:rsid w:val="00402DF5"/>
    <w:rsid w:val="00403289"/>
    <w:rsid w:val="004066CA"/>
    <w:rsid w:val="00413185"/>
    <w:rsid w:val="00417EC7"/>
    <w:rsid w:val="00421735"/>
    <w:rsid w:val="00421758"/>
    <w:rsid w:val="0043064B"/>
    <w:rsid w:val="00430823"/>
    <w:rsid w:val="00431A4F"/>
    <w:rsid w:val="004342B8"/>
    <w:rsid w:val="00434656"/>
    <w:rsid w:val="00437760"/>
    <w:rsid w:val="0044599E"/>
    <w:rsid w:val="00445F06"/>
    <w:rsid w:val="00446F07"/>
    <w:rsid w:val="00450B7C"/>
    <w:rsid w:val="00451029"/>
    <w:rsid w:val="00451D5C"/>
    <w:rsid w:val="00454479"/>
    <w:rsid w:val="00454689"/>
    <w:rsid w:val="00455E4C"/>
    <w:rsid w:val="004569CB"/>
    <w:rsid w:val="004607EA"/>
    <w:rsid w:val="0046092E"/>
    <w:rsid w:val="004609AB"/>
    <w:rsid w:val="00461019"/>
    <w:rsid w:val="00466B79"/>
    <w:rsid w:val="00475336"/>
    <w:rsid w:val="00483645"/>
    <w:rsid w:val="004846AF"/>
    <w:rsid w:val="004A46A5"/>
    <w:rsid w:val="004B544F"/>
    <w:rsid w:val="004B7F3B"/>
    <w:rsid w:val="004D1171"/>
    <w:rsid w:val="004D2382"/>
    <w:rsid w:val="004D2C69"/>
    <w:rsid w:val="004D36A4"/>
    <w:rsid w:val="004D6E6C"/>
    <w:rsid w:val="004D7035"/>
    <w:rsid w:val="004D7F50"/>
    <w:rsid w:val="004E55C3"/>
    <w:rsid w:val="004E649D"/>
    <w:rsid w:val="004E72C5"/>
    <w:rsid w:val="004E7B36"/>
    <w:rsid w:val="004F0E34"/>
    <w:rsid w:val="004F3AF7"/>
    <w:rsid w:val="004F6230"/>
    <w:rsid w:val="005013BF"/>
    <w:rsid w:val="00505693"/>
    <w:rsid w:val="00506E2A"/>
    <w:rsid w:val="00512A37"/>
    <w:rsid w:val="00512BF6"/>
    <w:rsid w:val="00513CAB"/>
    <w:rsid w:val="00513F25"/>
    <w:rsid w:val="00515F12"/>
    <w:rsid w:val="005271B4"/>
    <w:rsid w:val="005316C9"/>
    <w:rsid w:val="00531887"/>
    <w:rsid w:val="00541851"/>
    <w:rsid w:val="00543105"/>
    <w:rsid w:val="00546EBB"/>
    <w:rsid w:val="00552F6A"/>
    <w:rsid w:val="005533CB"/>
    <w:rsid w:val="0056123E"/>
    <w:rsid w:val="005617E0"/>
    <w:rsid w:val="005640D3"/>
    <w:rsid w:val="00575C27"/>
    <w:rsid w:val="00577FFC"/>
    <w:rsid w:val="0058218F"/>
    <w:rsid w:val="00582B37"/>
    <w:rsid w:val="00585A50"/>
    <w:rsid w:val="005864C4"/>
    <w:rsid w:val="00587957"/>
    <w:rsid w:val="005929E7"/>
    <w:rsid w:val="00595702"/>
    <w:rsid w:val="005964B2"/>
    <w:rsid w:val="00597E2D"/>
    <w:rsid w:val="005A0DF5"/>
    <w:rsid w:val="005A23D7"/>
    <w:rsid w:val="005A2CD8"/>
    <w:rsid w:val="005B5491"/>
    <w:rsid w:val="005B5768"/>
    <w:rsid w:val="005B6C7A"/>
    <w:rsid w:val="005B6CB8"/>
    <w:rsid w:val="005B757A"/>
    <w:rsid w:val="005B7897"/>
    <w:rsid w:val="005C0299"/>
    <w:rsid w:val="005C377C"/>
    <w:rsid w:val="005C4275"/>
    <w:rsid w:val="005C55FF"/>
    <w:rsid w:val="005C5CF2"/>
    <w:rsid w:val="005C686D"/>
    <w:rsid w:val="005D178B"/>
    <w:rsid w:val="005D2E03"/>
    <w:rsid w:val="005D4648"/>
    <w:rsid w:val="005D517E"/>
    <w:rsid w:val="005E1BC3"/>
    <w:rsid w:val="005E4309"/>
    <w:rsid w:val="005F31D9"/>
    <w:rsid w:val="005F5A6D"/>
    <w:rsid w:val="005F5B63"/>
    <w:rsid w:val="006007C8"/>
    <w:rsid w:val="00600A73"/>
    <w:rsid w:val="0060314E"/>
    <w:rsid w:val="00603FB9"/>
    <w:rsid w:val="006041C4"/>
    <w:rsid w:val="0060575D"/>
    <w:rsid w:val="00611CB6"/>
    <w:rsid w:val="006144FD"/>
    <w:rsid w:val="00616462"/>
    <w:rsid w:val="0062254D"/>
    <w:rsid w:val="00623BD9"/>
    <w:rsid w:val="0062748C"/>
    <w:rsid w:val="00627B9E"/>
    <w:rsid w:val="0063002F"/>
    <w:rsid w:val="00630278"/>
    <w:rsid w:val="00631A28"/>
    <w:rsid w:val="006335E1"/>
    <w:rsid w:val="00637013"/>
    <w:rsid w:val="00640402"/>
    <w:rsid w:val="00640921"/>
    <w:rsid w:val="00641782"/>
    <w:rsid w:val="00642B30"/>
    <w:rsid w:val="00646ED2"/>
    <w:rsid w:val="006502C8"/>
    <w:rsid w:val="00650F7E"/>
    <w:rsid w:val="00651128"/>
    <w:rsid w:val="00651E08"/>
    <w:rsid w:val="0065760D"/>
    <w:rsid w:val="00657614"/>
    <w:rsid w:val="006619CC"/>
    <w:rsid w:val="00664069"/>
    <w:rsid w:val="006649E4"/>
    <w:rsid w:val="00672CB8"/>
    <w:rsid w:val="006760A1"/>
    <w:rsid w:val="006810C5"/>
    <w:rsid w:val="00681694"/>
    <w:rsid w:val="00681A56"/>
    <w:rsid w:val="00681A64"/>
    <w:rsid w:val="00681AF9"/>
    <w:rsid w:val="00685B71"/>
    <w:rsid w:val="00686BB5"/>
    <w:rsid w:val="006929FE"/>
    <w:rsid w:val="00692F52"/>
    <w:rsid w:val="006A2F82"/>
    <w:rsid w:val="006A3C91"/>
    <w:rsid w:val="006C507A"/>
    <w:rsid w:val="006C54BF"/>
    <w:rsid w:val="006C613B"/>
    <w:rsid w:val="006C678F"/>
    <w:rsid w:val="006C7666"/>
    <w:rsid w:val="006D0B3C"/>
    <w:rsid w:val="006D0DB3"/>
    <w:rsid w:val="006D221D"/>
    <w:rsid w:val="006D74A6"/>
    <w:rsid w:val="006E1450"/>
    <w:rsid w:val="006E5740"/>
    <w:rsid w:val="006F4EC0"/>
    <w:rsid w:val="006F6038"/>
    <w:rsid w:val="006F7705"/>
    <w:rsid w:val="00702439"/>
    <w:rsid w:val="00705AD6"/>
    <w:rsid w:val="00720922"/>
    <w:rsid w:val="007219A3"/>
    <w:rsid w:val="00724CAF"/>
    <w:rsid w:val="007253E8"/>
    <w:rsid w:val="0073027B"/>
    <w:rsid w:val="00730C39"/>
    <w:rsid w:val="00731941"/>
    <w:rsid w:val="007412BA"/>
    <w:rsid w:val="00742B50"/>
    <w:rsid w:val="00743133"/>
    <w:rsid w:val="00751099"/>
    <w:rsid w:val="00754D95"/>
    <w:rsid w:val="00767155"/>
    <w:rsid w:val="0077026B"/>
    <w:rsid w:val="00773016"/>
    <w:rsid w:val="0077440E"/>
    <w:rsid w:val="007829E2"/>
    <w:rsid w:val="007866AA"/>
    <w:rsid w:val="007868FF"/>
    <w:rsid w:val="00787223"/>
    <w:rsid w:val="00790850"/>
    <w:rsid w:val="00791CF3"/>
    <w:rsid w:val="00792952"/>
    <w:rsid w:val="00795881"/>
    <w:rsid w:val="007A1F19"/>
    <w:rsid w:val="007A252D"/>
    <w:rsid w:val="007A3264"/>
    <w:rsid w:val="007A338C"/>
    <w:rsid w:val="007B186C"/>
    <w:rsid w:val="007B4AFB"/>
    <w:rsid w:val="007C1A91"/>
    <w:rsid w:val="007C6385"/>
    <w:rsid w:val="007C6CB9"/>
    <w:rsid w:val="007D20B4"/>
    <w:rsid w:val="007D2F3B"/>
    <w:rsid w:val="007D665A"/>
    <w:rsid w:val="007D6CEE"/>
    <w:rsid w:val="007D7FBF"/>
    <w:rsid w:val="007E074D"/>
    <w:rsid w:val="007E2476"/>
    <w:rsid w:val="007E28CC"/>
    <w:rsid w:val="007E33E8"/>
    <w:rsid w:val="007E4CC3"/>
    <w:rsid w:val="007E5828"/>
    <w:rsid w:val="007E79A1"/>
    <w:rsid w:val="007F0AAB"/>
    <w:rsid w:val="007F14EB"/>
    <w:rsid w:val="007F6C39"/>
    <w:rsid w:val="007F7E96"/>
    <w:rsid w:val="00803679"/>
    <w:rsid w:val="00803B98"/>
    <w:rsid w:val="00805442"/>
    <w:rsid w:val="00810439"/>
    <w:rsid w:val="00813EFB"/>
    <w:rsid w:val="008149FB"/>
    <w:rsid w:val="008175B9"/>
    <w:rsid w:val="00817A31"/>
    <w:rsid w:val="00817AC0"/>
    <w:rsid w:val="00822C33"/>
    <w:rsid w:val="00823173"/>
    <w:rsid w:val="0082725B"/>
    <w:rsid w:val="00830F73"/>
    <w:rsid w:val="0083111C"/>
    <w:rsid w:val="00831E8D"/>
    <w:rsid w:val="0083348C"/>
    <w:rsid w:val="00835A81"/>
    <w:rsid w:val="008401A0"/>
    <w:rsid w:val="0084134B"/>
    <w:rsid w:val="008430E7"/>
    <w:rsid w:val="00844B60"/>
    <w:rsid w:val="00844CB0"/>
    <w:rsid w:val="008464A5"/>
    <w:rsid w:val="00847FE5"/>
    <w:rsid w:val="00851907"/>
    <w:rsid w:val="008579AA"/>
    <w:rsid w:val="00860507"/>
    <w:rsid w:val="008613B8"/>
    <w:rsid w:val="00864C03"/>
    <w:rsid w:val="00864CD6"/>
    <w:rsid w:val="00865424"/>
    <w:rsid w:val="008749D1"/>
    <w:rsid w:val="0087606E"/>
    <w:rsid w:val="0087742F"/>
    <w:rsid w:val="00881A7D"/>
    <w:rsid w:val="00886782"/>
    <w:rsid w:val="00891706"/>
    <w:rsid w:val="00892CC7"/>
    <w:rsid w:val="008934E3"/>
    <w:rsid w:val="00897DC2"/>
    <w:rsid w:val="008A2FA5"/>
    <w:rsid w:val="008A451D"/>
    <w:rsid w:val="008A6660"/>
    <w:rsid w:val="008B079B"/>
    <w:rsid w:val="008B6C9F"/>
    <w:rsid w:val="008C040E"/>
    <w:rsid w:val="008C0EDD"/>
    <w:rsid w:val="008C2878"/>
    <w:rsid w:val="008C4288"/>
    <w:rsid w:val="008C6834"/>
    <w:rsid w:val="008D071B"/>
    <w:rsid w:val="008D2223"/>
    <w:rsid w:val="008D3B71"/>
    <w:rsid w:val="008D7C12"/>
    <w:rsid w:val="008D7F15"/>
    <w:rsid w:val="008E012A"/>
    <w:rsid w:val="008E218D"/>
    <w:rsid w:val="008E381B"/>
    <w:rsid w:val="008E50FB"/>
    <w:rsid w:val="008E64A9"/>
    <w:rsid w:val="008E6D87"/>
    <w:rsid w:val="008E6F36"/>
    <w:rsid w:val="008F1F39"/>
    <w:rsid w:val="008F2038"/>
    <w:rsid w:val="008F2F9A"/>
    <w:rsid w:val="008F57D3"/>
    <w:rsid w:val="008F60B0"/>
    <w:rsid w:val="008F63F7"/>
    <w:rsid w:val="008F747D"/>
    <w:rsid w:val="008F77DF"/>
    <w:rsid w:val="00906E32"/>
    <w:rsid w:val="009109AF"/>
    <w:rsid w:val="009139A3"/>
    <w:rsid w:val="00915107"/>
    <w:rsid w:val="00915BB1"/>
    <w:rsid w:val="00920575"/>
    <w:rsid w:val="009218CD"/>
    <w:rsid w:val="00921913"/>
    <w:rsid w:val="00923241"/>
    <w:rsid w:val="009241A5"/>
    <w:rsid w:val="0092650B"/>
    <w:rsid w:val="00931D62"/>
    <w:rsid w:val="00934434"/>
    <w:rsid w:val="00935B22"/>
    <w:rsid w:val="00937126"/>
    <w:rsid w:val="00942277"/>
    <w:rsid w:val="00950D61"/>
    <w:rsid w:val="00950F72"/>
    <w:rsid w:val="00951878"/>
    <w:rsid w:val="00953FD7"/>
    <w:rsid w:val="00954B3B"/>
    <w:rsid w:val="00961901"/>
    <w:rsid w:val="00961E75"/>
    <w:rsid w:val="009627BC"/>
    <w:rsid w:val="00965106"/>
    <w:rsid w:val="00966461"/>
    <w:rsid w:val="0096738B"/>
    <w:rsid w:val="00974C90"/>
    <w:rsid w:val="009811B6"/>
    <w:rsid w:val="0098122E"/>
    <w:rsid w:val="00981DFF"/>
    <w:rsid w:val="009842BB"/>
    <w:rsid w:val="009861C9"/>
    <w:rsid w:val="00990066"/>
    <w:rsid w:val="00992BEA"/>
    <w:rsid w:val="00995CE6"/>
    <w:rsid w:val="009970FD"/>
    <w:rsid w:val="00997B12"/>
    <w:rsid w:val="009A0FBF"/>
    <w:rsid w:val="009A14D4"/>
    <w:rsid w:val="009A2131"/>
    <w:rsid w:val="009A5238"/>
    <w:rsid w:val="009A730C"/>
    <w:rsid w:val="009A77F5"/>
    <w:rsid w:val="009A7AF4"/>
    <w:rsid w:val="009B5554"/>
    <w:rsid w:val="009B64B7"/>
    <w:rsid w:val="009C4E30"/>
    <w:rsid w:val="009C7E0E"/>
    <w:rsid w:val="009C7E49"/>
    <w:rsid w:val="009D293E"/>
    <w:rsid w:val="009D4A13"/>
    <w:rsid w:val="009D66ED"/>
    <w:rsid w:val="009D702E"/>
    <w:rsid w:val="009E2C3B"/>
    <w:rsid w:val="009E4E5F"/>
    <w:rsid w:val="009F058C"/>
    <w:rsid w:val="009F2FE3"/>
    <w:rsid w:val="009F3C41"/>
    <w:rsid w:val="00A01EF7"/>
    <w:rsid w:val="00A029E5"/>
    <w:rsid w:val="00A04F21"/>
    <w:rsid w:val="00A06D3A"/>
    <w:rsid w:val="00A077D9"/>
    <w:rsid w:val="00A126FA"/>
    <w:rsid w:val="00A1353F"/>
    <w:rsid w:val="00A1406F"/>
    <w:rsid w:val="00A15A8E"/>
    <w:rsid w:val="00A21B13"/>
    <w:rsid w:val="00A31457"/>
    <w:rsid w:val="00A33E3D"/>
    <w:rsid w:val="00A33ED0"/>
    <w:rsid w:val="00A34406"/>
    <w:rsid w:val="00A353B7"/>
    <w:rsid w:val="00A36BAF"/>
    <w:rsid w:val="00A40ACD"/>
    <w:rsid w:val="00A4126F"/>
    <w:rsid w:val="00A4288B"/>
    <w:rsid w:val="00A42F05"/>
    <w:rsid w:val="00A4355C"/>
    <w:rsid w:val="00A43AD7"/>
    <w:rsid w:val="00A44CAA"/>
    <w:rsid w:val="00A45D26"/>
    <w:rsid w:val="00A50503"/>
    <w:rsid w:val="00A53586"/>
    <w:rsid w:val="00A55D05"/>
    <w:rsid w:val="00A56E39"/>
    <w:rsid w:val="00A6113A"/>
    <w:rsid w:val="00A64692"/>
    <w:rsid w:val="00A64A11"/>
    <w:rsid w:val="00A65CF8"/>
    <w:rsid w:val="00A66E7F"/>
    <w:rsid w:val="00A67488"/>
    <w:rsid w:val="00A67B42"/>
    <w:rsid w:val="00A71FF3"/>
    <w:rsid w:val="00A724FC"/>
    <w:rsid w:val="00A74454"/>
    <w:rsid w:val="00A76CC4"/>
    <w:rsid w:val="00A806A4"/>
    <w:rsid w:val="00A9192C"/>
    <w:rsid w:val="00A9304B"/>
    <w:rsid w:val="00A93862"/>
    <w:rsid w:val="00AA02F7"/>
    <w:rsid w:val="00AA1AFC"/>
    <w:rsid w:val="00AA1F96"/>
    <w:rsid w:val="00AA2496"/>
    <w:rsid w:val="00AA274F"/>
    <w:rsid w:val="00AA30D9"/>
    <w:rsid w:val="00AA7344"/>
    <w:rsid w:val="00AA7B14"/>
    <w:rsid w:val="00AA7F04"/>
    <w:rsid w:val="00AB0272"/>
    <w:rsid w:val="00AB53F5"/>
    <w:rsid w:val="00AC2E54"/>
    <w:rsid w:val="00AC722A"/>
    <w:rsid w:val="00AD1D89"/>
    <w:rsid w:val="00AD331A"/>
    <w:rsid w:val="00AD561B"/>
    <w:rsid w:val="00AE10C6"/>
    <w:rsid w:val="00AE3386"/>
    <w:rsid w:val="00AE3A51"/>
    <w:rsid w:val="00AE6979"/>
    <w:rsid w:val="00AF430D"/>
    <w:rsid w:val="00B00716"/>
    <w:rsid w:val="00B04E57"/>
    <w:rsid w:val="00B133AB"/>
    <w:rsid w:val="00B13E33"/>
    <w:rsid w:val="00B13FAB"/>
    <w:rsid w:val="00B14DAB"/>
    <w:rsid w:val="00B14E4B"/>
    <w:rsid w:val="00B15C66"/>
    <w:rsid w:val="00B204FF"/>
    <w:rsid w:val="00B2372D"/>
    <w:rsid w:val="00B2556F"/>
    <w:rsid w:val="00B25872"/>
    <w:rsid w:val="00B302E6"/>
    <w:rsid w:val="00B309D0"/>
    <w:rsid w:val="00B31556"/>
    <w:rsid w:val="00B379B1"/>
    <w:rsid w:val="00B41758"/>
    <w:rsid w:val="00B4180F"/>
    <w:rsid w:val="00B43F7C"/>
    <w:rsid w:val="00B449D0"/>
    <w:rsid w:val="00B461D9"/>
    <w:rsid w:val="00B46C53"/>
    <w:rsid w:val="00B54F75"/>
    <w:rsid w:val="00B62E8F"/>
    <w:rsid w:val="00B63DF5"/>
    <w:rsid w:val="00B647E9"/>
    <w:rsid w:val="00B66AE4"/>
    <w:rsid w:val="00B74B1C"/>
    <w:rsid w:val="00B92AB2"/>
    <w:rsid w:val="00B9484B"/>
    <w:rsid w:val="00B96626"/>
    <w:rsid w:val="00BA0DD5"/>
    <w:rsid w:val="00BA104A"/>
    <w:rsid w:val="00BA3499"/>
    <w:rsid w:val="00BA3FCD"/>
    <w:rsid w:val="00BB007D"/>
    <w:rsid w:val="00BB187E"/>
    <w:rsid w:val="00BB1E1F"/>
    <w:rsid w:val="00BB4D05"/>
    <w:rsid w:val="00BC0D60"/>
    <w:rsid w:val="00BC62E5"/>
    <w:rsid w:val="00BD740F"/>
    <w:rsid w:val="00BE19E4"/>
    <w:rsid w:val="00BE27D5"/>
    <w:rsid w:val="00BE3E77"/>
    <w:rsid w:val="00BE6806"/>
    <w:rsid w:val="00BE7377"/>
    <w:rsid w:val="00BE79F8"/>
    <w:rsid w:val="00BF2616"/>
    <w:rsid w:val="00C0086E"/>
    <w:rsid w:val="00C04E8A"/>
    <w:rsid w:val="00C07AEB"/>
    <w:rsid w:val="00C1036C"/>
    <w:rsid w:val="00C11DFB"/>
    <w:rsid w:val="00C12BEA"/>
    <w:rsid w:val="00C12F9D"/>
    <w:rsid w:val="00C1409E"/>
    <w:rsid w:val="00C14437"/>
    <w:rsid w:val="00C1588E"/>
    <w:rsid w:val="00C20E5A"/>
    <w:rsid w:val="00C225AD"/>
    <w:rsid w:val="00C23315"/>
    <w:rsid w:val="00C2624A"/>
    <w:rsid w:val="00C32E11"/>
    <w:rsid w:val="00C3390B"/>
    <w:rsid w:val="00C33B76"/>
    <w:rsid w:val="00C33E40"/>
    <w:rsid w:val="00C36E00"/>
    <w:rsid w:val="00C449C2"/>
    <w:rsid w:val="00C50017"/>
    <w:rsid w:val="00C525C3"/>
    <w:rsid w:val="00C55641"/>
    <w:rsid w:val="00C55648"/>
    <w:rsid w:val="00C622BE"/>
    <w:rsid w:val="00C63F08"/>
    <w:rsid w:val="00C65096"/>
    <w:rsid w:val="00C65A30"/>
    <w:rsid w:val="00C815D1"/>
    <w:rsid w:val="00C84E22"/>
    <w:rsid w:val="00C85F44"/>
    <w:rsid w:val="00C901C0"/>
    <w:rsid w:val="00C92BAA"/>
    <w:rsid w:val="00C931F6"/>
    <w:rsid w:val="00C93749"/>
    <w:rsid w:val="00C95333"/>
    <w:rsid w:val="00CA1940"/>
    <w:rsid w:val="00CA2083"/>
    <w:rsid w:val="00CA390B"/>
    <w:rsid w:val="00CA4996"/>
    <w:rsid w:val="00CB1832"/>
    <w:rsid w:val="00CB2A90"/>
    <w:rsid w:val="00CB3C00"/>
    <w:rsid w:val="00CB457A"/>
    <w:rsid w:val="00CB4B9F"/>
    <w:rsid w:val="00CB5173"/>
    <w:rsid w:val="00CC0E97"/>
    <w:rsid w:val="00CC51B8"/>
    <w:rsid w:val="00CC7CF6"/>
    <w:rsid w:val="00CD40A6"/>
    <w:rsid w:val="00CD46E4"/>
    <w:rsid w:val="00CE1ABD"/>
    <w:rsid w:val="00CE1ABF"/>
    <w:rsid w:val="00CE2D30"/>
    <w:rsid w:val="00CE446F"/>
    <w:rsid w:val="00CF2832"/>
    <w:rsid w:val="00CF579B"/>
    <w:rsid w:val="00D019F8"/>
    <w:rsid w:val="00D01BA4"/>
    <w:rsid w:val="00D029CF"/>
    <w:rsid w:val="00D0607E"/>
    <w:rsid w:val="00D06EF1"/>
    <w:rsid w:val="00D11281"/>
    <w:rsid w:val="00D15D70"/>
    <w:rsid w:val="00D2290A"/>
    <w:rsid w:val="00D2793E"/>
    <w:rsid w:val="00D32D65"/>
    <w:rsid w:val="00D34EDA"/>
    <w:rsid w:val="00D35F90"/>
    <w:rsid w:val="00D36F52"/>
    <w:rsid w:val="00D3787D"/>
    <w:rsid w:val="00D406B2"/>
    <w:rsid w:val="00D40D14"/>
    <w:rsid w:val="00D413D7"/>
    <w:rsid w:val="00D4180E"/>
    <w:rsid w:val="00D545CF"/>
    <w:rsid w:val="00D56877"/>
    <w:rsid w:val="00D56E4C"/>
    <w:rsid w:val="00D57061"/>
    <w:rsid w:val="00D6176C"/>
    <w:rsid w:val="00D637DC"/>
    <w:rsid w:val="00D67636"/>
    <w:rsid w:val="00D71E93"/>
    <w:rsid w:val="00D803B3"/>
    <w:rsid w:val="00D81714"/>
    <w:rsid w:val="00D84F5D"/>
    <w:rsid w:val="00D85FB3"/>
    <w:rsid w:val="00D87038"/>
    <w:rsid w:val="00D87B44"/>
    <w:rsid w:val="00D911AD"/>
    <w:rsid w:val="00D93A70"/>
    <w:rsid w:val="00D975E0"/>
    <w:rsid w:val="00DA05AB"/>
    <w:rsid w:val="00DA2ED7"/>
    <w:rsid w:val="00DA3E13"/>
    <w:rsid w:val="00DA501A"/>
    <w:rsid w:val="00DA517B"/>
    <w:rsid w:val="00DA5EDD"/>
    <w:rsid w:val="00DA7BA1"/>
    <w:rsid w:val="00DB2220"/>
    <w:rsid w:val="00DB5C3F"/>
    <w:rsid w:val="00DB7251"/>
    <w:rsid w:val="00DB7D2D"/>
    <w:rsid w:val="00DC02A9"/>
    <w:rsid w:val="00DC059B"/>
    <w:rsid w:val="00DC0E56"/>
    <w:rsid w:val="00DC1BEE"/>
    <w:rsid w:val="00DC1D1A"/>
    <w:rsid w:val="00DC2D19"/>
    <w:rsid w:val="00DC4990"/>
    <w:rsid w:val="00DC702B"/>
    <w:rsid w:val="00DD391C"/>
    <w:rsid w:val="00DD6B05"/>
    <w:rsid w:val="00DE4BBF"/>
    <w:rsid w:val="00DE4DE1"/>
    <w:rsid w:val="00DE743C"/>
    <w:rsid w:val="00DF3173"/>
    <w:rsid w:val="00DF5841"/>
    <w:rsid w:val="00DF5BD8"/>
    <w:rsid w:val="00DF7E22"/>
    <w:rsid w:val="00E03453"/>
    <w:rsid w:val="00E03A3C"/>
    <w:rsid w:val="00E04958"/>
    <w:rsid w:val="00E05A7C"/>
    <w:rsid w:val="00E06282"/>
    <w:rsid w:val="00E06418"/>
    <w:rsid w:val="00E10CF6"/>
    <w:rsid w:val="00E12AAB"/>
    <w:rsid w:val="00E13AB8"/>
    <w:rsid w:val="00E13B99"/>
    <w:rsid w:val="00E2105B"/>
    <w:rsid w:val="00E21AC2"/>
    <w:rsid w:val="00E23216"/>
    <w:rsid w:val="00E246DB"/>
    <w:rsid w:val="00E30D98"/>
    <w:rsid w:val="00E34973"/>
    <w:rsid w:val="00E376B6"/>
    <w:rsid w:val="00E40AD4"/>
    <w:rsid w:val="00E43F72"/>
    <w:rsid w:val="00E447C5"/>
    <w:rsid w:val="00E448CC"/>
    <w:rsid w:val="00E47F41"/>
    <w:rsid w:val="00E52AD6"/>
    <w:rsid w:val="00E54513"/>
    <w:rsid w:val="00E547DC"/>
    <w:rsid w:val="00E55260"/>
    <w:rsid w:val="00E559D7"/>
    <w:rsid w:val="00E55EA8"/>
    <w:rsid w:val="00E56637"/>
    <w:rsid w:val="00E62421"/>
    <w:rsid w:val="00E628C1"/>
    <w:rsid w:val="00E65280"/>
    <w:rsid w:val="00E7085E"/>
    <w:rsid w:val="00E7523A"/>
    <w:rsid w:val="00E759CA"/>
    <w:rsid w:val="00E924A0"/>
    <w:rsid w:val="00E92698"/>
    <w:rsid w:val="00E93A40"/>
    <w:rsid w:val="00E96424"/>
    <w:rsid w:val="00E96D88"/>
    <w:rsid w:val="00E96F92"/>
    <w:rsid w:val="00EA2676"/>
    <w:rsid w:val="00EB089D"/>
    <w:rsid w:val="00EB1DD3"/>
    <w:rsid w:val="00EB1E3D"/>
    <w:rsid w:val="00EB45ED"/>
    <w:rsid w:val="00EB4681"/>
    <w:rsid w:val="00EC0FB4"/>
    <w:rsid w:val="00EC2A9E"/>
    <w:rsid w:val="00EC3AE1"/>
    <w:rsid w:val="00EC3F49"/>
    <w:rsid w:val="00EC5F81"/>
    <w:rsid w:val="00EC7429"/>
    <w:rsid w:val="00ED135D"/>
    <w:rsid w:val="00ED330C"/>
    <w:rsid w:val="00ED33D3"/>
    <w:rsid w:val="00ED53AD"/>
    <w:rsid w:val="00ED5B59"/>
    <w:rsid w:val="00ED5CF9"/>
    <w:rsid w:val="00EE374B"/>
    <w:rsid w:val="00EF060E"/>
    <w:rsid w:val="00EF75BA"/>
    <w:rsid w:val="00F00B4D"/>
    <w:rsid w:val="00F13A17"/>
    <w:rsid w:val="00F13CD7"/>
    <w:rsid w:val="00F14F85"/>
    <w:rsid w:val="00F15E4F"/>
    <w:rsid w:val="00F2013F"/>
    <w:rsid w:val="00F25087"/>
    <w:rsid w:val="00F265E4"/>
    <w:rsid w:val="00F26E23"/>
    <w:rsid w:val="00F30A0D"/>
    <w:rsid w:val="00F30E47"/>
    <w:rsid w:val="00F33382"/>
    <w:rsid w:val="00F36E7D"/>
    <w:rsid w:val="00F40B1C"/>
    <w:rsid w:val="00F44076"/>
    <w:rsid w:val="00F47D6F"/>
    <w:rsid w:val="00F504A9"/>
    <w:rsid w:val="00F5215A"/>
    <w:rsid w:val="00F5321E"/>
    <w:rsid w:val="00F54E8B"/>
    <w:rsid w:val="00F56C08"/>
    <w:rsid w:val="00F57AF8"/>
    <w:rsid w:val="00F615E0"/>
    <w:rsid w:val="00F63986"/>
    <w:rsid w:val="00F63B88"/>
    <w:rsid w:val="00F64497"/>
    <w:rsid w:val="00F65C95"/>
    <w:rsid w:val="00F708A3"/>
    <w:rsid w:val="00F71B86"/>
    <w:rsid w:val="00F727E9"/>
    <w:rsid w:val="00F73A16"/>
    <w:rsid w:val="00F73F5B"/>
    <w:rsid w:val="00F8153D"/>
    <w:rsid w:val="00F81E5C"/>
    <w:rsid w:val="00F84024"/>
    <w:rsid w:val="00F85759"/>
    <w:rsid w:val="00F85ABB"/>
    <w:rsid w:val="00F87CCC"/>
    <w:rsid w:val="00F92B9D"/>
    <w:rsid w:val="00F9731C"/>
    <w:rsid w:val="00FA53A4"/>
    <w:rsid w:val="00FA7607"/>
    <w:rsid w:val="00FB10B7"/>
    <w:rsid w:val="00FC51A2"/>
    <w:rsid w:val="00FC53B5"/>
    <w:rsid w:val="00FD2286"/>
    <w:rsid w:val="00FD4A50"/>
    <w:rsid w:val="00FD57C2"/>
    <w:rsid w:val="00FD5B5A"/>
    <w:rsid w:val="00FF2B86"/>
    <w:rsid w:val="00FF2FC8"/>
    <w:rsid w:val="00FF39DF"/>
    <w:rsid w:val="00FF3E42"/>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de-AT" w:eastAsia="en-US" w:bidi="ar-SA"/>
      </w:rPr>
    </w:rPrDefault>
    <w:pPrDefault>
      <w:pPr>
        <w:spacing w:before="180" w:after="240" w:line="33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AAB"/>
    <w:pPr>
      <w:spacing w:before="0" w:after="120" w:line="360" w:lineRule="auto"/>
      <w:jc w:val="left"/>
    </w:pPr>
    <w:rPr>
      <w:rFonts w:ascii="Tahoma" w:hAnsi="Tahoma" w:cs="Times New Roman"/>
      <w:szCs w:val="24"/>
      <w:lang w:val="de-DE" w:eastAsia="de-DE"/>
    </w:rPr>
  </w:style>
  <w:style w:type="paragraph" w:styleId="berschrift1">
    <w:name w:val="heading 1"/>
    <w:basedOn w:val="Standard"/>
    <w:next w:val="Standard"/>
    <w:link w:val="berschrift1Zchn"/>
    <w:qFormat/>
    <w:rsid w:val="00BE19E4"/>
    <w:pPr>
      <w:keepNext/>
      <w:spacing w:before="180"/>
      <w:outlineLvl w:val="0"/>
    </w:pPr>
    <w:rPr>
      <w:rFonts w:cs="Arial"/>
      <w:b/>
      <w:bCs/>
      <w:spacing w:val="40"/>
      <w:kern w:val="32"/>
      <w:sz w:val="32"/>
      <w:szCs w:val="32"/>
    </w:rPr>
  </w:style>
  <w:style w:type="paragraph" w:styleId="berschrift2">
    <w:name w:val="heading 2"/>
    <w:basedOn w:val="Aufzhlungszeichen"/>
    <w:next w:val="Standard"/>
    <w:link w:val="berschrift2Zchn"/>
    <w:autoRedefine/>
    <w:uiPriority w:val="9"/>
    <w:qFormat/>
    <w:rsid w:val="009A77F5"/>
    <w:pPr>
      <w:keepNext/>
      <w:numPr>
        <w:numId w:val="0"/>
      </w:numPr>
      <w:spacing w:before="200" w:after="200"/>
      <w:contextualSpacing w:val="0"/>
      <w:outlineLvl w:val="1"/>
    </w:pPr>
    <w:rPr>
      <w:rFonts w:eastAsia="Calibri" w:cs="Arial"/>
      <w:b/>
      <w:bCs/>
      <w:iCs/>
      <w:sz w:val="24"/>
      <w:lang w:eastAsia="en-US"/>
    </w:rPr>
  </w:style>
  <w:style w:type="paragraph" w:styleId="berschrift3">
    <w:name w:val="heading 3"/>
    <w:basedOn w:val="Standard"/>
    <w:next w:val="Standard"/>
    <w:link w:val="berschrift3Zchn"/>
    <w:autoRedefine/>
    <w:uiPriority w:val="9"/>
    <w:unhideWhenUsed/>
    <w:qFormat/>
    <w:rsid w:val="00E23216"/>
    <w:pPr>
      <w:keepNext/>
      <w:keepLines/>
      <w:spacing w:before="200"/>
      <w:ind w:left="709" w:hanging="709"/>
      <w:outlineLvl w:val="2"/>
    </w:pPr>
    <w:rPr>
      <w:rFonts w:eastAsiaTheme="majorEastAsia" w:cstheme="majorBidi"/>
      <w:b/>
      <w:bCs/>
      <w:color w:val="4F81BD" w:themeColor="accent1"/>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E19E4"/>
    <w:rPr>
      <w:rFonts w:ascii="Tahoma" w:hAnsi="Tahoma" w:cs="Arial"/>
      <w:b/>
      <w:bCs/>
      <w:spacing w:val="40"/>
      <w:kern w:val="32"/>
      <w:sz w:val="32"/>
      <w:szCs w:val="32"/>
      <w:lang w:val="de-DE" w:eastAsia="de-DE"/>
    </w:rPr>
  </w:style>
  <w:style w:type="character" w:customStyle="1" w:styleId="berschrift2Zchn">
    <w:name w:val="Überschrift 2 Zchn"/>
    <w:basedOn w:val="Absatz-Standardschriftart"/>
    <w:link w:val="berschrift2"/>
    <w:uiPriority w:val="9"/>
    <w:rsid w:val="009A77F5"/>
    <w:rPr>
      <w:rFonts w:ascii="Tahoma" w:eastAsia="Calibri" w:hAnsi="Tahoma" w:cs="Arial"/>
      <w:b/>
      <w:bCs/>
      <w:iCs/>
      <w:sz w:val="24"/>
      <w:szCs w:val="24"/>
      <w:lang w:val="de-DE"/>
    </w:rPr>
  </w:style>
  <w:style w:type="character" w:customStyle="1" w:styleId="berschrift3Zchn">
    <w:name w:val="Überschrift 3 Zchn"/>
    <w:basedOn w:val="Absatz-Standardschriftart"/>
    <w:link w:val="berschrift3"/>
    <w:uiPriority w:val="9"/>
    <w:rsid w:val="00E23216"/>
    <w:rPr>
      <w:rFonts w:ascii="Tahoma" w:eastAsiaTheme="majorEastAsia" w:hAnsi="Tahoma" w:cstheme="majorBidi"/>
      <w:b/>
      <w:bCs/>
      <w:color w:val="4F81BD" w:themeColor="accent1"/>
      <w:szCs w:val="24"/>
      <w:lang w:eastAsia="de-DE"/>
    </w:rPr>
  </w:style>
  <w:style w:type="character" w:styleId="IntensiverVerweis">
    <w:name w:val="Intense Reference"/>
    <w:aliases w:val="Überschrift Kapitälchen"/>
    <w:basedOn w:val="Absatz-Standardschriftart"/>
    <w:uiPriority w:val="32"/>
    <w:qFormat/>
    <w:rsid w:val="00BE19E4"/>
    <w:rPr>
      <w:rFonts w:ascii="Tahoma" w:hAnsi="Tahoma"/>
      <w:b/>
      <w:bCs/>
      <w:i/>
      <w:smallCaps/>
      <w:color w:val="C0504D" w:themeColor="accent2"/>
      <w:spacing w:val="32"/>
      <w:sz w:val="24"/>
      <w:u w:val="single"/>
      <w:bdr w:val="none" w:sz="0" w:space="0" w:color="auto"/>
    </w:rPr>
  </w:style>
  <w:style w:type="paragraph" w:styleId="Aufzhlungszeichen">
    <w:name w:val="List Bullet"/>
    <w:basedOn w:val="Standard"/>
    <w:uiPriority w:val="99"/>
    <w:unhideWhenUsed/>
    <w:rsid w:val="00B15C66"/>
    <w:pPr>
      <w:numPr>
        <w:numId w:val="1"/>
      </w:numPr>
      <w:contextualSpacing/>
    </w:pPr>
  </w:style>
  <w:style w:type="paragraph" w:styleId="Sprechblasentext">
    <w:name w:val="Balloon Text"/>
    <w:basedOn w:val="Standard"/>
    <w:link w:val="SprechblasentextZchn"/>
    <w:uiPriority w:val="99"/>
    <w:semiHidden/>
    <w:unhideWhenUsed/>
    <w:rsid w:val="00810439"/>
    <w:pPr>
      <w:spacing w:after="0" w:line="240" w:lineRule="auto"/>
    </w:pPr>
    <w:rPr>
      <w:rFonts w:cs="Tahoma"/>
      <w:sz w:val="16"/>
      <w:szCs w:val="16"/>
    </w:rPr>
  </w:style>
  <w:style w:type="character" w:customStyle="1" w:styleId="SprechblasentextZchn">
    <w:name w:val="Sprechblasentext Zchn"/>
    <w:basedOn w:val="Absatz-Standardschriftart"/>
    <w:link w:val="Sprechblasentext"/>
    <w:uiPriority w:val="99"/>
    <w:semiHidden/>
    <w:rsid w:val="00810439"/>
    <w:rPr>
      <w:rFonts w:ascii="Tahoma" w:hAnsi="Tahoma" w:cs="Tahoma"/>
      <w:sz w:val="16"/>
      <w:szCs w:val="16"/>
      <w:lang w:val="de-DE" w:eastAsia="de-DE"/>
    </w:rPr>
  </w:style>
  <w:style w:type="paragraph" w:customStyle="1" w:styleId="notranslate">
    <w:name w:val="notranslate"/>
    <w:basedOn w:val="Standard"/>
    <w:rsid w:val="00D11281"/>
    <w:pPr>
      <w:spacing w:before="100" w:beforeAutospacing="1" w:after="100" w:afterAutospacing="1" w:line="240" w:lineRule="auto"/>
    </w:pPr>
    <w:rPr>
      <w:rFonts w:ascii="Times New Roman" w:hAnsi="Times New Roman"/>
      <w:sz w:val="24"/>
      <w:lang w:val="de-AT" w:eastAsia="de-AT"/>
    </w:rPr>
  </w:style>
  <w:style w:type="table" w:styleId="Tabellengitternetz">
    <w:name w:val="Table Grid"/>
    <w:basedOn w:val="NormaleTabelle"/>
    <w:uiPriority w:val="59"/>
    <w:rsid w:val="00D11281"/>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createdat">
    <w:name w:val="ta_createdat"/>
    <w:basedOn w:val="Standard"/>
    <w:rsid w:val="0023571A"/>
    <w:pPr>
      <w:spacing w:before="100" w:beforeAutospacing="1" w:after="100" w:afterAutospacing="1" w:line="240" w:lineRule="auto"/>
    </w:pPr>
    <w:rPr>
      <w:rFonts w:ascii="Times New Roman" w:hAnsi="Times New Roman"/>
      <w:sz w:val="24"/>
      <w:lang w:val="de-AT" w:eastAsia="de-AT"/>
    </w:rPr>
  </w:style>
  <w:style w:type="character" w:styleId="Hyperlink">
    <w:name w:val="Hyperlink"/>
    <w:basedOn w:val="Absatz-Standardschriftart"/>
    <w:uiPriority w:val="99"/>
    <w:unhideWhenUsed/>
    <w:rsid w:val="0023571A"/>
    <w:rPr>
      <w:color w:val="0000FF"/>
      <w:u w:val="single"/>
    </w:rPr>
  </w:style>
  <w:style w:type="character" w:styleId="SchwacherVerweis">
    <w:name w:val="Subtle Reference"/>
    <w:basedOn w:val="Absatz-Standardschriftart"/>
    <w:uiPriority w:val="31"/>
    <w:qFormat/>
    <w:rsid w:val="00181916"/>
    <w:rPr>
      <w:smallCaps/>
      <w:color w:val="C0504D" w:themeColor="accent2"/>
      <w:u w:val="single"/>
    </w:rPr>
  </w:style>
  <w:style w:type="paragraph" w:styleId="Listenabsatz">
    <w:name w:val="List Paragraph"/>
    <w:basedOn w:val="Standard"/>
    <w:uiPriority w:val="99"/>
    <w:qFormat/>
    <w:rsid w:val="006144FD"/>
    <w:pPr>
      <w:ind w:left="720"/>
      <w:contextualSpacing/>
    </w:pPr>
  </w:style>
  <w:style w:type="paragraph" w:styleId="Kopfzeile">
    <w:name w:val="header"/>
    <w:basedOn w:val="Standard"/>
    <w:link w:val="KopfzeileZchn"/>
    <w:uiPriority w:val="99"/>
    <w:semiHidden/>
    <w:unhideWhenUsed/>
    <w:rsid w:val="00F644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64497"/>
    <w:rPr>
      <w:rFonts w:ascii="Tahoma" w:hAnsi="Tahoma" w:cs="Times New Roman"/>
      <w:szCs w:val="24"/>
      <w:lang w:val="de-DE" w:eastAsia="de-DE"/>
    </w:rPr>
  </w:style>
  <w:style w:type="paragraph" w:styleId="Fuzeile">
    <w:name w:val="footer"/>
    <w:basedOn w:val="Standard"/>
    <w:link w:val="FuzeileZchn"/>
    <w:uiPriority w:val="99"/>
    <w:semiHidden/>
    <w:unhideWhenUsed/>
    <w:rsid w:val="00F6449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F64497"/>
    <w:rPr>
      <w:rFonts w:ascii="Tahoma" w:hAnsi="Tahoma" w:cs="Times New Roman"/>
      <w:szCs w:val="24"/>
      <w:lang w:val="de-DE" w:eastAsia="de-DE"/>
    </w:rPr>
  </w:style>
  <w:style w:type="character" w:styleId="IntensiveHervorhebung">
    <w:name w:val="Intense Emphasis"/>
    <w:basedOn w:val="Absatz-Standardschriftart"/>
    <w:uiPriority w:val="21"/>
    <w:qFormat/>
    <w:rsid w:val="00197ADB"/>
    <w:rPr>
      <w:b/>
      <w:bCs/>
      <w:i/>
      <w:iCs/>
      <w:color w:val="4F81BD" w:themeColor="accent1"/>
    </w:rPr>
  </w:style>
  <w:style w:type="paragraph" w:styleId="Untertitel">
    <w:name w:val="Subtitle"/>
    <w:basedOn w:val="Standard"/>
    <w:next w:val="Standard"/>
    <w:link w:val="UntertitelZchn"/>
    <w:autoRedefine/>
    <w:uiPriority w:val="11"/>
    <w:qFormat/>
    <w:rsid w:val="00FF2B86"/>
    <w:pPr>
      <w:numPr>
        <w:ilvl w:val="1"/>
      </w:numPr>
      <w:spacing w:after="40" w:line="240" w:lineRule="auto"/>
      <w:ind w:left="1134" w:hanging="1134"/>
    </w:pPr>
    <w:rPr>
      <w:rFonts w:eastAsiaTheme="majorEastAsia" w:cstheme="majorBidi"/>
      <w:i/>
      <w:iCs/>
      <w:color w:val="365F91" w:themeColor="accent1" w:themeShade="BF"/>
      <w:spacing w:val="15"/>
    </w:rPr>
  </w:style>
  <w:style w:type="character" w:customStyle="1" w:styleId="UntertitelZchn">
    <w:name w:val="Untertitel Zchn"/>
    <w:basedOn w:val="Absatz-Standardschriftart"/>
    <w:link w:val="Untertitel"/>
    <w:uiPriority w:val="11"/>
    <w:rsid w:val="00FF2B86"/>
    <w:rPr>
      <w:rFonts w:ascii="Tahoma" w:eastAsiaTheme="majorEastAsia" w:hAnsi="Tahoma" w:cstheme="majorBidi"/>
      <w:i/>
      <w:iCs/>
      <w:color w:val="365F91" w:themeColor="accent1" w:themeShade="BF"/>
      <w:spacing w:val="15"/>
      <w:szCs w:val="24"/>
      <w:lang w:val="de-DE" w:eastAsia="de-DE"/>
    </w:rPr>
  </w:style>
  <w:style w:type="paragraph" w:styleId="IntensivesAnfhrungszeichen">
    <w:name w:val="Intense Quote"/>
    <w:basedOn w:val="Standard"/>
    <w:next w:val="Standard"/>
    <w:link w:val="IntensivesAnfhrungszeichenZchn"/>
    <w:uiPriority w:val="30"/>
    <w:qFormat/>
    <w:rsid w:val="00742B50"/>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742B50"/>
    <w:rPr>
      <w:rFonts w:ascii="Tahoma" w:hAnsi="Tahoma" w:cs="Times New Roman"/>
      <w:b/>
      <w:bCs/>
      <w:i/>
      <w:iCs/>
      <w:color w:val="4F81BD" w:themeColor="accent1"/>
      <w:szCs w:val="24"/>
      <w:lang w:val="de-DE" w:eastAsia="de-DE"/>
    </w:rPr>
  </w:style>
  <w:style w:type="paragraph" w:styleId="StandardWeb">
    <w:name w:val="Normal (Web)"/>
    <w:basedOn w:val="Standard"/>
    <w:uiPriority w:val="99"/>
    <w:semiHidden/>
    <w:unhideWhenUsed/>
    <w:rsid w:val="000471CF"/>
    <w:pPr>
      <w:spacing w:before="100" w:beforeAutospacing="1" w:after="100" w:afterAutospacing="1" w:line="240" w:lineRule="auto"/>
    </w:pPr>
    <w:rPr>
      <w:rFonts w:ascii="Times New Roman" w:hAnsi="Times New Roman"/>
      <w:sz w:val="24"/>
      <w:lang w:val="de-AT" w:eastAsia="de-AT"/>
    </w:rPr>
  </w:style>
  <w:style w:type="character" w:styleId="Fett">
    <w:name w:val="Strong"/>
    <w:basedOn w:val="Absatz-Standardschriftart"/>
    <w:uiPriority w:val="22"/>
    <w:qFormat/>
    <w:rsid w:val="000471CF"/>
    <w:rPr>
      <w:b/>
      <w:bCs/>
    </w:rPr>
  </w:style>
  <w:style w:type="character" w:styleId="Hervorhebung">
    <w:name w:val="Emphasis"/>
    <w:basedOn w:val="Absatz-Standardschriftart"/>
    <w:uiPriority w:val="20"/>
    <w:qFormat/>
    <w:rsid w:val="000471CF"/>
    <w:rPr>
      <w:i/>
      <w:iCs/>
    </w:rPr>
  </w:style>
  <w:style w:type="paragraph" w:styleId="Funotentext">
    <w:name w:val="footnote text"/>
    <w:basedOn w:val="Standard"/>
    <w:link w:val="FunotentextZchn"/>
    <w:uiPriority w:val="99"/>
    <w:semiHidden/>
    <w:unhideWhenUsed/>
    <w:rsid w:val="00651E0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51E08"/>
    <w:rPr>
      <w:rFonts w:ascii="Tahoma" w:hAnsi="Tahoma" w:cs="Times New Roman"/>
      <w:sz w:val="20"/>
      <w:szCs w:val="20"/>
      <w:lang w:val="de-DE" w:eastAsia="de-DE"/>
    </w:rPr>
  </w:style>
  <w:style w:type="character" w:styleId="Funotenzeichen">
    <w:name w:val="footnote reference"/>
    <w:basedOn w:val="Absatz-Standardschriftart"/>
    <w:uiPriority w:val="99"/>
    <w:semiHidden/>
    <w:unhideWhenUsed/>
    <w:rsid w:val="00651E08"/>
    <w:rPr>
      <w:vertAlign w:val="superscript"/>
    </w:rPr>
  </w:style>
  <w:style w:type="paragraph" w:styleId="Endnotentext">
    <w:name w:val="endnote text"/>
    <w:basedOn w:val="Standard"/>
    <w:link w:val="EndnotentextZchn"/>
    <w:uiPriority w:val="99"/>
    <w:semiHidden/>
    <w:unhideWhenUsed/>
    <w:rsid w:val="00FA53A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FA53A4"/>
    <w:rPr>
      <w:rFonts w:ascii="Tahoma" w:hAnsi="Tahoma" w:cs="Times New Roman"/>
      <w:sz w:val="20"/>
      <w:szCs w:val="20"/>
      <w:lang w:val="de-DE" w:eastAsia="de-DE"/>
    </w:rPr>
  </w:style>
  <w:style w:type="character" w:styleId="Endnotenzeichen">
    <w:name w:val="endnote reference"/>
    <w:basedOn w:val="Absatz-Standardschriftart"/>
    <w:uiPriority w:val="99"/>
    <w:semiHidden/>
    <w:unhideWhenUsed/>
    <w:rsid w:val="00FA53A4"/>
    <w:rPr>
      <w:vertAlign w:val="superscript"/>
    </w:rPr>
  </w:style>
  <w:style w:type="paragraph" w:customStyle="1" w:styleId="bodytext">
    <w:name w:val="bodytext"/>
    <w:basedOn w:val="Standard"/>
    <w:rsid w:val="009A7AF4"/>
    <w:pPr>
      <w:spacing w:before="100" w:beforeAutospacing="1" w:after="100" w:afterAutospacing="1" w:line="240" w:lineRule="auto"/>
    </w:pPr>
    <w:rPr>
      <w:rFonts w:ascii="Times New Roman" w:hAnsi="Times New Roman"/>
      <w:sz w:val="24"/>
      <w:lang w:val="de-AT" w:eastAsia="de-AT"/>
    </w:rPr>
  </w:style>
  <w:style w:type="character" w:styleId="BesuchterHyperlink">
    <w:name w:val="FollowedHyperlink"/>
    <w:basedOn w:val="Absatz-Standardschriftart"/>
    <w:uiPriority w:val="99"/>
    <w:semiHidden/>
    <w:unhideWhenUsed/>
    <w:rsid w:val="00E54513"/>
    <w:rPr>
      <w:color w:val="800080" w:themeColor="followedHyperlink"/>
      <w:u w:val="single"/>
    </w:rPr>
  </w:style>
  <w:style w:type="paragraph" w:styleId="HTMLVorformatiert">
    <w:name w:val="HTML Preformatted"/>
    <w:basedOn w:val="Standard"/>
    <w:link w:val="HTMLVorformatiertZchn"/>
    <w:uiPriority w:val="99"/>
    <w:unhideWhenUsed/>
    <w:rsid w:val="00312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rsid w:val="00312B34"/>
    <w:rPr>
      <w:rFonts w:ascii="Courier New" w:hAnsi="Courier New" w:cs="Courier New"/>
      <w:sz w:val="20"/>
      <w:szCs w:val="20"/>
      <w:lang w:eastAsia="de-AT"/>
    </w:rPr>
  </w:style>
  <w:style w:type="character" w:styleId="Kommentarzeichen">
    <w:name w:val="annotation reference"/>
    <w:basedOn w:val="Absatz-Standardschriftart"/>
    <w:uiPriority w:val="99"/>
    <w:semiHidden/>
    <w:unhideWhenUsed/>
    <w:rsid w:val="00961901"/>
    <w:rPr>
      <w:sz w:val="16"/>
      <w:szCs w:val="16"/>
    </w:rPr>
  </w:style>
  <w:style w:type="paragraph" w:styleId="Kommentartext">
    <w:name w:val="annotation text"/>
    <w:basedOn w:val="Standard"/>
    <w:link w:val="KommentartextZchn"/>
    <w:uiPriority w:val="99"/>
    <w:semiHidden/>
    <w:unhideWhenUsed/>
    <w:rsid w:val="009619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1901"/>
    <w:rPr>
      <w:rFonts w:ascii="Tahoma" w:hAnsi="Tahoma"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961901"/>
    <w:rPr>
      <w:b/>
      <w:bCs/>
    </w:rPr>
  </w:style>
  <w:style w:type="character" w:customStyle="1" w:styleId="KommentarthemaZchn">
    <w:name w:val="Kommentarthema Zchn"/>
    <w:basedOn w:val="KommentartextZchn"/>
    <w:link w:val="Kommentarthema"/>
    <w:uiPriority w:val="99"/>
    <w:semiHidden/>
    <w:rsid w:val="00961901"/>
    <w:rPr>
      <w:b/>
      <w:bCs/>
    </w:rPr>
  </w:style>
</w:styles>
</file>

<file path=word/webSettings.xml><?xml version="1.0" encoding="utf-8"?>
<w:webSettings xmlns:r="http://schemas.openxmlformats.org/officeDocument/2006/relationships" xmlns:w="http://schemas.openxmlformats.org/wordprocessingml/2006/main">
  <w:divs>
    <w:div w:id="5986218">
      <w:bodyDiv w:val="1"/>
      <w:marLeft w:val="0"/>
      <w:marRight w:val="0"/>
      <w:marTop w:val="0"/>
      <w:marBottom w:val="0"/>
      <w:divBdr>
        <w:top w:val="none" w:sz="0" w:space="0" w:color="auto"/>
        <w:left w:val="none" w:sz="0" w:space="0" w:color="auto"/>
        <w:bottom w:val="none" w:sz="0" w:space="0" w:color="auto"/>
        <w:right w:val="none" w:sz="0" w:space="0" w:color="auto"/>
      </w:divBdr>
      <w:divsChild>
        <w:div w:id="1426264298">
          <w:marLeft w:val="0"/>
          <w:marRight w:val="0"/>
          <w:marTop w:val="0"/>
          <w:marBottom w:val="0"/>
          <w:divBdr>
            <w:top w:val="none" w:sz="0" w:space="0" w:color="auto"/>
            <w:left w:val="none" w:sz="0" w:space="0" w:color="auto"/>
            <w:bottom w:val="none" w:sz="0" w:space="0" w:color="auto"/>
            <w:right w:val="none" w:sz="0" w:space="0" w:color="auto"/>
          </w:divBdr>
        </w:div>
        <w:div w:id="1670475429">
          <w:marLeft w:val="0"/>
          <w:marRight w:val="0"/>
          <w:marTop w:val="0"/>
          <w:marBottom w:val="0"/>
          <w:divBdr>
            <w:top w:val="none" w:sz="0" w:space="0" w:color="auto"/>
            <w:left w:val="none" w:sz="0" w:space="0" w:color="auto"/>
            <w:bottom w:val="none" w:sz="0" w:space="0" w:color="auto"/>
            <w:right w:val="none" w:sz="0" w:space="0" w:color="auto"/>
          </w:divBdr>
        </w:div>
        <w:div w:id="1468858798">
          <w:marLeft w:val="0"/>
          <w:marRight w:val="0"/>
          <w:marTop w:val="0"/>
          <w:marBottom w:val="0"/>
          <w:divBdr>
            <w:top w:val="none" w:sz="0" w:space="0" w:color="auto"/>
            <w:left w:val="none" w:sz="0" w:space="0" w:color="auto"/>
            <w:bottom w:val="none" w:sz="0" w:space="0" w:color="auto"/>
            <w:right w:val="none" w:sz="0" w:space="0" w:color="auto"/>
          </w:divBdr>
        </w:div>
        <w:div w:id="2098476785">
          <w:marLeft w:val="0"/>
          <w:marRight w:val="0"/>
          <w:marTop w:val="0"/>
          <w:marBottom w:val="0"/>
          <w:divBdr>
            <w:top w:val="none" w:sz="0" w:space="0" w:color="auto"/>
            <w:left w:val="none" w:sz="0" w:space="0" w:color="auto"/>
            <w:bottom w:val="none" w:sz="0" w:space="0" w:color="auto"/>
            <w:right w:val="none" w:sz="0" w:space="0" w:color="auto"/>
          </w:divBdr>
        </w:div>
        <w:div w:id="1133866655">
          <w:marLeft w:val="0"/>
          <w:marRight w:val="0"/>
          <w:marTop w:val="0"/>
          <w:marBottom w:val="0"/>
          <w:divBdr>
            <w:top w:val="none" w:sz="0" w:space="0" w:color="auto"/>
            <w:left w:val="none" w:sz="0" w:space="0" w:color="auto"/>
            <w:bottom w:val="none" w:sz="0" w:space="0" w:color="auto"/>
            <w:right w:val="none" w:sz="0" w:space="0" w:color="auto"/>
          </w:divBdr>
        </w:div>
        <w:div w:id="1797213768">
          <w:marLeft w:val="0"/>
          <w:marRight w:val="0"/>
          <w:marTop w:val="0"/>
          <w:marBottom w:val="0"/>
          <w:divBdr>
            <w:top w:val="none" w:sz="0" w:space="0" w:color="auto"/>
            <w:left w:val="none" w:sz="0" w:space="0" w:color="auto"/>
            <w:bottom w:val="none" w:sz="0" w:space="0" w:color="auto"/>
            <w:right w:val="none" w:sz="0" w:space="0" w:color="auto"/>
          </w:divBdr>
        </w:div>
        <w:div w:id="1165442079">
          <w:marLeft w:val="0"/>
          <w:marRight w:val="0"/>
          <w:marTop w:val="0"/>
          <w:marBottom w:val="0"/>
          <w:divBdr>
            <w:top w:val="none" w:sz="0" w:space="0" w:color="auto"/>
            <w:left w:val="none" w:sz="0" w:space="0" w:color="auto"/>
            <w:bottom w:val="none" w:sz="0" w:space="0" w:color="auto"/>
            <w:right w:val="none" w:sz="0" w:space="0" w:color="auto"/>
          </w:divBdr>
        </w:div>
        <w:div w:id="46952625">
          <w:marLeft w:val="0"/>
          <w:marRight w:val="0"/>
          <w:marTop w:val="0"/>
          <w:marBottom w:val="0"/>
          <w:divBdr>
            <w:top w:val="none" w:sz="0" w:space="0" w:color="auto"/>
            <w:left w:val="none" w:sz="0" w:space="0" w:color="auto"/>
            <w:bottom w:val="none" w:sz="0" w:space="0" w:color="auto"/>
            <w:right w:val="none" w:sz="0" w:space="0" w:color="auto"/>
          </w:divBdr>
        </w:div>
        <w:div w:id="1820806900">
          <w:marLeft w:val="0"/>
          <w:marRight w:val="0"/>
          <w:marTop w:val="0"/>
          <w:marBottom w:val="0"/>
          <w:divBdr>
            <w:top w:val="none" w:sz="0" w:space="0" w:color="auto"/>
            <w:left w:val="none" w:sz="0" w:space="0" w:color="auto"/>
            <w:bottom w:val="none" w:sz="0" w:space="0" w:color="auto"/>
            <w:right w:val="none" w:sz="0" w:space="0" w:color="auto"/>
          </w:divBdr>
        </w:div>
      </w:divsChild>
    </w:div>
    <w:div w:id="12540094">
      <w:bodyDiv w:val="1"/>
      <w:marLeft w:val="0"/>
      <w:marRight w:val="0"/>
      <w:marTop w:val="0"/>
      <w:marBottom w:val="0"/>
      <w:divBdr>
        <w:top w:val="none" w:sz="0" w:space="0" w:color="auto"/>
        <w:left w:val="none" w:sz="0" w:space="0" w:color="auto"/>
        <w:bottom w:val="none" w:sz="0" w:space="0" w:color="auto"/>
        <w:right w:val="none" w:sz="0" w:space="0" w:color="auto"/>
      </w:divBdr>
    </w:div>
    <w:div w:id="22681342">
      <w:bodyDiv w:val="1"/>
      <w:marLeft w:val="0"/>
      <w:marRight w:val="0"/>
      <w:marTop w:val="0"/>
      <w:marBottom w:val="0"/>
      <w:divBdr>
        <w:top w:val="none" w:sz="0" w:space="0" w:color="auto"/>
        <w:left w:val="none" w:sz="0" w:space="0" w:color="auto"/>
        <w:bottom w:val="none" w:sz="0" w:space="0" w:color="auto"/>
        <w:right w:val="none" w:sz="0" w:space="0" w:color="auto"/>
      </w:divBdr>
    </w:div>
    <w:div w:id="45111734">
      <w:bodyDiv w:val="1"/>
      <w:marLeft w:val="0"/>
      <w:marRight w:val="0"/>
      <w:marTop w:val="0"/>
      <w:marBottom w:val="0"/>
      <w:divBdr>
        <w:top w:val="none" w:sz="0" w:space="0" w:color="auto"/>
        <w:left w:val="none" w:sz="0" w:space="0" w:color="auto"/>
        <w:bottom w:val="none" w:sz="0" w:space="0" w:color="auto"/>
        <w:right w:val="none" w:sz="0" w:space="0" w:color="auto"/>
      </w:divBdr>
      <w:divsChild>
        <w:div w:id="1692565215">
          <w:marLeft w:val="0"/>
          <w:marRight w:val="0"/>
          <w:marTop w:val="0"/>
          <w:marBottom w:val="0"/>
          <w:divBdr>
            <w:top w:val="none" w:sz="0" w:space="0" w:color="auto"/>
            <w:left w:val="none" w:sz="0" w:space="0" w:color="auto"/>
            <w:bottom w:val="none" w:sz="0" w:space="0" w:color="auto"/>
            <w:right w:val="none" w:sz="0" w:space="0" w:color="auto"/>
          </w:divBdr>
        </w:div>
        <w:div w:id="1787388941">
          <w:marLeft w:val="0"/>
          <w:marRight w:val="0"/>
          <w:marTop w:val="0"/>
          <w:marBottom w:val="0"/>
          <w:divBdr>
            <w:top w:val="none" w:sz="0" w:space="0" w:color="auto"/>
            <w:left w:val="none" w:sz="0" w:space="0" w:color="auto"/>
            <w:bottom w:val="none" w:sz="0" w:space="0" w:color="auto"/>
            <w:right w:val="none" w:sz="0" w:space="0" w:color="auto"/>
          </w:divBdr>
        </w:div>
        <w:div w:id="1819834089">
          <w:marLeft w:val="0"/>
          <w:marRight w:val="0"/>
          <w:marTop w:val="0"/>
          <w:marBottom w:val="0"/>
          <w:divBdr>
            <w:top w:val="none" w:sz="0" w:space="0" w:color="auto"/>
            <w:left w:val="none" w:sz="0" w:space="0" w:color="auto"/>
            <w:bottom w:val="none" w:sz="0" w:space="0" w:color="auto"/>
            <w:right w:val="none" w:sz="0" w:space="0" w:color="auto"/>
          </w:divBdr>
        </w:div>
        <w:div w:id="1885631371">
          <w:marLeft w:val="0"/>
          <w:marRight w:val="0"/>
          <w:marTop w:val="0"/>
          <w:marBottom w:val="0"/>
          <w:divBdr>
            <w:top w:val="none" w:sz="0" w:space="0" w:color="auto"/>
            <w:left w:val="none" w:sz="0" w:space="0" w:color="auto"/>
            <w:bottom w:val="none" w:sz="0" w:space="0" w:color="auto"/>
            <w:right w:val="none" w:sz="0" w:space="0" w:color="auto"/>
          </w:divBdr>
        </w:div>
        <w:div w:id="1488743992">
          <w:marLeft w:val="0"/>
          <w:marRight w:val="0"/>
          <w:marTop w:val="0"/>
          <w:marBottom w:val="0"/>
          <w:divBdr>
            <w:top w:val="none" w:sz="0" w:space="0" w:color="auto"/>
            <w:left w:val="none" w:sz="0" w:space="0" w:color="auto"/>
            <w:bottom w:val="none" w:sz="0" w:space="0" w:color="auto"/>
            <w:right w:val="none" w:sz="0" w:space="0" w:color="auto"/>
          </w:divBdr>
        </w:div>
        <w:div w:id="43061694">
          <w:marLeft w:val="0"/>
          <w:marRight w:val="0"/>
          <w:marTop w:val="0"/>
          <w:marBottom w:val="0"/>
          <w:divBdr>
            <w:top w:val="none" w:sz="0" w:space="0" w:color="auto"/>
            <w:left w:val="none" w:sz="0" w:space="0" w:color="auto"/>
            <w:bottom w:val="none" w:sz="0" w:space="0" w:color="auto"/>
            <w:right w:val="none" w:sz="0" w:space="0" w:color="auto"/>
          </w:divBdr>
        </w:div>
        <w:div w:id="667639142">
          <w:marLeft w:val="0"/>
          <w:marRight w:val="0"/>
          <w:marTop w:val="0"/>
          <w:marBottom w:val="0"/>
          <w:divBdr>
            <w:top w:val="none" w:sz="0" w:space="0" w:color="auto"/>
            <w:left w:val="none" w:sz="0" w:space="0" w:color="auto"/>
            <w:bottom w:val="none" w:sz="0" w:space="0" w:color="auto"/>
            <w:right w:val="none" w:sz="0" w:space="0" w:color="auto"/>
          </w:divBdr>
        </w:div>
        <w:div w:id="761754465">
          <w:marLeft w:val="0"/>
          <w:marRight w:val="0"/>
          <w:marTop w:val="0"/>
          <w:marBottom w:val="0"/>
          <w:divBdr>
            <w:top w:val="none" w:sz="0" w:space="0" w:color="auto"/>
            <w:left w:val="none" w:sz="0" w:space="0" w:color="auto"/>
            <w:bottom w:val="none" w:sz="0" w:space="0" w:color="auto"/>
            <w:right w:val="none" w:sz="0" w:space="0" w:color="auto"/>
          </w:divBdr>
        </w:div>
        <w:div w:id="1942448426">
          <w:marLeft w:val="0"/>
          <w:marRight w:val="0"/>
          <w:marTop w:val="0"/>
          <w:marBottom w:val="0"/>
          <w:divBdr>
            <w:top w:val="none" w:sz="0" w:space="0" w:color="auto"/>
            <w:left w:val="none" w:sz="0" w:space="0" w:color="auto"/>
            <w:bottom w:val="none" w:sz="0" w:space="0" w:color="auto"/>
            <w:right w:val="none" w:sz="0" w:space="0" w:color="auto"/>
          </w:divBdr>
        </w:div>
        <w:div w:id="124664356">
          <w:marLeft w:val="0"/>
          <w:marRight w:val="0"/>
          <w:marTop w:val="0"/>
          <w:marBottom w:val="0"/>
          <w:divBdr>
            <w:top w:val="none" w:sz="0" w:space="0" w:color="auto"/>
            <w:left w:val="none" w:sz="0" w:space="0" w:color="auto"/>
            <w:bottom w:val="none" w:sz="0" w:space="0" w:color="auto"/>
            <w:right w:val="none" w:sz="0" w:space="0" w:color="auto"/>
          </w:divBdr>
        </w:div>
        <w:div w:id="105080944">
          <w:marLeft w:val="0"/>
          <w:marRight w:val="0"/>
          <w:marTop w:val="0"/>
          <w:marBottom w:val="0"/>
          <w:divBdr>
            <w:top w:val="none" w:sz="0" w:space="0" w:color="auto"/>
            <w:left w:val="none" w:sz="0" w:space="0" w:color="auto"/>
            <w:bottom w:val="none" w:sz="0" w:space="0" w:color="auto"/>
            <w:right w:val="none" w:sz="0" w:space="0" w:color="auto"/>
          </w:divBdr>
        </w:div>
        <w:div w:id="888034833">
          <w:marLeft w:val="0"/>
          <w:marRight w:val="0"/>
          <w:marTop w:val="0"/>
          <w:marBottom w:val="0"/>
          <w:divBdr>
            <w:top w:val="none" w:sz="0" w:space="0" w:color="auto"/>
            <w:left w:val="none" w:sz="0" w:space="0" w:color="auto"/>
            <w:bottom w:val="none" w:sz="0" w:space="0" w:color="auto"/>
            <w:right w:val="none" w:sz="0" w:space="0" w:color="auto"/>
          </w:divBdr>
        </w:div>
        <w:div w:id="1757048289">
          <w:marLeft w:val="0"/>
          <w:marRight w:val="0"/>
          <w:marTop w:val="0"/>
          <w:marBottom w:val="0"/>
          <w:divBdr>
            <w:top w:val="none" w:sz="0" w:space="0" w:color="auto"/>
            <w:left w:val="none" w:sz="0" w:space="0" w:color="auto"/>
            <w:bottom w:val="none" w:sz="0" w:space="0" w:color="auto"/>
            <w:right w:val="none" w:sz="0" w:space="0" w:color="auto"/>
          </w:divBdr>
        </w:div>
        <w:div w:id="95180059">
          <w:marLeft w:val="0"/>
          <w:marRight w:val="0"/>
          <w:marTop w:val="0"/>
          <w:marBottom w:val="0"/>
          <w:divBdr>
            <w:top w:val="none" w:sz="0" w:space="0" w:color="auto"/>
            <w:left w:val="none" w:sz="0" w:space="0" w:color="auto"/>
            <w:bottom w:val="none" w:sz="0" w:space="0" w:color="auto"/>
            <w:right w:val="none" w:sz="0" w:space="0" w:color="auto"/>
          </w:divBdr>
        </w:div>
        <w:div w:id="43603811">
          <w:marLeft w:val="0"/>
          <w:marRight w:val="0"/>
          <w:marTop w:val="0"/>
          <w:marBottom w:val="0"/>
          <w:divBdr>
            <w:top w:val="none" w:sz="0" w:space="0" w:color="auto"/>
            <w:left w:val="none" w:sz="0" w:space="0" w:color="auto"/>
            <w:bottom w:val="none" w:sz="0" w:space="0" w:color="auto"/>
            <w:right w:val="none" w:sz="0" w:space="0" w:color="auto"/>
          </w:divBdr>
        </w:div>
        <w:div w:id="182137632">
          <w:marLeft w:val="0"/>
          <w:marRight w:val="0"/>
          <w:marTop w:val="0"/>
          <w:marBottom w:val="0"/>
          <w:divBdr>
            <w:top w:val="none" w:sz="0" w:space="0" w:color="auto"/>
            <w:left w:val="none" w:sz="0" w:space="0" w:color="auto"/>
            <w:bottom w:val="none" w:sz="0" w:space="0" w:color="auto"/>
            <w:right w:val="none" w:sz="0" w:space="0" w:color="auto"/>
          </w:divBdr>
        </w:div>
        <w:div w:id="1714843506">
          <w:marLeft w:val="0"/>
          <w:marRight w:val="0"/>
          <w:marTop w:val="0"/>
          <w:marBottom w:val="0"/>
          <w:divBdr>
            <w:top w:val="none" w:sz="0" w:space="0" w:color="auto"/>
            <w:left w:val="none" w:sz="0" w:space="0" w:color="auto"/>
            <w:bottom w:val="none" w:sz="0" w:space="0" w:color="auto"/>
            <w:right w:val="none" w:sz="0" w:space="0" w:color="auto"/>
          </w:divBdr>
        </w:div>
        <w:div w:id="2131780312">
          <w:marLeft w:val="0"/>
          <w:marRight w:val="0"/>
          <w:marTop w:val="0"/>
          <w:marBottom w:val="0"/>
          <w:divBdr>
            <w:top w:val="none" w:sz="0" w:space="0" w:color="auto"/>
            <w:left w:val="none" w:sz="0" w:space="0" w:color="auto"/>
            <w:bottom w:val="none" w:sz="0" w:space="0" w:color="auto"/>
            <w:right w:val="none" w:sz="0" w:space="0" w:color="auto"/>
          </w:divBdr>
        </w:div>
        <w:div w:id="794904101">
          <w:marLeft w:val="0"/>
          <w:marRight w:val="0"/>
          <w:marTop w:val="0"/>
          <w:marBottom w:val="0"/>
          <w:divBdr>
            <w:top w:val="none" w:sz="0" w:space="0" w:color="auto"/>
            <w:left w:val="none" w:sz="0" w:space="0" w:color="auto"/>
            <w:bottom w:val="none" w:sz="0" w:space="0" w:color="auto"/>
            <w:right w:val="none" w:sz="0" w:space="0" w:color="auto"/>
          </w:divBdr>
        </w:div>
        <w:div w:id="276832641">
          <w:marLeft w:val="0"/>
          <w:marRight w:val="0"/>
          <w:marTop w:val="0"/>
          <w:marBottom w:val="0"/>
          <w:divBdr>
            <w:top w:val="none" w:sz="0" w:space="0" w:color="auto"/>
            <w:left w:val="none" w:sz="0" w:space="0" w:color="auto"/>
            <w:bottom w:val="none" w:sz="0" w:space="0" w:color="auto"/>
            <w:right w:val="none" w:sz="0" w:space="0" w:color="auto"/>
          </w:divBdr>
        </w:div>
        <w:div w:id="1648509662">
          <w:marLeft w:val="0"/>
          <w:marRight w:val="0"/>
          <w:marTop w:val="0"/>
          <w:marBottom w:val="0"/>
          <w:divBdr>
            <w:top w:val="none" w:sz="0" w:space="0" w:color="auto"/>
            <w:left w:val="none" w:sz="0" w:space="0" w:color="auto"/>
            <w:bottom w:val="none" w:sz="0" w:space="0" w:color="auto"/>
            <w:right w:val="none" w:sz="0" w:space="0" w:color="auto"/>
          </w:divBdr>
        </w:div>
        <w:div w:id="1823813688">
          <w:marLeft w:val="0"/>
          <w:marRight w:val="0"/>
          <w:marTop w:val="0"/>
          <w:marBottom w:val="0"/>
          <w:divBdr>
            <w:top w:val="none" w:sz="0" w:space="0" w:color="auto"/>
            <w:left w:val="none" w:sz="0" w:space="0" w:color="auto"/>
            <w:bottom w:val="none" w:sz="0" w:space="0" w:color="auto"/>
            <w:right w:val="none" w:sz="0" w:space="0" w:color="auto"/>
          </w:divBdr>
        </w:div>
        <w:div w:id="2085443216">
          <w:marLeft w:val="0"/>
          <w:marRight w:val="0"/>
          <w:marTop w:val="0"/>
          <w:marBottom w:val="0"/>
          <w:divBdr>
            <w:top w:val="none" w:sz="0" w:space="0" w:color="auto"/>
            <w:left w:val="none" w:sz="0" w:space="0" w:color="auto"/>
            <w:bottom w:val="none" w:sz="0" w:space="0" w:color="auto"/>
            <w:right w:val="none" w:sz="0" w:space="0" w:color="auto"/>
          </w:divBdr>
        </w:div>
        <w:div w:id="1664507548">
          <w:marLeft w:val="0"/>
          <w:marRight w:val="0"/>
          <w:marTop w:val="0"/>
          <w:marBottom w:val="0"/>
          <w:divBdr>
            <w:top w:val="none" w:sz="0" w:space="0" w:color="auto"/>
            <w:left w:val="none" w:sz="0" w:space="0" w:color="auto"/>
            <w:bottom w:val="none" w:sz="0" w:space="0" w:color="auto"/>
            <w:right w:val="none" w:sz="0" w:space="0" w:color="auto"/>
          </w:divBdr>
        </w:div>
        <w:div w:id="625504165">
          <w:marLeft w:val="0"/>
          <w:marRight w:val="0"/>
          <w:marTop w:val="0"/>
          <w:marBottom w:val="0"/>
          <w:divBdr>
            <w:top w:val="none" w:sz="0" w:space="0" w:color="auto"/>
            <w:left w:val="none" w:sz="0" w:space="0" w:color="auto"/>
            <w:bottom w:val="none" w:sz="0" w:space="0" w:color="auto"/>
            <w:right w:val="none" w:sz="0" w:space="0" w:color="auto"/>
          </w:divBdr>
        </w:div>
        <w:div w:id="1209338309">
          <w:marLeft w:val="0"/>
          <w:marRight w:val="0"/>
          <w:marTop w:val="0"/>
          <w:marBottom w:val="0"/>
          <w:divBdr>
            <w:top w:val="none" w:sz="0" w:space="0" w:color="auto"/>
            <w:left w:val="none" w:sz="0" w:space="0" w:color="auto"/>
            <w:bottom w:val="none" w:sz="0" w:space="0" w:color="auto"/>
            <w:right w:val="none" w:sz="0" w:space="0" w:color="auto"/>
          </w:divBdr>
        </w:div>
        <w:div w:id="1429932766">
          <w:marLeft w:val="0"/>
          <w:marRight w:val="0"/>
          <w:marTop w:val="0"/>
          <w:marBottom w:val="0"/>
          <w:divBdr>
            <w:top w:val="none" w:sz="0" w:space="0" w:color="auto"/>
            <w:left w:val="none" w:sz="0" w:space="0" w:color="auto"/>
            <w:bottom w:val="none" w:sz="0" w:space="0" w:color="auto"/>
            <w:right w:val="none" w:sz="0" w:space="0" w:color="auto"/>
          </w:divBdr>
        </w:div>
        <w:div w:id="1723213175">
          <w:marLeft w:val="0"/>
          <w:marRight w:val="0"/>
          <w:marTop w:val="0"/>
          <w:marBottom w:val="0"/>
          <w:divBdr>
            <w:top w:val="none" w:sz="0" w:space="0" w:color="auto"/>
            <w:left w:val="none" w:sz="0" w:space="0" w:color="auto"/>
            <w:bottom w:val="none" w:sz="0" w:space="0" w:color="auto"/>
            <w:right w:val="none" w:sz="0" w:space="0" w:color="auto"/>
          </w:divBdr>
        </w:div>
        <w:div w:id="1276013632">
          <w:marLeft w:val="0"/>
          <w:marRight w:val="0"/>
          <w:marTop w:val="0"/>
          <w:marBottom w:val="0"/>
          <w:divBdr>
            <w:top w:val="none" w:sz="0" w:space="0" w:color="auto"/>
            <w:left w:val="none" w:sz="0" w:space="0" w:color="auto"/>
            <w:bottom w:val="none" w:sz="0" w:space="0" w:color="auto"/>
            <w:right w:val="none" w:sz="0" w:space="0" w:color="auto"/>
          </w:divBdr>
        </w:div>
      </w:divsChild>
    </w:div>
    <w:div w:id="114950597">
      <w:bodyDiv w:val="1"/>
      <w:marLeft w:val="0"/>
      <w:marRight w:val="0"/>
      <w:marTop w:val="0"/>
      <w:marBottom w:val="0"/>
      <w:divBdr>
        <w:top w:val="none" w:sz="0" w:space="0" w:color="auto"/>
        <w:left w:val="none" w:sz="0" w:space="0" w:color="auto"/>
        <w:bottom w:val="none" w:sz="0" w:space="0" w:color="auto"/>
        <w:right w:val="none" w:sz="0" w:space="0" w:color="auto"/>
      </w:divBdr>
    </w:div>
    <w:div w:id="133301751">
      <w:bodyDiv w:val="1"/>
      <w:marLeft w:val="0"/>
      <w:marRight w:val="0"/>
      <w:marTop w:val="0"/>
      <w:marBottom w:val="0"/>
      <w:divBdr>
        <w:top w:val="none" w:sz="0" w:space="0" w:color="auto"/>
        <w:left w:val="none" w:sz="0" w:space="0" w:color="auto"/>
        <w:bottom w:val="none" w:sz="0" w:space="0" w:color="auto"/>
        <w:right w:val="none" w:sz="0" w:space="0" w:color="auto"/>
      </w:divBdr>
    </w:div>
    <w:div w:id="201982636">
      <w:bodyDiv w:val="1"/>
      <w:marLeft w:val="0"/>
      <w:marRight w:val="0"/>
      <w:marTop w:val="0"/>
      <w:marBottom w:val="0"/>
      <w:divBdr>
        <w:top w:val="none" w:sz="0" w:space="0" w:color="auto"/>
        <w:left w:val="none" w:sz="0" w:space="0" w:color="auto"/>
        <w:bottom w:val="none" w:sz="0" w:space="0" w:color="auto"/>
        <w:right w:val="none" w:sz="0" w:space="0" w:color="auto"/>
      </w:divBdr>
    </w:div>
    <w:div w:id="244850962">
      <w:bodyDiv w:val="1"/>
      <w:marLeft w:val="0"/>
      <w:marRight w:val="0"/>
      <w:marTop w:val="0"/>
      <w:marBottom w:val="0"/>
      <w:divBdr>
        <w:top w:val="none" w:sz="0" w:space="0" w:color="auto"/>
        <w:left w:val="none" w:sz="0" w:space="0" w:color="auto"/>
        <w:bottom w:val="none" w:sz="0" w:space="0" w:color="auto"/>
        <w:right w:val="none" w:sz="0" w:space="0" w:color="auto"/>
      </w:divBdr>
    </w:div>
    <w:div w:id="256251273">
      <w:bodyDiv w:val="1"/>
      <w:marLeft w:val="0"/>
      <w:marRight w:val="0"/>
      <w:marTop w:val="0"/>
      <w:marBottom w:val="0"/>
      <w:divBdr>
        <w:top w:val="none" w:sz="0" w:space="0" w:color="auto"/>
        <w:left w:val="none" w:sz="0" w:space="0" w:color="auto"/>
        <w:bottom w:val="none" w:sz="0" w:space="0" w:color="auto"/>
        <w:right w:val="none" w:sz="0" w:space="0" w:color="auto"/>
      </w:divBdr>
    </w:div>
    <w:div w:id="271402408">
      <w:bodyDiv w:val="1"/>
      <w:marLeft w:val="0"/>
      <w:marRight w:val="0"/>
      <w:marTop w:val="0"/>
      <w:marBottom w:val="0"/>
      <w:divBdr>
        <w:top w:val="none" w:sz="0" w:space="0" w:color="auto"/>
        <w:left w:val="none" w:sz="0" w:space="0" w:color="auto"/>
        <w:bottom w:val="none" w:sz="0" w:space="0" w:color="auto"/>
        <w:right w:val="none" w:sz="0" w:space="0" w:color="auto"/>
      </w:divBdr>
    </w:div>
    <w:div w:id="420495646">
      <w:bodyDiv w:val="1"/>
      <w:marLeft w:val="0"/>
      <w:marRight w:val="0"/>
      <w:marTop w:val="0"/>
      <w:marBottom w:val="0"/>
      <w:divBdr>
        <w:top w:val="none" w:sz="0" w:space="0" w:color="auto"/>
        <w:left w:val="none" w:sz="0" w:space="0" w:color="auto"/>
        <w:bottom w:val="none" w:sz="0" w:space="0" w:color="auto"/>
        <w:right w:val="none" w:sz="0" w:space="0" w:color="auto"/>
      </w:divBdr>
    </w:div>
    <w:div w:id="473372266">
      <w:bodyDiv w:val="1"/>
      <w:marLeft w:val="0"/>
      <w:marRight w:val="0"/>
      <w:marTop w:val="0"/>
      <w:marBottom w:val="0"/>
      <w:divBdr>
        <w:top w:val="none" w:sz="0" w:space="0" w:color="auto"/>
        <w:left w:val="none" w:sz="0" w:space="0" w:color="auto"/>
        <w:bottom w:val="none" w:sz="0" w:space="0" w:color="auto"/>
        <w:right w:val="none" w:sz="0" w:space="0" w:color="auto"/>
      </w:divBdr>
      <w:divsChild>
        <w:div w:id="1975138862">
          <w:marLeft w:val="0"/>
          <w:marRight w:val="0"/>
          <w:marTop w:val="0"/>
          <w:marBottom w:val="0"/>
          <w:divBdr>
            <w:top w:val="none" w:sz="0" w:space="0" w:color="auto"/>
            <w:left w:val="none" w:sz="0" w:space="0" w:color="auto"/>
            <w:bottom w:val="none" w:sz="0" w:space="0" w:color="auto"/>
            <w:right w:val="none" w:sz="0" w:space="0" w:color="auto"/>
          </w:divBdr>
          <w:divsChild>
            <w:div w:id="1005012623">
              <w:marLeft w:val="0"/>
              <w:marRight w:val="0"/>
              <w:marTop w:val="0"/>
              <w:marBottom w:val="0"/>
              <w:divBdr>
                <w:top w:val="none" w:sz="0" w:space="0" w:color="auto"/>
                <w:left w:val="none" w:sz="0" w:space="0" w:color="auto"/>
                <w:bottom w:val="none" w:sz="0" w:space="0" w:color="auto"/>
                <w:right w:val="none" w:sz="0" w:space="0" w:color="auto"/>
              </w:divBdr>
            </w:div>
            <w:div w:id="167602627">
              <w:marLeft w:val="0"/>
              <w:marRight w:val="0"/>
              <w:marTop w:val="0"/>
              <w:marBottom w:val="0"/>
              <w:divBdr>
                <w:top w:val="none" w:sz="0" w:space="0" w:color="auto"/>
                <w:left w:val="none" w:sz="0" w:space="0" w:color="auto"/>
                <w:bottom w:val="none" w:sz="0" w:space="0" w:color="auto"/>
                <w:right w:val="none" w:sz="0" w:space="0" w:color="auto"/>
              </w:divBdr>
            </w:div>
            <w:div w:id="278993065">
              <w:marLeft w:val="0"/>
              <w:marRight w:val="0"/>
              <w:marTop w:val="0"/>
              <w:marBottom w:val="0"/>
              <w:divBdr>
                <w:top w:val="none" w:sz="0" w:space="0" w:color="auto"/>
                <w:left w:val="none" w:sz="0" w:space="0" w:color="auto"/>
                <w:bottom w:val="none" w:sz="0" w:space="0" w:color="auto"/>
                <w:right w:val="none" w:sz="0" w:space="0" w:color="auto"/>
              </w:divBdr>
            </w:div>
            <w:div w:id="258223402">
              <w:marLeft w:val="0"/>
              <w:marRight w:val="0"/>
              <w:marTop w:val="0"/>
              <w:marBottom w:val="0"/>
              <w:divBdr>
                <w:top w:val="none" w:sz="0" w:space="0" w:color="auto"/>
                <w:left w:val="none" w:sz="0" w:space="0" w:color="auto"/>
                <w:bottom w:val="none" w:sz="0" w:space="0" w:color="auto"/>
                <w:right w:val="none" w:sz="0" w:space="0" w:color="auto"/>
              </w:divBdr>
            </w:div>
            <w:div w:id="979915998">
              <w:marLeft w:val="0"/>
              <w:marRight w:val="0"/>
              <w:marTop w:val="0"/>
              <w:marBottom w:val="0"/>
              <w:divBdr>
                <w:top w:val="none" w:sz="0" w:space="0" w:color="auto"/>
                <w:left w:val="none" w:sz="0" w:space="0" w:color="auto"/>
                <w:bottom w:val="none" w:sz="0" w:space="0" w:color="auto"/>
                <w:right w:val="none" w:sz="0" w:space="0" w:color="auto"/>
              </w:divBdr>
            </w:div>
            <w:div w:id="1463815099">
              <w:marLeft w:val="0"/>
              <w:marRight w:val="0"/>
              <w:marTop w:val="0"/>
              <w:marBottom w:val="0"/>
              <w:divBdr>
                <w:top w:val="none" w:sz="0" w:space="0" w:color="auto"/>
                <w:left w:val="none" w:sz="0" w:space="0" w:color="auto"/>
                <w:bottom w:val="none" w:sz="0" w:space="0" w:color="auto"/>
                <w:right w:val="none" w:sz="0" w:space="0" w:color="auto"/>
              </w:divBdr>
            </w:div>
            <w:div w:id="569539165">
              <w:marLeft w:val="0"/>
              <w:marRight w:val="0"/>
              <w:marTop w:val="0"/>
              <w:marBottom w:val="0"/>
              <w:divBdr>
                <w:top w:val="none" w:sz="0" w:space="0" w:color="auto"/>
                <w:left w:val="none" w:sz="0" w:space="0" w:color="auto"/>
                <w:bottom w:val="none" w:sz="0" w:space="0" w:color="auto"/>
                <w:right w:val="none" w:sz="0" w:space="0" w:color="auto"/>
              </w:divBdr>
            </w:div>
            <w:div w:id="1586770063">
              <w:marLeft w:val="0"/>
              <w:marRight w:val="0"/>
              <w:marTop w:val="0"/>
              <w:marBottom w:val="0"/>
              <w:divBdr>
                <w:top w:val="none" w:sz="0" w:space="0" w:color="auto"/>
                <w:left w:val="none" w:sz="0" w:space="0" w:color="auto"/>
                <w:bottom w:val="none" w:sz="0" w:space="0" w:color="auto"/>
                <w:right w:val="none" w:sz="0" w:space="0" w:color="auto"/>
              </w:divBdr>
            </w:div>
            <w:div w:id="1940798531">
              <w:marLeft w:val="0"/>
              <w:marRight w:val="0"/>
              <w:marTop w:val="0"/>
              <w:marBottom w:val="0"/>
              <w:divBdr>
                <w:top w:val="none" w:sz="0" w:space="0" w:color="auto"/>
                <w:left w:val="none" w:sz="0" w:space="0" w:color="auto"/>
                <w:bottom w:val="none" w:sz="0" w:space="0" w:color="auto"/>
                <w:right w:val="none" w:sz="0" w:space="0" w:color="auto"/>
              </w:divBdr>
            </w:div>
            <w:div w:id="2126999440">
              <w:marLeft w:val="0"/>
              <w:marRight w:val="0"/>
              <w:marTop w:val="0"/>
              <w:marBottom w:val="0"/>
              <w:divBdr>
                <w:top w:val="none" w:sz="0" w:space="0" w:color="auto"/>
                <w:left w:val="none" w:sz="0" w:space="0" w:color="auto"/>
                <w:bottom w:val="none" w:sz="0" w:space="0" w:color="auto"/>
                <w:right w:val="none" w:sz="0" w:space="0" w:color="auto"/>
              </w:divBdr>
            </w:div>
            <w:div w:id="469251677">
              <w:marLeft w:val="0"/>
              <w:marRight w:val="0"/>
              <w:marTop w:val="0"/>
              <w:marBottom w:val="0"/>
              <w:divBdr>
                <w:top w:val="none" w:sz="0" w:space="0" w:color="auto"/>
                <w:left w:val="none" w:sz="0" w:space="0" w:color="auto"/>
                <w:bottom w:val="none" w:sz="0" w:space="0" w:color="auto"/>
                <w:right w:val="none" w:sz="0" w:space="0" w:color="auto"/>
              </w:divBdr>
            </w:div>
            <w:div w:id="475531395">
              <w:marLeft w:val="0"/>
              <w:marRight w:val="0"/>
              <w:marTop w:val="0"/>
              <w:marBottom w:val="0"/>
              <w:divBdr>
                <w:top w:val="none" w:sz="0" w:space="0" w:color="auto"/>
                <w:left w:val="none" w:sz="0" w:space="0" w:color="auto"/>
                <w:bottom w:val="none" w:sz="0" w:space="0" w:color="auto"/>
                <w:right w:val="none" w:sz="0" w:space="0" w:color="auto"/>
              </w:divBdr>
            </w:div>
            <w:div w:id="89549979">
              <w:marLeft w:val="0"/>
              <w:marRight w:val="0"/>
              <w:marTop w:val="0"/>
              <w:marBottom w:val="0"/>
              <w:divBdr>
                <w:top w:val="none" w:sz="0" w:space="0" w:color="auto"/>
                <w:left w:val="none" w:sz="0" w:space="0" w:color="auto"/>
                <w:bottom w:val="none" w:sz="0" w:space="0" w:color="auto"/>
                <w:right w:val="none" w:sz="0" w:space="0" w:color="auto"/>
              </w:divBdr>
            </w:div>
            <w:div w:id="803158652">
              <w:marLeft w:val="0"/>
              <w:marRight w:val="0"/>
              <w:marTop w:val="0"/>
              <w:marBottom w:val="0"/>
              <w:divBdr>
                <w:top w:val="none" w:sz="0" w:space="0" w:color="auto"/>
                <w:left w:val="none" w:sz="0" w:space="0" w:color="auto"/>
                <w:bottom w:val="none" w:sz="0" w:space="0" w:color="auto"/>
                <w:right w:val="none" w:sz="0" w:space="0" w:color="auto"/>
              </w:divBdr>
            </w:div>
            <w:div w:id="777721360">
              <w:marLeft w:val="0"/>
              <w:marRight w:val="0"/>
              <w:marTop w:val="0"/>
              <w:marBottom w:val="0"/>
              <w:divBdr>
                <w:top w:val="none" w:sz="0" w:space="0" w:color="auto"/>
                <w:left w:val="none" w:sz="0" w:space="0" w:color="auto"/>
                <w:bottom w:val="none" w:sz="0" w:space="0" w:color="auto"/>
                <w:right w:val="none" w:sz="0" w:space="0" w:color="auto"/>
              </w:divBdr>
            </w:div>
            <w:div w:id="2057966812">
              <w:marLeft w:val="0"/>
              <w:marRight w:val="0"/>
              <w:marTop w:val="0"/>
              <w:marBottom w:val="0"/>
              <w:divBdr>
                <w:top w:val="none" w:sz="0" w:space="0" w:color="auto"/>
                <w:left w:val="none" w:sz="0" w:space="0" w:color="auto"/>
                <w:bottom w:val="none" w:sz="0" w:space="0" w:color="auto"/>
                <w:right w:val="none" w:sz="0" w:space="0" w:color="auto"/>
              </w:divBdr>
            </w:div>
            <w:div w:id="1047880052">
              <w:marLeft w:val="0"/>
              <w:marRight w:val="0"/>
              <w:marTop w:val="0"/>
              <w:marBottom w:val="0"/>
              <w:divBdr>
                <w:top w:val="none" w:sz="0" w:space="0" w:color="auto"/>
                <w:left w:val="none" w:sz="0" w:space="0" w:color="auto"/>
                <w:bottom w:val="none" w:sz="0" w:space="0" w:color="auto"/>
                <w:right w:val="none" w:sz="0" w:space="0" w:color="auto"/>
              </w:divBdr>
            </w:div>
            <w:div w:id="1262302951">
              <w:marLeft w:val="0"/>
              <w:marRight w:val="0"/>
              <w:marTop w:val="0"/>
              <w:marBottom w:val="0"/>
              <w:divBdr>
                <w:top w:val="none" w:sz="0" w:space="0" w:color="auto"/>
                <w:left w:val="none" w:sz="0" w:space="0" w:color="auto"/>
                <w:bottom w:val="none" w:sz="0" w:space="0" w:color="auto"/>
                <w:right w:val="none" w:sz="0" w:space="0" w:color="auto"/>
              </w:divBdr>
            </w:div>
            <w:div w:id="1181510794">
              <w:marLeft w:val="0"/>
              <w:marRight w:val="0"/>
              <w:marTop w:val="0"/>
              <w:marBottom w:val="0"/>
              <w:divBdr>
                <w:top w:val="none" w:sz="0" w:space="0" w:color="auto"/>
                <w:left w:val="none" w:sz="0" w:space="0" w:color="auto"/>
                <w:bottom w:val="none" w:sz="0" w:space="0" w:color="auto"/>
                <w:right w:val="none" w:sz="0" w:space="0" w:color="auto"/>
              </w:divBdr>
            </w:div>
            <w:div w:id="137193055">
              <w:marLeft w:val="0"/>
              <w:marRight w:val="0"/>
              <w:marTop w:val="0"/>
              <w:marBottom w:val="0"/>
              <w:divBdr>
                <w:top w:val="none" w:sz="0" w:space="0" w:color="auto"/>
                <w:left w:val="none" w:sz="0" w:space="0" w:color="auto"/>
                <w:bottom w:val="none" w:sz="0" w:space="0" w:color="auto"/>
                <w:right w:val="none" w:sz="0" w:space="0" w:color="auto"/>
              </w:divBdr>
            </w:div>
            <w:div w:id="1760061251">
              <w:marLeft w:val="0"/>
              <w:marRight w:val="0"/>
              <w:marTop w:val="0"/>
              <w:marBottom w:val="0"/>
              <w:divBdr>
                <w:top w:val="none" w:sz="0" w:space="0" w:color="auto"/>
                <w:left w:val="none" w:sz="0" w:space="0" w:color="auto"/>
                <w:bottom w:val="none" w:sz="0" w:space="0" w:color="auto"/>
                <w:right w:val="none" w:sz="0" w:space="0" w:color="auto"/>
              </w:divBdr>
            </w:div>
            <w:div w:id="699470646">
              <w:marLeft w:val="0"/>
              <w:marRight w:val="0"/>
              <w:marTop w:val="0"/>
              <w:marBottom w:val="0"/>
              <w:divBdr>
                <w:top w:val="none" w:sz="0" w:space="0" w:color="auto"/>
                <w:left w:val="none" w:sz="0" w:space="0" w:color="auto"/>
                <w:bottom w:val="none" w:sz="0" w:space="0" w:color="auto"/>
                <w:right w:val="none" w:sz="0" w:space="0" w:color="auto"/>
              </w:divBdr>
            </w:div>
            <w:div w:id="358287501">
              <w:marLeft w:val="0"/>
              <w:marRight w:val="0"/>
              <w:marTop w:val="0"/>
              <w:marBottom w:val="0"/>
              <w:divBdr>
                <w:top w:val="none" w:sz="0" w:space="0" w:color="auto"/>
                <w:left w:val="none" w:sz="0" w:space="0" w:color="auto"/>
                <w:bottom w:val="none" w:sz="0" w:space="0" w:color="auto"/>
                <w:right w:val="none" w:sz="0" w:space="0" w:color="auto"/>
              </w:divBdr>
            </w:div>
            <w:div w:id="43716870">
              <w:marLeft w:val="0"/>
              <w:marRight w:val="0"/>
              <w:marTop w:val="0"/>
              <w:marBottom w:val="0"/>
              <w:divBdr>
                <w:top w:val="none" w:sz="0" w:space="0" w:color="auto"/>
                <w:left w:val="none" w:sz="0" w:space="0" w:color="auto"/>
                <w:bottom w:val="none" w:sz="0" w:space="0" w:color="auto"/>
                <w:right w:val="none" w:sz="0" w:space="0" w:color="auto"/>
              </w:divBdr>
            </w:div>
            <w:div w:id="464547173">
              <w:marLeft w:val="0"/>
              <w:marRight w:val="0"/>
              <w:marTop w:val="0"/>
              <w:marBottom w:val="0"/>
              <w:divBdr>
                <w:top w:val="none" w:sz="0" w:space="0" w:color="auto"/>
                <w:left w:val="none" w:sz="0" w:space="0" w:color="auto"/>
                <w:bottom w:val="none" w:sz="0" w:space="0" w:color="auto"/>
                <w:right w:val="none" w:sz="0" w:space="0" w:color="auto"/>
              </w:divBdr>
            </w:div>
            <w:div w:id="1960136538">
              <w:marLeft w:val="0"/>
              <w:marRight w:val="0"/>
              <w:marTop w:val="0"/>
              <w:marBottom w:val="0"/>
              <w:divBdr>
                <w:top w:val="none" w:sz="0" w:space="0" w:color="auto"/>
                <w:left w:val="none" w:sz="0" w:space="0" w:color="auto"/>
                <w:bottom w:val="none" w:sz="0" w:space="0" w:color="auto"/>
                <w:right w:val="none" w:sz="0" w:space="0" w:color="auto"/>
              </w:divBdr>
            </w:div>
            <w:div w:id="1163937881">
              <w:marLeft w:val="0"/>
              <w:marRight w:val="0"/>
              <w:marTop w:val="0"/>
              <w:marBottom w:val="0"/>
              <w:divBdr>
                <w:top w:val="none" w:sz="0" w:space="0" w:color="auto"/>
                <w:left w:val="none" w:sz="0" w:space="0" w:color="auto"/>
                <w:bottom w:val="none" w:sz="0" w:space="0" w:color="auto"/>
                <w:right w:val="none" w:sz="0" w:space="0" w:color="auto"/>
              </w:divBdr>
            </w:div>
            <w:div w:id="762410118">
              <w:marLeft w:val="0"/>
              <w:marRight w:val="0"/>
              <w:marTop w:val="0"/>
              <w:marBottom w:val="0"/>
              <w:divBdr>
                <w:top w:val="none" w:sz="0" w:space="0" w:color="auto"/>
                <w:left w:val="none" w:sz="0" w:space="0" w:color="auto"/>
                <w:bottom w:val="none" w:sz="0" w:space="0" w:color="auto"/>
                <w:right w:val="none" w:sz="0" w:space="0" w:color="auto"/>
              </w:divBdr>
            </w:div>
            <w:div w:id="1947233177">
              <w:marLeft w:val="0"/>
              <w:marRight w:val="0"/>
              <w:marTop w:val="0"/>
              <w:marBottom w:val="0"/>
              <w:divBdr>
                <w:top w:val="none" w:sz="0" w:space="0" w:color="auto"/>
                <w:left w:val="none" w:sz="0" w:space="0" w:color="auto"/>
                <w:bottom w:val="none" w:sz="0" w:space="0" w:color="auto"/>
                <w:right w:val="none" w:sz="0" w:space="0" w:color="auto"/>
              </w:divBdr>
            </w:div>
            <w:div w:id="1814251792">
              <w:marLeft w:val="0"/>
              <w:marRight w:val="0"/>
              <w:marTop w:val="0"/>
              <w:marBottom w:val="0"/>
              <w:divBdr>
                <w:top w:val="none" w:sz="0" w:space="0" w:color="auto"/>
                <w:left w:val="none" w:sz="0" w:space="0" w:color="auto"/>
                <w:bottom w:val="none" w:sz="0" w:space="0" w:color="auto"/>
                <w:right w:val="none" w:sz="0" w:space="0" w:color="auto"/>
              </w:divBdr>
            </w:div>
            <w:div w:id="872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17179">
      <w:bodyDiv w:val="1"/>
      <w:marLeft w:val="0"/>
      <w:marRight w:val="0"/>
      <w:marTop w:val="0"/>
      <w:marBottom w:val="0"/>
      <w:divBdr>
        <w:top w:val="none" w:sz="0" w:space="0" w:color="auto"/>
        <w:left w:val="none" w:sz="0" w:space="0" w:color="auto"/>
        <w:bottom w:val="none" w:sz="0" w:space="0" w:color="auto"/>
        <w:right w:val="none" w:sz="0" w:space="0" w:color="auto"/>
      </w:divBdr>
    </w:div>
    <w:div w:id="478881221">
      <w:bodyDiv w:val="1"/>
      <w:marLeft w:val="0"/>
      <w:marRight w:val="0"/>
      <w:marTop w:val="0"/>
      <w:marBottom w:val="0"/>
      <w:divBdr>
        <w:top w:val="none" w:sz="0" w:space="0" w:color="auto"/>
        <w:left w:val="none" w:sz="0" w:space="0" w:color="auto"/>
        <w:bottom w:val="none" w:sz="0" w:space="0" w:color="auto"/>
        <w:right w:val="none" w:sz="0" w:space="0" w:color="auto"/>
      </w:divBdr>
    </w:div>
    <w:div w:id="481041557">
      <w:bodyDiv w:val="1"/>
      <w:marLeft w:val="0"/>
      <w:marRight w:val="0"/>
      <w:marTop w:val="0"/>
      <w:marBottom w:val="0"/>
      <w:divBdr>
        <w:top w:val="none" w:sz="0" w:space="0" w:color="auto"/>
        <w:left w:val="none" w:sz="0" w:space="0" w:color="auto"/>
        <w:bottom w:val="none" w:sz="0" w:space="0" w:color="auto"/>
        <w:right w:val="none" w:sz="0" w:space="0" w:color="auto"/>
      </w:divBdr>
    </w:div>
    <w:div w:id="648249188">
      <w:bodyDiv w:val="1"/>
      <w:marLeft w:val="0"/>
      <w:marRight w:val="0"/>
      <w:marTop w:val="0"/>
      <w:marBottom w:val="0"/>
      <w:divBdr>
        <w:top w:val="none" w:sz="0" w:space="0" w:color="auto"/>
        <w:left w:val="none" w:sz="0" w:space="0" w:color="auto"/>
        <w:bottom w:val="none" w:sz="0" w:space="0" w:color="auto"/>
        <w:right w:val="none" w:sz="0" w:space="0" w:color="auto"/>
      </w:divBdr>
    </w:div>
    <w:div w:id="649796972">
      <w:bodyDiv w:val="1"/>
      <w:marLeft w:val="0"/>
      <w:marRight w:val="0"/>
      <w:marTop w:val="0"/>
      <w:marBottom w:val="0"/>
      <w:divBdr>
        <w:top w:val="none" w:sz="0" w:space="0" w:color="auto"/>
        <w:left w:val="none" w:sz="0" w:space="0" w:color="auto"/>
        <w:bottom w:val="none" w:sz="0" w:space="0" w:color="auto"/>
        <w:right w:val="none" w:sz="0" w:space="0" w:color="auto"/>
      </w:divBdr>
      <w:divsChild>
        <w:div w:id="1637174835">
          <w:marLeft w:val="0"/>
          <w:marRight w:val="0"/>
          <w:marTop w:val="0"/>
          <w:marBottom w:val="0"/>
          <w:divBdr>
            <w:top w:val="none" w:sz="0" w:space="0" w:color="auto"/>
            <w:left w:val="none" w:sz="0" w:space="0" w:color="auto"/>
            <w:bottom w:val="none" w:sz="0" w:space="0" w:color="auto"/>
            <w:right w:val="none" w:sz="0" w:space="0" w:color="auto"/>
          </w:divBdr>
        </w:div>
        <w:div w:id="477692003">
          <w:marLeft w:val="0"/>
          <w:marRight w:val="0"/>
          <w:marTop w:val="0"/>
          <w:marBottom w:val="0"/>
          <w:divBdr>
            <w:top w:val="none" w:sz="0" w:space="0" w:color="auto"/>
            <w:left w:val="none" w:sz="0" w:space="0" w:color="auto"/>
            <w:bottom w:val="none" w:sz="0" w:space="0" w:color="auto"/>
            <w:right w:val="none" w:sz="0" w:space="0" w:color="auto"/>
          </w:divBdr>
        </w:div>
        <w:div w:id="1770083074">
          <w:marLeft w:val="0"/>
          <w:marRight w:val="0"/>
          <w:marTop w:val="0"/>
          <w:marBottom w:val="0"/>
          <w:divBdr>
            <w:top w:val="none" w:sz="0" w:space="0" w:color="auto"/>
            <w:left w:val="none" w:sz="0" w:space="0" w:color="auto"/>
            <w:bottom w:val="none" w:sz="0" w:space="0" w:color="auto"/>
            <w:right w:val="none" w:sz="0" w:space="0" w:color="auto"/>
          </w:divBdr>
        </w:div>
        <w:div w:id="430198158">
          <w:marLeft w:val="0"/>
          <w:marRight w:val="0"/>
          <w:marTop w:val="0"/>
          <w:marBottom w:val="0"/>
          <w:divBdr>
            <w:top w:val="none" w:sz="0" w:space="0" w:color="auto"/>
            <w:left w:val="none" w:sz="0" w:space="0" w:color="auto"/>
            <w:bottom w:val="none" w:sz="0" w:space="0" w:color="auto"/>
            <w:right w:val="none" w:sz="0" w:space="0" w:color="auto"/>
          </w:divBdr>
        </w:div>
        <w:div w:id="1729305626">
          <w:marLeft w:val="0"/>
          <w:marRight w:val="0"/>
          <w:marTop w:val="0"/>
          <w:marBottom w:val="0"/>
          <w:divBdr>
            <w:top w:val="none" w:sz="0" w:space="0" w:color="auto"/>
            <w:left w:val="none" w:sz="0" w:space="0" w:color="auto"/>
            <w:bottom w:val="none" w:sz="0" w:space="0" w:color="auto"/>
            <w:right w:val="none" w:sz="0" w:space="0" w:color="auto"/>
          </w:divBdr>
        </w:div>
        <w:div w:id="760952695">
          <w:marLeft w:val="0"/>
          <w:marRight w:val="0"/>
          <w:marTop w:val="0"/>
          <w:marBottom w:val="0"/>
          <w:divBdr>
            <w:top w:val="none" w:sz="0" w:space="0" w:color="auto"/>
            <w:left w:val="none" w:sz="0" w:space="0" w:color="auto"/>
            <w:bottom w:val="none" w:sz="0" w:space="0" w:color="auto"/>
            <w:right w:val="none" w:sz="0" w:space="0" w:color="auto"/>
          </w:divBdr>
        </w:div>
        <w:div w:id="1840467317">
          <w:marLeft w:val="0"/>
          <w:marRight w:val="0"/>
          <w:marTop w:val="0"/>
          <w:marBottom w:val="0"/>
          <w:divBdr>
            <w:top w:val="none" w:sz="0" w:space="0" w:color="auto"/>
            <w:left w:val="none" w:sz="0" w:space="0" w:color="auto"/>
            <w:bottom w:val="none" w:sz="0" w:space="0" w:color="auto"/>
            <w:right w:val="none" w:sz="0" w:space="0" w:color="auto"/>
          </w:divBdr>
        </w:div>
        <w:div w:id="755981873">
          <w:marLeft w:val="0"/>
          <w:marRight w:val="0"/>
          <w:marTop w:val="0"/>
          <w:marBottom w:val="0"/>
          <w:divBdr>
            <w:top w:val="none" w:sz="0" w:space="0" w:color="auto"/>
            <w:left w:val="none" w:sz="0" w:space="0" w:color="auto"/>
            <w:bottom w:val="none" w:sz="0" w:space="0" w:color="auto"/>
            <w:right w:val="none" w:sz="0" w:space="0" w:color="auto"/>
          </w:divBdr>
        </w:div>
      </w:divsChild>
    </w:div>
    <w:div w:id="672806122">
      <w:bodyDiv w:val="1"/>
      <w:marLeft w:val="0"/>
      <w:marRight w:val="0"/>
      <w:marTop w:val="0"/>
      <w:marBottom w:val="0"/>
      <w:divBdr>
        <w:top w:val="none" w:sz="0" w:space="0" w:color="auto"/>
        <w:left w:val="none" w:sz="0" w:space="0" w:color="auto"/>
        <w:bottom w:val="none" w:sz="0" w:space="0" w:color="auto"/>
        <w:right w:val="none" w:sz="0" w:space="0" w:color="auto"/>
      </w:divBdr>
      <w:divsChild>
        <w:div w:id="1364550597">
          <w:marLeft w:val="0"/>
          <w:marRight w:val="0"/>
          <w:marTop w:val="0"/>
          <w:marBottom w:val="0"/>
          <w:divBdr>
            <w:top w:val="none" w:sz="0" w:space="0" w:color="auto"/>
            <w:left w:val="none" w:sz="0" w:space="0" w:color="auto"/>
            <w:bottom w:val="none" w:sz="0" w:space="0" w:color="auto"/>
            <w:right w:val="none" w:sz="0" w:space="0" w:color="auto"/>
          </w:divBdr>
        </w:div>
        <w:div w:id="691538261">
          <w:marLeft w:val="0"/>
          <w:marRight w:val="0"/>
          <w:marTop w:val="0"/>
          <w:marBottom w:val="0"/>
          <w:divBdr>
            <w:top w:val="none" w:sz="0" w:space="0" w:color="auto"/>
            <w:left w:val="none" w:sz="0" w:space="0" w:color="auto"/>
            <w:bottom w:val="none" w:sz="0" w:space="0" w:color="auto"/>
            <w:right w:val="none" w:sz="0" w:space="0" w:color="auto"/>
          </w:divBdr>
        </w:div>
        <w:div w:id="238296584">
          <w:marLeft w:val="0"/>
          <w:marRight w:val="0"/>
          <w:marTop w:val="0"/>
          <w:marBottom w:val="0"/>
          <w:divBdr>
            <w:top w:val="none" w:sz="0" w:space="0" w:color="auto"/>
            <w:left w:val="none" w:sz="0" w:space="0" w:color="auto"/>
            <w:bottom w:val="none" w:sz="0" w:space="0" w:color="auto"/>
            <w:right w:val="none" w:sz="0" w:space="0" w:color="auto"/>
          </w:divBdr>
        </w:div>
        <w:div w:id="763259309">
          <w:marLeft w:val="0"/>
          <w:marRight w:val="0"/>
          <w:marTop w:val="0"/>
          <w:marBottom w:val="0"/>
          <w:divBdr>
            <w:top w:val="none" w:sz="0" w:space="0" w:color="auto"/>
            <w:left w:val="none" w:sz="0" w:space="0" w:color="auto"/>
            <w:bottom w:val="none" w:sz="0" w:space="0" w:color="auto"/>
            <w:right w:val="none" w:sz="0" w:space="0" w:color="auto"/>
          </w:divBdr>
        </w:div>
        <w:div w:id="1230727046">
          <w:marLeft w:val="0"/>
          <w:marRight w:val="0"/>
          <w:marTop w:val="0"/>
          <w:marBottom w:val="0"/>
          <w:divBdr>
            <w:top w:val="none" w:sz="0" w:space="0" w:color="auto"/>
            <w:left w:val="none" w:sz="0" w:space="0" w:color="auto"/>
            <w:bottom w:val="none" w:sz="0" w:space="0" w:color="auto"/>
            <w:right w:val="none" w:sz="0" w:space="0" w:color="auto"/>
          </w:divBdr>
        </w:div>
      </w:divsChild>
    </w:div>
    <w:div w:id="716900294">
      <w:bodyDiv w:val="1"/>
      <w:marLeft w:val="0"/>
      <w:marRight w:val="0"/>
      <w:marTop w:val="0"/>
      <w:marBottom w:val="0"/>
      <w:divBdr>
        <w:top w:val="none" w:sz="0" w:space="0" w:color="auto"/>
        <w:left w:val="none" w:sz="0" w:space="0" w:color="auto"/>
        <w:bottom w:val="none" w:sz="0" w:space="0" w:color="auto"/>
        <w:right w:val="none" w:sz="0" w:space="0" w:color="auto"/>
      </w:divBdr>
    </w:div>
    <w:div w:id="726606704">
      <w:bodyDiv w:val="1"/>
      <w:marLeft w:val="0"/>
      <w:marRight w:val="0"/>
      <w:marTop w:val="0"/>
      <w:marBottom w:val="0"/>
      <w:divBdr>
        <w:top w:val="none" w:sz="0" w:space="0" w:color="auto"/>
        <w:left w:val="none" w:sz="0" w:space="0" w:color="auto"/>
        <w:bottom w:val="none" w:sz="0" w:space="0" w:color="auto"/>
        <w:right w:val="none" w:sz="0" w:space="0" w:color="auto"/>
      </w:divBdr>
    </w:div>
    <w:div w:id="728840322">
      <w:bodyDiv w:val="1"/>
      <w:marLeft w:val="0"/>
      <w:marRight w:val="0"/>
      <w:marTop w:val="0"/>
      <w:marBottom w:val="0"/>
      <w:divBdr>
        <w:top w:val="none" w:sz="0" w:space="0" w:color="auto"/>
        <w:left w:val="none" w:sz="0" w:space="0" w:color="auto"/>
        <w:bottom w:val="none" w:sz="0" w:space="0" w:color="auto"/>
        <w:right w:val="none" w:sz="0" w:space="0" w:color="auto"/>
      </w:divBdr>
    </w:div>
    <w:div w:id="755904444">
      <w:bodyDiv w:val="1"/>
      <w:marLeft w:val="0"/>
      <w:marRight w:val="0"/>
      <w:marTop w:val="0"/>
      <w:marBottom w:val="0"/>
      <w:divBdr>
        <w:top w:val="none" w:sz="0" w:space="0" w:color="auto"/>
        <w:left w:val="none" w:sz="0" w:space="0" w:color="auto"/>
        <w:bottom w:val="none" w:sz="0" w:space="0" w:color="auto"/>
        <w:right w:val="none" w:sz="0" w:space="0" w:color="auto"/>
      </w:divBdr>
    </w:div>
    <w:div w:id="784664286">
      <w:bodyDiv w:val="1"/>
      <w:marLeft w:val="0"/>
      <w:marRight w:val="0"/>
      <w:marTop w:val="0"/>
      <w:marBottom w:val="0"/>
      <w:divBdr>
        <w:top w:val="none" w:sz="0" w:space="0" w:color="auto"/>
        <w:left w:val="none" w:sz="0" w:space="0" w:color="auto"/>
        <w:bottom w:val="none" w:sz="0" w:space="0" w:color="auto"/>
        <w:right w:val="none" w:sz="0" w:space="0" w:color="auto"/>
      </w:divBdr>
    </w:div>
    <w:div w:id="790053754">
      <w:bodyDiv w:val="1"/>
      <w:marLeft w:val="0"/>
      <w:marRight w:val="0"/>
      <w:marTop w:val="0"/>
      <w:marBottom w:val="0"/>
      <w:divBdr>
        <w:top w:val="none" w:sz="0" w:space="0" w:color="auto"/>
        <w:left w:val="none" w:sz="0" w:space="0" w:color="auto"/>
        <w:bottom w:val="none" w:sz="0" w:space="0" w:color="auto"/>
        <w:right w:val="none" w:sz="0" w:space="0" w:color="auto"/>
      </w:divBdr>
    </w:div>
    <w:div w:id="823623455">
      <w:bodyDiv w:val="1"/>
      <w:marLeft w:val="0"/>
      <w:marRight w:val="0"/>
      <w:marTop w:val="0"/>
      <w:marBottom w:val="0"/>
      <w:divBdr>
        <w:top w:val="none" w:sz="0" w:space="0" w:color="auto"/>
        <w:left w:val="none" w:sz="0" w:space="0" w:color="auto"/>
        <w:bottom w:val="none" w:sz="0" w:space="0" w:color="auto"/>
        <w:right w:val="none" w:sz="0" w:space="0" w:color="auto"/>
      </w:divBdr>
    </w:div>
    <w:div w:id="851260422">
      <w:bodyDiv w:val="1"/>
      <w:marLeft w:val="0"/>
      <w:marRight w:val="0"/>
      <w:marTop w:val="0"/>
      <w:marBottom w:val="0"/>
      <w:divBdr>
        <w:top w:val="none" w:sz="0" w:space="0" w:color="auto"/>
        <w:left w:val="none" w:sz="0" w:space="0" w:color="auto"/>
        <w:bottom w:val="none" w:sz="0" w:space="0" w:color="auto"/>
        <w:right w:val="none" w:sz="0" w:space="0" w:color="auto"/>
      </w:divBdr>
    </w:div>
    <w:div w:id="857816845">
      <w:bodyDiv w:val="1"/>
      <w:marLeft w:val="0"/>
      <w:marRight w:val="0"/>
      <w:marTop w:val="0"/>
      <w:marBottom w:val="0"/>
      <w:divBdr>
        <w:top w:val="none" w:sz="0" w:space="0" w:color="auto"/>
        <w:left w:val="none" w:sz="0" w:space="0" w:color="auto"/>
        <w:bottom w:val="none" w:sz="0" w:space="0" w:color="auto"/>
        <w:right w:val="none" w:sz="0" w:space="0" w:color="auto"/>
      </w:divBdr>
    </w:div>
    <w:div w:id="921371698">
      <w:bodyDiv w:val="1"/>
      <w:marLeft w:val="0"/>
      <w:marRight w:val="0"/>
      <w:marTop w:val="0"/>
      <w:marBottom w:val="0"/>
      <w:divBdr>
        <w:top w:val="none" w:sz="0" w:space="0" w:color="auto"/>
        <w:left w:val="none" w:sz="0" w:space="0" w:color="auto"/>
        <w:bottom w:val="none" w:sz="0" w:space="0" w:color="auto"/>
        <w:right w:val="none" w:sz="0" w:space="0" w:color="auto"/>
      </w:divBdr>
    </w:div>
    <w:div w:id="970667305">
      <w:bodyDiv w:val="1"/>
      <w:marLeft w:val="0"/>
      <w:marRight w:val="0"/>
      <w:marTop w:val="0"/>
      <w:marBottom w:val="0"/>
      <w:divBdr>
        <w:top w:val="none" w:sz="0" w:space="0" w:color="auto"/>
        <w:left w:val="none" w:sz="0" w:space="0" w:color="auto"/>
        <w:bottom w:val="none" w:sz="0" w:space="0" w:color="auto"/>
        <w:right w:val="none" w:sz="0" w:space="0" w:color="auto"/>
      </w:divBdr>
    </w:div>
    <w:div w:id="1057515842">
      <w:bodyDiv w:val="1"/>
      <w:marLeft w:val="0"/>
      <w:marRight w:val="0"/>
      <w:marTop w:val="0"/>
      <w:marBottom w:val="0"/>
      <w:divBdr>
        <w:top w:val="none" w:sz="0" w:space="0" w:color="auto"/>
        <w:left w:val="none" w:sz="0" w:space="0" w:color="auto"/>
        <w:bottom w:val="none" w:sz="0" w:space="0" w:color="auto"/>
        <w:right w:val="none" w:sz="0" w:space="0" w:color="auto"/>
      </w:divBdr>
    </w:div>
    <w:div w:id="1182624667">
      <w:bodyDiv w:val="1"/>
      <w:marLeft w:val="0"/>
      <w:marRight w:val="0"/>
      <w:marTop w:val="0"/>
      <w:marBottom w:val="0"/>
      <w:divBdr>
        <w:top w:val="none" w:sz="0" w:space="0" w:color="auto"/>
        <w:left w:val="none" w:sz="0" w:space="0" w:color="auto"/>
        <w:bottom w:val="none" w:sz="0" w:space="0" w:color="auto"/>
        <w:right w:val="none" w:sz="0" w:space="0" w:color="auto"/>
      </w:divBdr>
    </w:div>
    <w:div w:id="1189639745">
      <w:bodyDiv w:val="1"/>
      <w:marLeft w:val="0"/>
      <w:marRight w:val="0"/>
      <w:marTop w:val="0"/>
      <w:marBottom w:val="0"/>
      <w:divBdr>
        <w:top w:val="none" w:sz="0" w:space="0" w:color="auto"/>
        <w:left w:val="none" w:sz="0" w:space="0" w:color="auto"/>
        <w:bottom w:val="none" w:sz="0" w:space="0" w:color="auto"/>
        <w:right w:val="none" w:sz="0" w:space="0" w:color="auto"/>
      </w:divBdr>
    </w:div>
    <w:div w:id="1199899840">
      <w:bodyDiv w:val="1"/>
      <w:marLeft w:val="0"/>
      <w:marRight w:val="0"/>
      <w:marTop w:val="0"/>
      <w:marBottom w:val="0"/>
      <w:divBdr>
        <w:top w:val="none" w:sz="0" w:space="0" w:color="auto"/>
        <w:left w:val="none" w:sz="0" w:space="0" w:color="auto"/>
        <w:bottom w:val="none" w:sz="0" w:space="0" w:color="auto"/>
        <w:right w:val="none" w:sz="0" w:space="0" w:color="auto"/>
      </w:divBdr>
    </w:div>
    <w:div w:id="1222910917">
      <w:bodyDiv w:val="1"/>
      <w:marLeft w:val="0"/>
      <w:marRight w:val="0"/>
      <w:marTop w:val="0"/>
      <w:marBottom w:val="0"/>
      <w:divBdr>
        <w:top w:val="none" w:sz="0" w:space="0" w:color="auto"/>
        <w:left w:val="none" w:sz="0" w:space="0" w:color="auto"/>
        <w:bottom w:val="none" w:sz="0" w:space="0" w:color="auto"/>
        <w:right w:val="none" w:sz="0" w:space="0" w:color="auto"/>
      </w:divBdr>
      <w:divsChild>
        <w:div w:id="543368522">
          <w:marLeft w:val="0"/>
          <w:marRight w:val="0"/>
          <w:marTop w:val="0"/>
          <w:marBottom w:val="0"/>
          <w:divBdr>
            <w:top w:val="none" w:sz="0" w:space="0" w:color="auto"/>
            <w:left w:val="none" w:sz="0" w:space="0" w:color="auto"/>
            <w:bottom w:val="none" w:sz="0" w:space="0" w:color="auto"/>
            <w:right w:val="none" w:sz="0" w:space="0" w:color="auto"/>
          </w:divBdr>
        </w:div>
        <w:div w:id="660621923">
          <w:marLeft w:val="0"/>
          <w:marRight w:val="0"/>
          <w:marTop w:val="0"/>
          <w:marBottom w:val="0"/>
          <w:divBdr>
            <w:top w:val="none" w:sz="0" w:space="0" w:color="auto"/>
            <w:left w:val="none" w:sz="0" w:space="0" w:color="auto"/>
            <w:bottom w:val="none" w:sz="0" w:space="0" w:color="auto"/>
            <w:right w:val="none" w:sz="0" w:space="0" w:color="auto"/>
          </w:divBdr>
        </w:div>
        <w:div w:id="1489714239">
          <w:marLeft w:val="0"/>
          <w:marRight w:val="0"/>
          <w:marTop w:val="0"/>
          <w:marBottom w:val="0"/>
          <w:divBdr>
            <w:top w:val="none" w:sz="0" w:space="0" w:color="auto"/>
            <w:left w:val="none" w:sz="0" w:space="0" w:color="auto"/>
            <w:bottom w:val="none" w:sz="0" w:space="0" w:color="auto"/>
            <w:right w:val="none" w:sz="0" w:space="0" w:color="auto"/>
          </w:divBdr>
        </w:div>
        <w:div w:id="1701276520">
          <w:marLeft w:val="0"/>
          <w:marRight w:val="0"/>
          <w:marTop w:val="0"/>
          <w:marBottom w:val="0"/>
          <w:divBdr>
            <w:top w:val="none" w:sz="0" w:space="0" w:color="auto"/>
            <w:left w:val="none" w:sz="0" w:space="0" w:color="auto"/>
            <w:bottom w:val="none" w:sz="0" w:space="0" w:color="auto"/>
            <w:right w:val="none" w:sz="0" w:space="0" w:color="auto"/>
          </w:divBdr>
        </w:div>
        <w:div w:id="233591978">
          <w:marLeft w:val="0"/>
          <w:marRight w:val="0"/>
          <w:marTop w:val="0"/>
          <w:marBottom w:val="0"/>
          <w:divBdr>
            <w:top w:val="none" w:sz="0" w:space="0" w:color="auto"/>
            <w:left w:val="none" w:sz="0" w:space="0" w:color="auto"/>
            <w:bottom w:val="none" w:sz="0" w:space="0" w:color="auto"/>
            <w:right w:val="none" w:sz="0" w:space="0" w:color="auto"/>
          </w:divBdr>
        </w:div>
        <w:div w:id="291136231">
          <w:marLeft w:val="0"/>
          <w:marRight w:val="0"/>
          <w:marTop w:val="0"/>
          <w:marBottom w:val="0"/>
          <w:divBdr>
            <w:top w:val="none" w:sz="0" w:space="0" w:color="auto"/>
            <w:left w:val="none" w:sz="0" w:space="0" w:color="auto"/>
            <w:bottom w:val="none" w:sz="0" w:space="0" w:color="auto"/>
            <w:right w:val="none" w:sz="0" w:space="0" w:color="auto"/>
          </w:divBdr>
        </w:div>
        <w:div w:id="1428111676">
          <w:marLeft w:val="0"/>
          <w:marRight w:val="0"/>
          <w:marTop w:val="0"/>
          <w:marBottom w:val="0"/>
          <w:divBdr>
            <w:top w:val="none" w:sz="0" w:space="0" w:color="auto"/>
            <w:left w:val="none" w:sz="0" w:space="0" w:color="auto"/>
            <w:bottom w:val="none" w:sz="0" w:space="0" w:color="auto"/>
            <w:right w:val="none" w:sz="0" w:space="0" w:color="auto"/>
          </w:divBdr>
        </w:div>
        <w:div w:id="760684707">
          <w:marLeft w:val="0"/>
          <w:marRight w:val="0"/>
          <w:marTop w:val="0"/>
          <w:marBottom w:val="0"/>
          <w:divBdr>
            <w:top w:val="none" w:sz="0" w:space="0" w:color="auto"/>
            <w:left w:val="none" w:sz="0" w:space="0" w:color="auto"/>
            <w:bottom w:val="none" w:sz="0" w:space="0" w:color="auto"/>
            <w:right w:val="none" w:sz="0" w:space="0" w:color="auto"/>
          </w:divBdr>
        </w:div>
        <w:div w:id="438643237">
          <w:marLeft w:val="0"/>
          <w:marRight w:val="0"/>
          <w:marTop w:val="0"/>
          <w:marBottom w:val="0"/>
          <w:divBdr>
            <w:top w:val="none" w:sz="0" w:space="0" w:color="auto"/>
            <w:left w:val="none" w:sz="0" w:space="0" w:color="auto"/>
            <w:bottom w:val="none" w:sz="0" w:space="0" w:color="auto"/>
            <w:right w:val="none" w:sz="0" w:space="0" w:color="auto"/>
          </w:divBdr>
        </w:div>
        <w:div w:id="1377701380">
          <w:marLeft w:val="0"/>
          <w:marRight w:val="0"/>
          <w:marTop w:val="0"/>
          <w:marBottom w:val="0"/>
          <w:divBdr>
            <w:top w:val="none" w:sz="0" w:space="0" w:color="auto"/>
            <w:left w:val="none" w:sz="0" w:space="0" w:color="auto"/>
            <w:bottom w:val="none" w:sz="0" w:space="0" w:color="auto"/>
            <w:right w:val="none" w:sz="0" w:space="0" w:color="auto"/>
          </w:divBdr>
        </w:div>
        <w:div w:id="1311982521">
          <w:marLeft w:val="0"/>
          <w:marRight w:val="0"/>
          <w:marTop w:val="0"/>
          <w:marBottom w:val="0"/>
          <w:divBdr>
            <w:top w:val="none" w:sz="0" w:space="0" w:color="auto"/>
            <w:left w:val="none" w:sz="0" w:space="0" w:color="auto"/>
            <w:bottom w:val="none" w:sz="0" w:space="0" w:color="auto"/>
            <w:right w:val="none" w:sz="0" w:space="0" w:color="auto"/>
          </w:divBdr>
        </w:div>
        <w:div w:id="963997010">
          <w:marLeft w:val="0"/>
          <w:marRight w:val="0"/>
          <w:marTop w:val="0"/>
          <w:marBottom w:val="0"/>
          <w:divBdr>
            <w:top w:val="none" w:sz="0" w:space="0" w:color="auto"/>
            <w:left w:val="none" w:sz="0" w:space="0" w:color="auto"/>
            <w:bottom w:val="none" w:sz="0" w:space="0" w:color="auto"/>
            <w:right w:val="none" w:sz="0" w:space="0" w:color="auto"/>
          </w:divBdr>
        </w:div>
        <w:div w:id="2784763">
          <w:marLeft w:val="0"/>
          <w:marRight w:val="0"/>
          <w:marTop w:val="0"/>
          <w:marBottom w:val="0"/>
          <w:divBdr>
            <w:top w:val="none" w:sz="0" w:space="0" w:color="auto"/>
            <w:left w:val="none" w:sz="0" w:space="0" w:color="auto"/>
            <w:bottom w:val="none" w:sz="0" w:space="0" w:color="auto"/>
            <w:right w:val="none" w:sz="0" w:space="0" w:color="auto"/>
          </w:divBdr>
        </w:div>
        <w:div w:id="1012027886">
          <w:marLeft w:val="0"/>
          <w:marRight w:val="0"/>
          <w:marTop w:val="0"/>
          <w:marBottom w:val="0"/>
          <w:divBdr>
            <w:top w:val="none" w:sz="0" w:space="0" w:color="auto"/>
            <w:left w:val="none" w:sz="0" w:space="0" w:color="auto"/>
            <w:bottom w:val="none" w:sz="0" w:space="0" w:color="auto"/>
            <w:right w:val="none" w:sz="0" w:space="0" w:color="auto"/>
          </w:divBdr>
        </w:div>
        <w:div w:id="688991754">
          <w:marLeft w:val="0"/>
          <w:marRight w:val="0"/>
          <w:marTop w:val="0"/>
          <w:marBottom w:val="0"/>
          <w:divBdr>
            <w:top w:val="none" w:sz="0" w:space="0" w:color="auto"/>
            <w:left w:val="none" w:sz="0" w:space="0" w:color="auto"/>
            <w:bottom w:val="none" w:sz="0" w:space="0" w:color="auto"/>
            <w:right w:val="none" w:sz="0" w:space="0" w:color="auto"/>
          </w:divBdr>
        </w:div>
        <w:div w:id="1304235576">
          <w:marLeft w:val="0"/>
          <w:marRight w:val="0"/>
          <w:marTop w:val="0"/>
          <w:marBottom w:val="0"/>
          <w:divBdr>
            <w:top w:val="none" w:sz="0" w:space="0" w:color="auto"/>
            <w:left w:val="none" w:sz="0" w:space="0" w:color="auto"/>
            <w:bottom w:val="none" w:sz="0" w:space="0" w:color="auto"/>
            <w:right w:val="none" w:sz="0" w:space="0" w:color="auto"/>
          </w:divBdr>
        </w:div>
        <w:div w:id="2095081561">
          <w:marLeft w:val="0"/>
          <w:marRight w:val="0"/>
          <w:marTop w:val="0"/>
          <w:marBottom w:val="0"/>
          <w:divBdr>
            <w:top w:val="none" w:sz="0" w:space="0" w:color="auto"/>
            <w:left w:val="none" w:sz="0" w:space="0" w:color="auto"/>
            <w:bottom w:val="none" w:sz="0" w:space="0" w:color="auto"/>
            <w:right w:val="none" w:sz="0" w:space="0" w:color="auto"/>
          </w:divBdr>
        </w:div>
      </w:divsChild>
    </w:div>
    <w:div w:id="1263565276">
      <w:bodyDiv w:val="1"/>
      <w:marLeft w:val="0"/>
      <w:marRight w:val="0"/>
      <w:marTop w:val="0"/>
      <w:marBottom w:val="0"/>
      <w:divBdr>
        <w:top w:val="none" w:sz="0" w:space="0" w:color="auto"/>
        <w:left w:val="none" w:sz="0" w:space="0" w:color="auto"/>
        <w:bottom w:val="none" w:sz="0" w:space="0" w:color="auto"/>
        <w:right w:val="none" w:sz="0" w:space="0" w:color="auto"/>
      </w:divBdr>
    </w:div>
    <w:div w:id="1291932091">
      <w:bodyDiv w:val="1"/>
      <w:marLeft w:val="0"/>
      <w:marRight w:val="0"/>
      <w:marTop w:val="0"/>
      <w:marBottom w:val="0"/>
      <w:divBdr>
        <w:top w:val="none" w:sz="0" w:space="0" w:color="auto"/>
        <w:left w:val="none" w:sz="0" w:space="0" w:color="auto"/>
        <w:bottom w:val="none" w:sz="0" w:space="0" w:color="auto"/>
        <w:right w:val="none" w:sz="0" w:space="0" w:color="auto"/>
      </w:divBdr>
    </w:div>
    <w:div w:id="1295985943">
      <w:bodyDiv w:val="1"/>
      <w:marLeft w:val="0"/>
      <w:marRight w:val="0"/>
      <w:marTop w:val="0"/>
      <w:marBottom w:val="0"/>
      <w:divBdr>
        <w:top w:val="none" w:sz="0" w:space="0" w:color="auto"/>
        <w:left w:val="none" w:sz="0" w:space="0" w:color="auto"/>
        <w:bottom w:val="none" w:sz="0" w:space="0" w:color="auto"/>
        <w:right w:val="none" w:sz="0" w:space="0" w:color="auto"/>
      </w:divBdr>
    </w:div>
    <w:div w:id="1319269546">
      <w:bodyDiv w:val="1"/>
      <w:marLeft w:val="0"/>
      <w:marRight w:val="0"/>
      <w:marTop w:val="0"/>
      <w:marBottom w:val="0"/>
      <w:divBdr>
        <w:top w:val="none" w:sz="0" w:space="0" w:color="auto"/>
        <w:left w:val="none" w:sz="0" w:space="0" w:color="auto"/>
        <w:bottom w:val="none" w:sz="0" w:space="0" w:color="auto"/>
        <w:right w:val="none" w:sz="0" w:space="0" w:color="auto"/>
      </w:divBdr>
    </w:div>
    <w:div w:id="1343123232">
      <w:bodyDiv w:val="1"/>
      <w:marLeft w:val="0"/>
      <w:marRight w:val="0"/>
      <w:marTop w:val="0"/>
      <w:marBottom w:val="0"/>
      <w:divBdr>
        <w:top w:val="none" w:sz="0" w:space="0" w:color="auto"/>
        <w:left w:val="none" w:sz="0" w:space="0" w:color="auto"/>
        <w:bottom w:val="none" w:sz="0" w:space="0" w:color="auto"/>
        <w:right w:val="none" w:sz="0" w:space="0" w:color="auto"/>
      </w:divBdr>
    </w:div>
    <w:div w:id="1355812132">
      <w:bodyDiv w:val="1"/>
      <w:marLeft w:val="0"/>
      <w:marRight w:val="0"/>
      <w:marTop w:val="0"/>
      <w:marBottom w:val="0"/>
      <w:divBdr>
        <w:top w:val="none" w:sz="0" w:space="0" w:color="auto"/>
        <w:left w:val="none" w:sz="0" w:space="0" w:color="auto"/>
        <w:bottom w:val="none" w:sz="0" w:space="0" w:color="auto"/>
        <w:right w:val="none" w:sz="0" w:space="0" w:color="auto"/>
      </w:divBdr>
    </w:div>
    <w:div w:id="1437948577">
      <w:bodyDiv w:val="1"/>
      <w:marLeft w:val="0"/>
      <w:marRight w:val="0"/>
      <w:marTop w:val="0"/>
      <w:marBottom w:val="0"/>
      <w:divBdr>
        <w:top w:val="none" w:sz="0" w:space="0" w:color="auto"/>
        <w:left w:val="none" w:sz="0" w:space="0" w:color="auto"/>
        <w:bottom w:val="none" w:sz="0" w:space="0" w:color="auto"/>
        <w:right w:val="none" w:sz="0" w:space="0" w:color="auto"/>
      </w:divBdr>
    </w:div>
    <w:div w:id="1474715687">
      <w:bodyDiv w:val="1"/>
      <w:marLeft w:val="0"/>
      <w:marRight w:val="0"/>
      <w:marTop w:val="0"/>
      <w:marBottom w:val="0"/>
      <w:divBdr>
        <w:top w:val="none" w:sz="0" w:space="0" w:color="auto"/>
        <w:left w:val="none" w:sz="0" w:space="0" w:color="auto"/>
        <w:bottom w:val="none" w:sz="0" w:space="0" w:color="auto"/>
        <w:right w:val="none" w:sz="0" w:space="0" w:color="auto"/>
      </w:divBdr>
      <w:divsChild>
        <w:div w:id="1203009378">
          <w:marLeft w:val="0"/>
          <w:marRight w:val="0"/>
          <w:marTop w:val="0"/>
          <w:marBottom w:val="0"/>
          <w:divBdr>
            <w:top w:val="none" w:sz="0" w:space="0" w:color="auto"/>
            <w:left w:val="none" w:sz="0" w:space="0" w:color="auto"/>
            <w:bottom w:val="none" w:sz="0" w:space="0" w:color="auto"/>
            <w:right w:val="none" w:sz="0" w:space="0" w:color="auto"/>
          </w:divBdr>
        </w:div>
        <w:div w:id="605890777">
          <w:marLeft w:val="0"/>
          <w:marRight w:val="0"/>
          <w:marTop w:val="0"/>
          <w:marBottom w:val="0"/>
          <w:divBdr>
            <w:top w:val="none" w:sz="0" w:space="0" w:color="auto"/>
            <w:left w:val="none" w:sz="0" w:space="0" w:color="auto"/>
            <w:bottom w:val="none" w:sz="0" w:space="0" w:color="auto"/>
            <w:right w:val="none" w:sz="0" w:space="0" w:color="auto"/>
          </w:divBdr>
        </w:div>
        <w:div w:id="463155315">
          <w:marLeft w:val="0"/>
          <w:marRight w:val="0"/>
          <w:marTop w:val="0"/>
          <w:marBottom w:val="0"/>
          <w:divBdr>
            <w:top w:val="none" w:sz="0" w:space="0" w:color="auto"/>
            <w:left w:val="none" w:sz="0" w:space="0" w:color="auto"/>
            <w:bottom w:val="none" w:sz="0" w:space="0" w:color="auto"/>
            <w:right w:val="none" w:sz="0" w:space="0" w:color="auto"/>
          </w:divBdr>
        </w:div>
        <w:div w:id="864682265">
          <w:marLeft w:val="0"/>
          <w:marRight w:val="0"/>
          <w:marTop w:val="0"/>
          <w:marBottom w:val="0"/>
          <w:divBdr>
            <w:top w:val="none" w:sz="0" w:space="0" w:color="auto"/>
            <w:left w:val="none" w:sz="0" w:space="0" w:color="auto"/>
            <w:bottom w:val="none" w:sz="0" w:space="0" w:color="auto"/>
            <w:right w:val="none" w:sz="0" w:space="0" w:color="auto"/>
          </w:divBdr>
        </w:div>
        <w:div w:id="765419489">
          <w:marLeft w:val="0"/>
          <w:marRight w:val="0"/>
          <w:marTop w:val="0"/>
          <w:marBottom w:val="0"/>
          <w:divBdr>
            <w:top w:val="none" w:sz="0" w:space="0" w:color="auto"/>
            <w:left w:val="none" w:sz="0" w:space="0" w:color="auto"/>
            <w:bottom w:val="none" w:sz="0" w:space="0" w:color="auto"/>
            <w:right w:val="none" w:sz="0" w:space="0" w:color="auto"/>
          </w:divBdr>
        </w:div>
        <w:div w:id="1731225631">
          <w:marLeft w:val="0"/>
          <w:marRight w:val="0"/>
          <w:marTop w:val="0"/>
          <w:marBottom w:val="0"/>
          <w:divBdr>
            <w:top w:val="none" w:sz="0" w:space="0" w:color="auto"/>
            <w:left w:val="none" w:sz="0" w:space="0" w:color="auto"/>
            <w:bottom w:val="none" w:sz="0" w:space="0" w:color="auto"/>
            <w:right w:val="none" w:sz="0" w:space="0" w:color="auto"/>
          </w:divBdr>
        </w:div>
        <w:div w:id="158157464">
          <w:marLeft w:val="0"/>
          <w:marRight w:val="0"/>
          <w:marTop w:val="0"/>
          <w:marBottom w:val="0"/>
          <w:divBdr>
            <w:top w:val="none" w:sz="0" w:space="0" w:color="auto"/>
            <w:left w:val="none" w:sz="0" w:space="0" w:color="auto"/>
            <w:bottom w:val="none" w:sz="0" w:space="0" w:color="auto"/>
            <w:right w:val="none" w:sz="0" w:space="0" w:color="auto"/>
          </w:divBdr>
        </w:div>
      </w:divsChild>
    </w:div>
    <w:div w:id="1499031953">
      <w:bodyDiv w:val="1"/>
      <w:marLeft w:val="0"/>
      <w:marRight w:val="0"/>
      <w:marTop w:val="0"/>
      <w:marBottom w:val="0"/>
      <w:divBdr>
        <w:top w:val="none" w:sz="0" w:space="0" w:color="auto"/>
        <w:left w:val="none" w:sz="0" w:space="0" w:color="auto"/>
        <w:bottom w:val="none" w:sz="0" w:space="0" w:color="auto"/>
        <w:right w:val="none" w:sz="0" w:space="0" w:color="auto"/>
      </w:divBdr>
    </w:div>
    <w:div w:id="1546868144">
      <w:bodyDiv w:val="1"/>
      <w:marLeft w:val="0"/>
      <w:marRight w:val="0"/>
      <w:marTop w:val="0"/>
      <w:marBottom w:val="0"/>
      <w:divBdr>
        <w:top w:val="none" w:sz="0" w:space="0" w:color="auto"/>
        <w:left w:val="none" w:sz="0" w:space="0" w:color="auto"/>
        <w:bottom w:val="none" w:sz="0" w:space="0" w:color="auto"/>
        <w:right w:val="none" w:sz="0" w:space="0" w:color="auto"/>
      </w:divBdr>
    </w:div>
    <w:div w:id="1586912167">
      <w:bodyDiv w:val="1"/>
      <w:marLeft w:val="0"/>
      <w:marRight w:val="0"/>
      <w:marTop w:val="0"/>
      <w:marBottom w:val="0"/>
      <w:divBdr>
        <w:top w:val="none" w:sz="0" w:space="0" w:color="auto"/>
        <w:left w:val="none" w:sz="0" w:space="0" w:color="auto"/>
        <w:bottom w:val="none" w:sz="0" w:space="0" w:color="auto"/>
        <w:right w:val="none" w:sz="0" w:space="0" w:color="auto"/>
      </w:divBdr>
    </w:div>
    <w:div w:id="1603419841">
      <w:bodyDiv w:val="1"/>
      <w:marLeft w:val="0"/>
      <w:marRight w:val="0"/>
      <w:marTop w:val="0"/>
      <w:marBottom w:val="0"/>
      <w:divBdr>
        <w:top w:val="none" w:sz="0" w:space="0" w:color="auto"/>
        <w:left w:val="none" w:sz="0" w:space="0" w:color="auto"/>
        <w:bottom w:val="none" w:sz="0" w:space="0" w:color="auto"/>
        <w:right w:val="none" w:sz="0" w:space="0" w:color="auto"/>
      </w:divBdr>
    </w:div>
    <w:div w:id="1611547747">
      <w:bodyDiv w:val="1"/>
      <w:marLeft w:val="0"/>
      <w:marRight w:val="0"/>
      <w:marTop w:val="0"/>
      <w:marBottom w:val="0"/>
      <w:divBdr>
        <w:top w:val="none" w:sz="0" w:space="0" w:color="auto"/>
        <w:left w:val="none" w:sz="0" w:space="0" w:color="auto"/>
        <w:bottom w:val="none" w:sz="0" w:space="0" w:color="auto"/>
        <w:right w:val="none" w:sz="0" w:space="0" w:color="auto"/>
      </w:divBdr>
      <w:divsChild>
        <w:div w:id="320424516">
          <w:marLeft w:val="0"/>
          <w:marRight w:val="0"/>
          <w:marTop w:val="0"/>
          <w:marBottom w:val="0"/>
          <w:divBdr>
            <w:top w:val="none" w:sz="0" w:space="0" w:color="auto"/>
            <w:left w:val="none" w:sz="0" w:space="0" w:color="auto"/>
            <w:bottom w:val="none" w:sz="0" w:space="0" w:color="auto"/>
            <w:right w:val="none" w:sz="0" w:space="0" w:color="auto"/>
          </w:divBdr>
        </w:div>
        <w:div w:id="907571911">
          <w:marLeft w:val="0"/>
          <w:marRight w:val="0"/>
          <w:marTop w:val="0"/>
          <w:marBottom w:val="0"/>
          <w:divBdr>
            <w:top w:val="none" w:sz="0" w:space="0" w:color="auto"/>
            <w:left w:val="none" w:sz="0" w:space="0" w:color="auto"/>
            <w:bottom w:val="none" w:sz="0" w:space="0" w:color="auto"/>
            <w:right w:val="none" w:sz="0" w:space="0" w:color="auto"/>
          </w:divBdr>
        </w:div>
        <w:div w:id="1949774558">
          <w:marLeft w:val="0"/>
          <w:marRight w:val="0"/>
          <w:marTop w:val="0"/>
          <w:marBottom w:val="0"/>
          <w:divBdr>
            <w:top w:val="none" w:sz="0" w:space="0" w:color="auto"/>
            <w:left w:val="none" w:sz="0" w:space="0" w:color="auto"/>
            <w:bottom w:val="none" w:sz="0" w:space="0" w:color="auto"/>
            <w:right w:val="none" w:sz="0" w:space="0" w:color="auto"/>
          </w:divBdr>
        </w:div>
        <w:div w:id="2139184118">
          <w:marLeft w:val="0"/>
          <w:marRight w:val="0"/>
          <w:marTop w:val="0"/>
          <w:marBottom w:val="0"/>
          <w:divBdr>
            <w:top w:val="none" w:sz="0" w:space="0" w:color="auto"/>
            <w:left w:val="none" w:sz="0" w:space="0" w:color="auto"/>
            <w:bottom w:val="none" w:sz="0" w:space="0" w:color="auto"/>
            <w:right w:val="none" w:sz="0" w:space="0" w:color="auto"/>
          </w:divBdr>
        </w:div>
        <w:div w:id="236523469">
          <w:marLeft w:val="0"/>
          <w:marRight w:val="0"/>
          <w:marTop w:val="0"/>
          <w:marBottom w:val="0"/>
          <w:divBdr>
            <w:top w:val="none" w:sz="0" w:space="0" w:color="auto"/>
            <w:left w:val="none" w:sz="0" w:space="0" w:color="auto"/>
            <w:bottom w:val="none" w:sz="0" w:space="0" w:color="auto"/>
            <w:right w:val="none" w:sz="0" w:space="0" w:color="auto"/>
          </w:divBdr>
        </w:div>
        <w:div w:id="691608209">
          <w:marLeft w:val="0"/>
          <w:marRight w:val="0"/>
          <w:marTop w:val="0"/>
          <w:marBottom w:val="0"/>
          <w:divBdr>
            <w:top w:val="none" w:sz="0" w:space="0" w:color="auto"/>
            <w:left w:val="none" w:sz="0" w:space="0" w:color="auto"/>
            <w:bottom w:val="none" w:sz="0" w:space="0" w:color="auto"/>
            <w:right w:val="none" w:sz="0" w:space="0" w:color="auto"/>
          </w:divBdr>
        </w:div>
        <w:div w:id="1101990609">
          <w:marLeft w:val="0"/>
          <w:marRight w:val="0"/>
          <w:marTop w:val="0"/>
          <w:marBottom w:val="0"/>
          <w:divBdr>
            <w:top w:val="none" w:sz="0" w:space="0" w:color="auto"/>
            <w:left w:val="none" w:sz="0" w:space="0" w:color="auto"/>
            <w:bottom w:val="none" w:sz="0" w:space="0" w:color="auto"/>
            <w:right w:val="none" w:sz="0" w:space="0" w:color="auto"/>
          </w:divBdr>
        </w:div>
        <w:div w:id="2137530455">
          <w:marLeft w:val="0"/>
          <w:marRight w:val="0"/>
          <w:marTop w:val="0"/>
          <w:marBottom w:val="0"/>
          <w:divBdr>
            <w:top w:val="none" w:sz="0" w:space="0" w:color="auto"/>
            <w:left w:val="none" w:sz="0" w:space="0" w:color="auto"/>
            <w:bottom w:val="none" w:sz="0" w:space="0" w:color="auto"/>
            <w:right w:val="none" w:sz="0" w:space="0" w:color="auto"/>
          </w:divBdr>
        </w:div>
        <w:div w:id="983241061">
          <w:marLeft w:val="0"/>
          <w:marRight w:val="0"/>
          <w:marTop w:val="0"/>
          <w:marBottom w:val="0"/>
          <w:divBdr>
            <w:top w:val="none" w:sz="0" w:space="0" w:color="auto"/>
            <w:left w:val="none" w:sz="0" w:space="0" w:color="auto"/>
            <w:bottom w:val="none" w:sz="0" w:space="0" w:color="auto"/>
            <w:right w:val="none" w:sz="0" w:space="0" w:color="auto"/>
          </w:divBdr>
        </w:div>
        <w:div w:id="1280911123">
          <w:marLeft w:val="0"/>
          <w:marRight w:val="0"/>
          <w:marTop w:val="0"/>
          <w:marBottom w:val="0"/>
          <w:divBdr>
            <w:top w:val="none" w:sz="0" w:space="0" w:color="auto"/>
            <w:left w:val="none" w:sz="0" w:space="0" w:color="auto"/>
            <w:bottom w:val="none" w:sz="0" w:space="0" w:color="auto"/>
            <w:right w:val="none" w:sz="0" w:space="0" w:color="auto"/>
          </w:divBdr>
        </w:div>
        <w:div w:id="311174814">
          <w:marLeft w:val="0"/>
          <w:marRight w:val="0"/>
          <w:marTop w:val="0"/>
          <w:marBottom w:val="0"/>
          <w:divBdr>
            <w:top w:val="none" w:sz="0" w:space="0" w:color="auto"/>
            <w:left w:val="none" w:sz="0" w:space="0" w:color="auto"/>
            <w:bottom w:val="none" w:sz="0" w:space="0" w:color="auto"/>
            <w:right w:val="none" w:sz="0" w:space="0" w:color="auto"/>
          </w:divBdr>
        </w:div>
        <w:div w:id="423111326">
          <w:marLeft w:val="0"/>
          <w:marRight w:val="0"/>
          <w:marTop w:val="0"/>
          <w:marBottom w:val="0"/>
          <w:divBdr>
            <w:top w:val="none" w:sz="0" w:space="0" w:color="auto"/>
            <w:left w:val="none" w:sz="0" w:space="0" w:color="auto"/>
            <w:bottom w:val="none" w:sz="0" w:space="0" w:color="auto"/>
            <w:right w:val="none" w:sz="0" w:space="0" w:color="auto"/>
          </w:divBdr>
        </w:div>
        <w:div w:id="2086145554">
          <w:marLeft w:val="0"/>
          <w:marRight w:val="0"/>
          <w:marTop w:val="0"/>
          <w:marBottom w:val="0"/>
          <w:divBdr>
            <w:top w:val="none" w:sz="0" w:space="0" w:color="auto"/>
            <w:left w:val="none" w:sz="0" w:space="0" w:color="auto"/>
            <w:bottom w:val="none" w:sz="0" w:space="0" w:color="auto"/>
            <w:right w:val="none" w:sz="0" w:space="0" w:color="auto"/>
          </w:divBdr>
        </w:div>
        <w:div w:id="1159342782">
          <w:marLeft w:val="0"/>
          <w:marRight w:val="0"/>
          <w:marTop w:val="0"/>
          <w:marBottom w:val="0"/>
          <w:divBdr>
            <w:top w:val="none" w:sz="0" w:space="0" w:color="auto"/>
            <w:left w:val="none" w:sz="0" w:space="0" w:color="auto"/>
            <w:bottom w:val="none" w:sz="0" w:space="0" w:color="auto"/>
            <w:right w:val="none" w:sz="0" w:space="0" w:color="auto"/>
          </w:divBdr>
        </w:div>
        <w:div w:id="1360666989">
          <w:marLeft w:val="0"/>
          <w:marRight w:val="0"/>
          <w:marTop w:val="0"/>
          <w:marBottom w:val="0"/>
          <w:divBdr>
            <w:top w:val="none" w:sz="0" w:space="0" w:color="auto"/>
            <w:left w:val="none" w:sz="0" w:space="0" w:color="auto"/>
            <w:bottom w:val="none" w:sz="0" w:space="0" w:color="auto"/>
            <w:right w:val="none" w:sz="0" w:space="0" w:color="auto"/>
          </w:divBdr>
        </w:div>
        <w:div w:id="1980183742">
          <w:marLeft w:val="0"/>
          <w:marRight w:val="0"/>
          <w:marTop w:val="0"/>
          <w:marBottom w:val="0"/>
          <w:divBdr>
            <w:top w:val="none" w:sz="0" w:space="0" w:color="auto"/>
            <w:left w:val="none" w:sz="0" w:space="0" w:color="auto"/>
            <w:bottom w:val="none" w:sz="0" w:space="0" w:color="auto"/>
            <w:right w:val="none" w:sz="0" w:space="0" w:color="auto"/>
          </w:divBdr>
        </w:div>
        <w:div w:id="1841773955">
          <w:marLeft w:val="0"/>
          <w:marRight w:val="0"/>
          <w:marTop w:val="0"/>
          <w:marBottom w:val="0"/>
          <w:divBdr>
            <w:top w:val="none" w:sz="0" w:space="0" w:color="auto"/>
            <w:left w:val="none" w:sz="0" w:space="0" w:color="auto"/>
            <w:bottom w:val="none" w:sz="0" w:space="0" w:color="auto"/>
            <w:right w:val="none" w:sz="0" w:space="0" w:color="auto"/>
          </w:divBdr>
        </w:div>
      </w:divsChild>
    </w:div>
    <w:div w:id="1629704043">
      <w:bodyDiv w:val="1"/>
      <w:marLeft w:val="0"/>
      <w:marRight w:val="0"/>
      <w:marTop w:val="0"/>
      <w:marBottom w:val="0"/>
      <w:divBdr>
        <w:top w:val="none" w:sz="0" w:space="0" w:color="auto"/>
        <w:left w:val="none" w:sz="0" w:space="0" w:color="auto"/>
        <w:bottom w:val="none" w:sz="0" w:space="0" w:color="auto"/>
        <w:right w:val="none" w:sz="0" w:space="0" w:color="auto"/>
      </w:divBdr>
      <w:divsChild>
        <w:div w:id="2108621872">
          <w:marLeft w:val="0"/>
          <w:marRight w:val="0"/>
          <w:marTop w:val="0"/>
          <w:marBottom w:val="0"/>
          <w:divBdr>
            <w:top w:val="none" w:sz="0" w:space="0" w:color="auto"/>
            <w:left w:val="none" w:sz="0" w:space="0" w:color="auto"/>
            <w:bottom w:val="none" w:sz="0" w:space="0" w:color="auto"/>
            <w:right w:val="none" w:sz="0" w:space="0" w:color="auto"/>
          </w:divBdr>
        </w:div>
        <w:div w:id="465271922">
          <w:marLeft w:val="0"/>
          <w:marRight w:val="0"/>
          <w:marTop w:val="0"/>
          <w:marBottom w:val="0"/>
          <w:divBdr>
            <w:top w:val="none" w:sz="0" w:space="0" w:color="auto"/>
            <w:left w:val="none" w:sz="0" w:space="0" w:color="auto"/>
            <w:bottom w:val="none" w:sz="0" w:space="0" w:color="auto"/>
            <w:right w:val="none" w:sz="0" w:space="0" w:color="auto"/>
          </w:divBdr>
        </w:div>
        <w:div w:id="1283463425">
          <w:marLeft w:val="0"/>
          <w:marRight w:val="0"/>
          <w:marTop w:val="0"/>
          <w:marBottom w:val="0"/>
          <w:divBdr>
            <w:top w:val="none" w:sz="0" w:space="0" w:color="auto"/>
            <w:left w:val="none" w:sz="0" w:space="0" w:color="auto"/>
            <w:bottom w:val="none" w:sz="0" w:space="0" w:color="auto"/>
            <w:right w:val="none" w:sz="0" w:space="0" w:color="auto"/>
          </w:divBdr>
        </w:div>
        <w:div w:id="1184251300">
          <w:marLeft w:val="0"/>
          <w:marRight w:val="0"/>
          <w:marTop w:val="0"/>
          <w:marBottom w:val="0"/>
          <w:divBdr>
            <w:top w:val="none" w:sz="0" w:space="0" w:color="auto"/>
            <w:left w:val="none" w:sz="0" w:space="0" w:color="auto"/>
            <w:bottom w:val="none" w:sz="0" w:space="0" w:color="auto"/>
            <w:right w:val="none" w:sz="0" w:space="0" w:color="auto"/>
          </w:divBdr>
        </w:div>
        <w:div w:id="1699888361">
          <w:marLeft w:val="0"/>
          <w:marRight w:val="0"/>
          <w:marTop w:val="0"/>
          <w:marBottom w:val="0"/>
          <w:divBdr>
            <w:top w:val="none" w:sz="0" w:space="0" w:color="auto"/>
            <w:left w:val="none" w:sz="0" w:space="0" w:color="auto"/>
            <w:bottom w:val="none" w:sz="0" w:space="0" w:color="auto"/>
            <w:right w:val="none" w:sz="0" w:space="0" w:color="auto"/>
          </w:divBdr>
        </w:div>
        <w:div w:id="1123772102">
          <w:marLeft w:val="0"/>
          <w:marRight w:val="0"/>
          <w:marTop w:val="0"/>
          <w:marBottom w:val="0"/>
          <w:divBdr>
            <w:top w:val="none" w:sz="0" w:space="0" w:color="auto"/>
            <w:left w:val="none" w:sz="0" w:space="0" w:color="auto"/>
            <w:bottom w:val="none" w:sz="0" w:space="0" w:color="auto"/>
            <w:right w:val="none" w:sz="0" w:space="0" w:color="auto"/>
          </w:divBdr>
        </w:div>
        <w:div w:id="1553418700">
          <w:marLeft w:val="0"/>
          <w:marRight w:val="0"/>
          <w:marTop w:val="0"/>
          <w:marBottom w:val="0"/>
          <w:divBdr>
            <w:top w:val="none" w:sz="0" w:space="0" w:color="auto"/>
            <w:left w:val="none" w:sz="0" w:space="0" w:color="auto"/>
            <w:bottom w:val="none" w:sz="0" w:space="0" w:color="auto"/>
            <w:right w:val="none" w:sz="0" w:space="0" w:color="auto"/>
          </w:divBdr>
        </w:div>
        <w:div w:id="664086461">
          <w:marLeft w:val="0"/>
          <w:marRight w:val="0"/>
          <w:marTop w:val="0"/>
          <w:marBottom w:val="0"/>
          <w:divBdr>
            <w:top w:val="none" w:sz="0" w:space="0" w:color="auto"/>
            <w:left w:val="none" w:sz="0" w:space="0" w:color="auto"/>
            <w:bottom w:val="none" w:sz="0" w:space="0" w:color="auto"/>
            <w:right w:val="none" w:sz="0" w:space="0" w:color="auto"/>
          </w:divBdr>
        </w:div>
        <w:div w:id="172106810">
          <w:marLeft w:val="0"/>
          <w:marRight w:val="0"/>
          <w:marTop w:val="0"/>
          <w:marBottom w:val="0"/>
          <w:divBdr>
            <w:top w:val="none" w:sz="0" w:space="0" w:color="auto"/>
            <w:left w:val="none" w:sz="0" w:space="0" w:color="auto"/>
            <w:bottom w:val="none" w:sz="0" w:space="0" w:color="auto"/>
            <w:right w:val="none" w:sz="0" w:space="0" w:color="auto"/>
          </w:divBdr>
        </w:div>
      </w:divsChild>
    </w:div>
    <w:div w:id="1643995711">
      <w:bodyDiv w:val="1"/>
      <w:marLeft w:val="0"/>
      <w:marRight w:val="0"/>
      <w:marTop w:val="0"/>
      <w:marBottom w:val="0"/>
      <w:divBdr>
        <w:top w:val="none" w:sz="0" w:space="0" w:color="auto"/>
        <w:left w:val="none" w:sz="0" w:space="0" w:color="auto"/>
        <w:bottom w:val="none" w:sz="0" w:space="0" w:color="auto"/>
        <w:right w:val="none" w:sz="0" w:space="0" w:color="auto"/>
      </w:divBdr>
    </w:div>
    <w:div w:id="1679191449">
      <w:bodyDiv w:val="1"/>
      <w:marLeft w:val="0"/>
      <w:marRight w:val="0"/>
      <w:marTop w:val="0"/>
      <w:marBottom w:val="0"/>
      <w:divBdr>
        <w:top w:val="none" w:sz="0" w:space="0" w:color="auto"/>
        <w:left w:val="none" w:sz="0" w:space="0" w:color="auto"/>
        <w:bottom w:val="none" w:sz="0" w:space="0" w:color="auto"/>
        <w:right w:val="none" w:sz="0" w:space="0" w:color="auto"/>
      </w:divBdr>
    </w:div>
    <w:div w:id="1686403645">
      <w:bodyDiv w:val="1"/>
      <w:marLeft w:val="0"/>
      <w:marRight w:val="0"/>
      <w:marTop w:val="0"/>
      <w:marBottom w:val="0"/>
      <w:divBdr>
        <w:top w:val="none" w:sz="0" w:space="0" w:color="auto"/>
        <w:left w:val="none" w:sz="0" w:space="0" w:color="auto"/>
        <w:bottom w:val="none" w:sz="0" w:space="0" w:color="auto"/>
        <w:right w:val="none" w:sz="0" w:space="0" w:color="auto"/>
      </w:divBdr>
    </w:div>
    <w:div w:id="1740058531">
      <w:bodyDiv w:val="1"/>
      <w:marLeft w:val="0"/>
      <w:marRight w:val="0"/>
      <w:marTop w:val="0"/>
      <w:marBottom w:val="0"/>
      <w:divBdr>
        <w:top w:val="none" w:sz="0" w:space="0" w:color="auto"/>
        <w:left w:val="none" w:sz="0" w:space="0" w:color="auto"/>
        <w:bottom w:val="none" w:sz="0" w:space="0" w:color="auto"/>
        <w:right w:val="none" w:sz="0" w:space="0" w:color="auto"/>
      </w:divBdr>
    </w:div>
    <w:div w:id="1754399877">
      <w:bodyDiv w:val="1"/>
      <w:marLeft w:val="0"/>
      <w:marRight w:val="0"/>
      <w:marTop w:val="0"/>
      <w:marBottom w:val="0"/>
      <w:divBdr>
        <w:top w:val="none" w:sz="0" w:space="0" w:color="auto"/>
        <w:left w:val="none" w:sz="0" w:space="0" w:color="auto"/>
        <w:bottom w:val="none" w:sz="0" w:space="0" w:color="auto"/>
        <w:right w:val="none" w:sz="0" w:space="0" w:color="auto"/>
      </w:divBdr>
    </w:div>
    <w:div w:id="1784303508">
      <w:bodyDiv w:val="1"/>
      <w:marLeft w:val="0"/>
      <w:marRight w:val="0"/>
      <w:marTop w:val="0"/>
      <w:marBottom w:val="0"/>
      <w:divBdr>
        <w:top w:val="none" w:sz="0" w:space="0" w:color="auto"/>
        <w:left w:val="none" w:sz="0" w:space="0" w:color="auto"/>
        <w:bottom w:val="none" w:sz="0" w:space="0" w:color="auto"/>
        <w:right w:val="none" w:sz="0" w:space="0" w:color="auto"/>
      </w:divBdr>
    </w:div>
    <w:div w:id="1786465086">
      <w:bodyDiv w:val="1"/>
      <w:marLeft w:val="0"/>
      <w:marRight w:val="0"/>
      <w:marTop w:val="0"/>
      <w:marBottom w:val="0"/>
      <w:divBdr>
        <w:top w:val="none" w:sz="0" w:space="0" w:color="auto"/>
        <w:left w:val="none" w:sz="0" w:space="0" w:color="auto"/>
        <w:bottom w:val="none" w:sz="0" w:space="0" w:color="auto"/>
        <w:right w:val="none" w:sz="0" w:space="0" w:color="auto"/>
      </w:divBdr>
    </w:div>
    <w:div w:id="1811288492">
      <w:bodyDiv w:val="1"/>
      <w:marLeft w:val="0"/>
      <w:marRight w:val="0"/>
      <w:marTop w:val="0"/>
      <w:marBottom w:val="0"/>
      <w:divBdr>
        <w:top w:val="none" w:sz="0" w:space="0" w:color="auto"/>
        <w:left w:val="none" w:sz="0" w:space="0" w:color="auto"/>
        <w:bottom w:val="none" w:sz="0" w:space="0" w:color="auto"/>
        <w:right w:val="none" w:sz="0" w:space="0" w:color="auto"/>
      </w:divBdr>
    </w:div>
    <w:div w:id="1940522514">
      <w:bodyDiv w:val="1"/>
      <w:marLeft w:val="0"/>
      <w:marRight w:val="0"/>
      <w:marTop w:val="0"/>
      <w:marBottom w:val="0"/>
      <w:divBdr>
        <w:top w:val="none" w:sz="0" w:space="0" w:color="auto"/>
        <w:left w:val="none" w:sz="0" w:space="0" w:color="auto"/>
        <w:bottom w:val="none" w:sz="0" w:space="0" w:color="auto"/>
        <w:right w:val="none" w:sz="0" w:space="0" w:color="auto"/>
      </w:divBdr>
    </w:div>
    <w:div w:id="2046562340">
      <w:bodyDiv w:val="1"/>
      <w:marLeft w:val="0"/>
      <w:marRight w:val="0"/>
      <w:marTop w:val="0"/>
      <w:marBottom w:val="0"/>
      <w:divBdr>
        <w:top w:val="none" w:sz="0" w:space="0" w:color="auto"/>
        <w:left w:val="none" w:sz="0" w:space="0" w:color="auto"/>
        <w:bottom w:val="none" w:sz="0" w:space="0" w:color="auto"/>
        <w:right w:val="none" w:sz="0" w:space="0" w:color="auto"/>
      </w:divBdr>
    </w:div>
    <w:div w:id="2075732898">
      <w:bodyDiv w:val="1"/>
      <w:marLeft w:val="0"/>
      <w:marRight w:val="0"/>
      <w:marTop w:val="0"/>
      <w:marBottom w:val="0"/>
      <w:divBdr>
        <w:top w:val="none" w:sz="0" w:space="0" w:color="auto"/>
        <w:left w:val="none" w:sz="0" w:space="0" w:color="auto"/>
        <w:bottom w:val="none" w:sz="0" w:space="0" w:color="auto"/>
        <w:right w:val="none" w:sz="0" w:space="0" w:color="auto"/>
      </w:divBdr>
    </w:div>
    <w:div w:id="2079133768">
      <w:bodyDiv w:val="1"/>
      <w:marLeft w:val="0"/>
      <w:marRight w:val="0"/>
      <w:marTop w:val="0"/>
      <w:marBottom w:val="0"/>
      <w:divBdr>
        <w:top w:val="none" w:sz="0" w:space="0" w:color="auto"/>
        <w:left w:val="none" w:sz="0" w:space="0" w:color="auto"/>
        <w:bottom w:val="none" w:sz="0" w:space="0" w:color="auto"/>
        <w:right w:val="none" w:sz="0" w:space="0" w:color="auto"/>
      </w:divBdr>
      <w:divsChild>
        <w:div w:id="1291015616">
          <w:marLeft w:val="0"/>
          <w:marRight w:val="0"/>
          <w:marTop w:val="0"/>
          <w:marBottom w:val="0"/>
          <w:divBdr>
            <w:top w:val="none" w:sz="0" w:space="0" w:color="auto"/>
            <w:left w:val="none" w:sz="0" w:space="0" w:color="auto"/>
            <w:bottom w:val="none" w:sz="0" w:space="0" w:color="auto"/>
            <w:right w:val="none" w:sz="0" w:space="0" w:color="auto"/>
          </w:divBdr>
        </w:div>
        <w:div w:id="1445807607">
          <w:marLeft w:val="0"/>
          <w:marRight w:val="0"/>
          <w:marTop w:val="0"/>
          <w:marBottom w:val="0"/>
          <w:divBdr>
            <w:top w:val="none" w:sz="0" w:space="0" w:color="auto"/>
            <w:left w:val="none" w:sz="0" w:space="0" w:color="auto"/>
            <w:bottom w:val="none" w:sz="0" w:space="0" w:color="auto"/>
            <w:right w:val="none" w:sz="0" w:space="0" w:color="auto"/>
          </w:divBdr>
        </w:div>
        <w:div w:id="947198107">
          <w:marLeft w:val="0"/>
          <w:marRight w:val="0"/>
          <w:marTop w:val="0"/>
          <w:marBottom w:val="0"/>
          <w:divBdr>
            <w:top w:val="none" w:sz="0" w:space="0" w:color="auto"/>
            <w:left w:val="none" w:sz="0" w:space="0" w:color="auto"/>
            <w:bottom w:val="none" w:sz="0" w:space="0" w:color="auto"/>
            <w:right w:val="none" w:sz="0" w:space="0" w:color="auto"/>
          </w:divBdr>
        </w:div>
        <w:div w:id="301472396">
          <w:marLeft w:val="0"/>
          <w:marRight w:val="0"/>
          <w:marTop w:val="0"/>
          <w:marBottom w:val="0"/>
          <w:divBdr>
            <w:top w:val="none" w:sz="0" w:space="0" w:color="auto"/>
            <w:left w:val="none" w:sz="0" w:space="0" w:color="auto"/>
            <w:bottom w:val="none" w:sz="0" w:space="0" w:color="auto"/>
            <w:right w:val="none" w:sz="0" w:space="0" w:color="auto"/>
          </w:divBdr>
        </w:div>
        <w:div w:id="210315133">
          <w:marLeft w:val="0"/>
          <w:marRight w:val="0"/>
          <w:marTop w:val="0"/>
          <w:marBottom w:val="0"/>
          <w:divBdr>
            <w:top w:val="none" w:sz="0" w:space="0" w:color="auto"/>
            <w:left w:val="none" w:sz="0" w:space="0" w:color="auto"/>
            <w:bottom w:val="none" w:sz="0" w:space="0" w:color="auto"/>
            <w:right w:val="none" w:sz="0" w:space="0" w:color="auto"/>
          </w:divBdr>
        </w:div>
        <w:div w:id="2142769975">
          <w:marLeft w:val="0"/>
          <w:marRight w:val="0"/>
          <w:marTop w:val="0"/>
          <w:marBottom w:val="0"/>
          <w:divBdr>
            <w:top w:val="none" w:sz="0" w:space="0" w:color="auto"/>
            <w:left w:val="none" w:sz="0" w:space="0" w:color="auto"/>
            <w:bottom w:val="none" w:sz="0" w:space="0" w:color="auto"/>
            <w:right w:val="none" w:sz="0" w:space="0" w:color="auto"/>
          </w:divBdr>
        </w:div>
        <w:div w:id="1024671836">
          <w:marLeft w:val="0"/>
          <w:marRight w:val="0"/>
          <w:marTop w:val="0"/>
          <w:marBottom w:val="0"/>
          <w:divBdr>
            <w:top w:val="none" w:sz="0" w:space="0" w:color="auto"/>
            <w:left w:val="none" w:sz="0" w:space="0" w:color="auto"/>
            <w:bottom w:val="none" w:sz="0" w:space="0" w:color="auto"/>
            <w:right w:val="none" w:sz="0" w:space="0" w:color="auto"/>
          </w:divBdr>
        </w:div>
        <w:div w:id="353459141">
          <w:marLeft w:val="0"/>
          <w:marRight w:val="0"/>
          <w:marTop w:val="0"/>
          <w:marBottom w:val="0"/>
          <w:divBdr>
            <w:top w:val="none" w:sz="0" w:space="0" w:color="auto"/>
            <w:left w:val="none" w:sz="0" w:space="0" w:color="auto"/>
            <w:bottom w:val="none" w:sz="0" w:space="0" w:color="auto"/>
            <w:right w:val="none" w:sz="0" w:space="0" w:color="auto"/>
          </w:divBdr>
        </w:div>
        <w:div w:id="676007143">
          <w:marLeft w:val="0"/>
          <w:marRight w:val="0"/>
          <w:marTop w:val="0"/>
          <w:marBottom w:val="0"/>
          <w:divBdr>
            <w:top w:val="none" w:sz="0" w:space="0" w:color="auto"/>
            <w:left w:val="none" w:sz="0" w:space="0" w:color="auto"/>
            <w:bottom w:val="none" w:sz="0" w:space="0" w:color="auto"/>
            <w:right w:val="none" w:sz="0" w:space="0" w:color="auto"/>
          </w:divBdr>
        </w:div>
      </w:divsChild>
    </w:div>
    <w:div w:id="211250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einz.schoibl@helixaustria.com" TargetMode="External"/><Relationship Id="rId18" Type="http://schemas.openxmlformats.org/officeDocument/2006/relationships/chart" Target="charts/chart4.xml"/><Relationship Id="rId26" Type="http://schemas.openxmlformats.org/officeDocument/2006/relationships/hyperlink" Target="http://www.imz.at" TargetMode="External"/><Relationship Id="rId39" Type="http://schemas.openxmlformats.org/officeDocument/2006/relationships/chart" Target="charts/chart17.xml"/><Relationship Id="rId21" Type="http://schemas.openxmlformats.org/officeDocument/2006/relationships/footer" Target="footer1.xml"/><Relationship Id="rId34" Type="http://schemas.openxmlformats.org/officeDocument/2006/relationships/diagramColors" Target="diagrams/colors1.xml"/><Relationship Id="rId42" Type="http://schemas.openxmlformats.org/officeDocument/2006/relationships/chart" Target="charts/chart20.xml"/><Relationship Id="rId47" Type="http://schemas.openxmlformats.org/officeDocument/2006/relationships/chart" Target="charts/chart25.xml"/><Relationship Id="rId50" Type="http://schemas.openxmlformats.org/officeDocument/2006/relationships/chart" Target="charts/chart28.xml"/><Relationship Id="rId55" Type="http://schemas.openxmlformats.org/officeDocument/2006/relationships/chart" Target="charts/chart33.xml"/><Relationship Id="rId63" Type="http://schemas.openxmlformats.org/officeDocument/2006/relationships/chart" Target="charts/chart41.xml"/><Relationship Id="rId68" Type="http://schemas.openxmlformats.org/officeDocument/2006/relationships/diagramColors" Target="diagrams/colors2.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integrationsfonds.at/wissen/zahlen_und_fakten_2009/soziooekonomische_situation/wohnsituation/" TargetMode="External"/><Relationship Id="rId2" Type="http://schemas.openxmlformats.org/officeDocument/2006/relationships/numbering" Target="numbering.xml"/><Relationship Id="rId16" Type="http://schemas.openxmlformats.org/officeDocument/2006/relationships/chart" Target="charts/chart2.xml"/><Relationship Id="rId29" Type="http://schemas.openxmlformats.org/officeDocument/2006/relationships/chart" Target="charts/chart12.xml"/><Relationship Id="rId11" Type="http://schemas.openxmlformats.org/officeDocument/2006/relationships/hyperlink" Target="mailto:office@volkshilfe.at" TargetMode="External"/><Relationship Id="rId24" Type="http://schemas.openxmlformats.org/officeDocument/2006/relationships/chart" Target="charts/chart8.xml"/><Relationship Id="rId32" Type="http://schemas.openxmlformats.org/officeDocument/2006/relationships/diagramLayout" Target="diagrams/layout1.xml"/><Relationship Id="rId37" Type="http://schemas.openxmlformats.org/officeDocument/2006/relationships/chart" Target="charts/chart15.xml"/><Relationship Id="rId40" Type="http://schemas.openxmlformats.org/officeDocument/2006/relationships/chart" Target="charts/chart18.xml"/><Relationship Id="rId45" Type="http://schemas.openxmlformats.org/officeDocument/2006/relationships/chart" Target="charts/chart23.xml"/><Relationship Id="rId53" Type="http://schemas.openxmlformats.org/officeDocument/2006/relationships/chart" Target="charts/chart31.xml"/><Relationship Id="rId58" Type="http://schemas.openxmlformats.org/officeDocument/2006/relationships/chart" Target="charts/chart36.xml"/><Relationship Id="rId66" Type="http://schemas.openxmlformats.org/officeDocument/2006/relationships/diagramLayout" Target="diagrams/layout2.xml"/><Relationship Id="rId74" Type="http://schemas.openxmlformats.org/officeDocument/2006/relationships/hyperlink" Target="http://www.wien.gv.at/wohnen/wienerwohnen/superfoerderung.html"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7.xml"/><Relationship Id="rId28" Type="http://schemas.openxmlformats.org/officeDocument/2006/relationships/chart" Target="charts/chart11.xml"/><Relationship Id="rId36" Type="http://schemas.openxmlformats.org/officeDocument/2006/relationships/chart" Target="charts/chart14.xml"/><Relationship Id="rId49" Type="http://schemas.openxmlformats.org/officeDocument/2006/relationships/chart" Target="charts/chart27.xml"/><Relationship Id="rId57" Type="http://schemas.openxmlformats.org/officeDocument/2006/relationships/chart" Target="charts/chart35.xml"/><Relationship Id="rId61" Type="http://schemas.openxmlformats.org/officeDocument/2006/relationships/chart" Target="charts/chart39.xml"/><Relationship Id="rId10" Type="http://schemas.openxmlformats.org/officeDocument/2006/relationships/image" Target="media/image3.png"/><Relationship Id="rId19" Type="http://schemas.openxmlformats.org/officeDocument/2006/relationships/chart" Target="charts/chart5.xml"/><Relationship Id="rId31" Type="http://schemas.openxmlformats.org/officeDocument/2006/relationships/diagramData" Target="diagrams/data1.xml"/><Relationship Id="rId44" Type="http://schemas.openxmlformats.org/officeDocument/2006/relationships/chart" Target="charts/chart22.xml"/><Relationship Id="rId52" Type="http://schemas.openxmlformats.org/officeDocument/2006/relationships/chart" Target="charts/chart30.xml"/><Relationship Id="rId60" Type="http://schemas.openxmlformats.org/officeDocument/2006/relationships/chart" Target="charts/chart38.xml"/><Relationship Id="rId65" Type="http://schemas.openxmlformats.org/officeDocument/2006/relationships/diagramData" Target="diagrams/data2.xml"/><Relationship Id="rId73" Type="http://schemas.openxmlformats.org/officeDocument/2006/relationships/hyperlink" Target="http://www.statistik.at/web_de/dynamic/services/publikationen/2/publdetail?id=2&amp;listid=2&amp;detail=57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lpenland.ag/Wohnassistent" TargetMode="External"/><Relationship Id="rId22" Type="http://schemas.openxmlformats.org/officeDocument/2006/relationships/footer" Target="footer2.xml"/><Relationship Id="rId27" Type="http://schemas.openxmlformats.org/officeDocument/2006/relationships/chart" Target="charts/chart10.xml"/><Relationship Id="rId30" Type="http://schemas.openxmlformats.org/officeDocument/2006/relationships/chart" Target="charts/chart13.xml"/><Relationship Id="rId35" Type="http://schemas.microsoft.com/office/2007/relationships/diagramDrawing" Target="diagrams/drawing1.xml"/><Relationship Id="rId43" Type="http://schemas.openxmlformats.org/officeDocument/2006/relationships/chart" Target="charts/chart21.xml"/><Relationship Id="rId48" Type="http://schemas.openxmlformats.org/officeDocument/2006/relationships/chart" Target="charts/chart26.xml"/><Relationship Id="rId56" Type="http://schemas.openxmlformats.org/officeDocument/2006/relationships/chart" Target="charts/chart34.xml"/><Relationship Id="rId64" Type="http://schemas.openxmlformats.org/officeDocument/2006/relationships/chart" Target="charts/chart42.xml"/><Relationship Id="rId69" Type="http://schemas.microsoft.com/office/2007/relationships/diagramDrawing" Target="diagrams/drawing2.xm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chart" Target="charts/chart29.xml"/><Relationship Id="rId72" Type="http://schemas.openxmlformats.org/officeDocument/2006/relationships/hyperlink" Target="http://www.imz-tirol.at/studien.html" TargetMode="External"/><Relationship Id="rId3" Type="http://schemas.openxmlformats.org/officeDocument/2006/relationships/styles" Target="styles.xml"/><Relationship Id="rId12" Type="http://schemas.openxmlformats.org/officeDocument/2006/relationships/hyperlink" Target="mailto:christian.perl@volkshilfe.at" TargetMode="External"/><Relationship Id="rId17" Type="http://schemas.openxmlformats.org/officeDocument/2006/relationships/chart" Target="charts/chart3.xml"/><Relationship Id="rId25" Type="http://schemas.openxmlformats.org/officeDocument/2006/relationships/chart" Target="charts/chart9.xml"/><Relationship Id="rId33" Type="http://schemas.openxmlformats.org/officeDocument/2006/relationships/diagramQuickStyle" Target="diagrams/quickStyle1.xml"/><Relationship Id="rId38" Type="http://schemas.openxmlformats.org/officeDocument/2006/relationships/chart" Target="charts/chart16.xml"/><Relationship Id="rId46" Type="http://schemas.openxmlformats.org/officeDocument/2006/relationships/chart" Target="charts/chart24.xml"/><Relationship Id="rId59" Type="http://schemas.openxmlformats.org/officeDocument/2006/relationships/chart" Target="charts/chart37.xml"/><Relationship Id="rId67" Type="http://schemas.openxmlformats.org/officeDocument/2006/relationships/diagramQuickStyle" Target="diagrams/quickStyle2.xml"/><Relationship Id="rId20" Type="http://schemas.openxmlformats.org/officeDocument/2006/relationships/chart" Target="charts/chart6.xml"/><Relationship Id="rId41" Type="http://schemas.openxmlformats.org/officeDocument/2006/relationships/chart" Target="charts/chart19.xml"/><Relationship Id="rId54" Type="http://schemas.openxmlformats.org/officeDocument/2006/relationships/chart" Target="charts/chart32.xml"/><Relationship Id="rId62" Type="http://schemas.openxmlformats.org/officeDocument/2006/relationships/chart" Target="charts/chart40.xml"/><Relationship Id="rId70" Type="http://schemas.openxmlformats.org/officeDocument/2006/relationships/hyperlink" Target="http://www.gleichbehandlungsanwaltschaft.at/DocView.axd?CobId=42585" TargetMode="External"/><Relationship Id="rId75" Type="http://schemas.openxmlformats.org/officeDocument/2006/relationships/hyperlink" Target="http://www.imz-tirol.at/studien.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www.ifs.at/wohnen.html" TargetMode="External"/><Relationship Id="rId3" Type="http://schemas.openxmlformats.org/officeDocument/2006/relationships/hyperlink" Target="http://www.wohnassistenz-noe.at" TargetMode="External"/><Relationship Id="rId7" Type="http://schemas.openxmlformats.org/officeDocument/2006/relationships/hyperlink" Target="http://www.wohnpartner-wien.at/home/wohnpartner-angebot" TargetMode="External"/><Relationship Id="rId2" Type="http://schemas.openxmlformats.org/officeDocument/2006/relationships/hyperlink" Target="http://www.ifs.at/wohnen.html" TargetMode="External"/><Relationship Id="rId1" Type="http://schemas.openxmlformats.org/officeDocument/2006/relationships/hyperlink" Target="http://www.verein-wohnplattform.at/index2.htm" TargetMode="External"/><Relationship Id="rId6" Type="http://schemas.openxmlformats.org/officeDocument/2006/relationships/hyperlink" Target="http://www.wels-aktuell.at/userupload/editorupload/files/files/Konzepte/180510_Otto_Loewi_Strasse.pdf" TargetMode="External"/><Relationship Id="rId5" Type="http://schemas.openxmlformats.org/officeDocument/2006/relationships/hyperlink" Target="http://www.wien.gv.at/wohnen/wienerwohnen/superfoerderung.html" TargetMode="External"/><Relationship Id="rId10" Type="http://schemas.openxmlformats.org/officeDocument/2006/relationships/hyperlink" Target="http://www.land-oberoesterreich.gv.at/cps/rde/xchg/ooe/hs.xsl/26903_DEU_HTML.htm" TargetMode="External"/><Relationship Id="rId4" Type="http://schemas.openxmlformats.org/officeDocument/2006/relationships/hyperlink" Target="http://www.wien.gv.at/bauen-wohnen/sozial/index.html" TargetMode="External"/><Relationship Id="rId9" Type="http://schemas.openxmlformats.org/officeDocument/2006/relationships/hyperlink" Target="http://www.okay-line.a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kumente%20und%20Einstellungen\Heinz\Eigene%20Dateien\BAWO\equality%20in%20housing\SurveySummary_110225.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kumente%20und%20Einstellungen\heinz\Eigene%20Dateien\bawo%202011\sw%20studie\Mappe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kumente%20und%20Einstellungen\heinz\Eigene%20Dateien\bawo%202011\sw%20studie\Mappe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kumente%20und%20Einstellungen\heinz\Eigene%20Dateien\bawo%202011\sw%20studie\Mappe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kumente%20und%20Einstellungen\heinz\Eigene%20Dateien\bawo%202011\sw%20studie\Mappe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kumente%20und%20Einstellungen\heinz\Eigene%20Dateien\bawo%202011\sw%20studie\Mappe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kumente%20und%20Einstellungen\heinz\Eigene%20Dateien\bawo%202011\sw%20studie\Mappe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kumente%20und%20Einstellungen\heinz\Eigene%20Dateien\bawo%202011\sw%20studie\Mappe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kumente%20und%20Einstellungen\heinz\Eigene%20Dateien\bawo%202011\sw%20studie\Mappe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kumente%20und%20Einstellungen\heinz\Eigene%20Dateien\bawo%202011\sw%20studie\Mappe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Dokumente%20und%20Einstellungen\heinz\Eigene%20Dateien\bawo%202011\sw%20studie\Mappe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kumente%20und%20Einstellungen\Heinz\Lokale%20Einstellungen\Temp\Rar$DI01.468\SurveySummary_03092011.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Dokumente%20und%20Einstellungen\Heinz\Eigene%20Dateien\BAWO\equality%20in%20housing\sw%20studie\SurveySummary_total_110225.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Dokumente%20und%20Einstellungen\heinz\Eigene%20Dateien\bawo%202011\sw%20studie\Mappe1.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Dokumente%20und%20Einstellungen\heinz\Eigene%20Dateien\bawo%202011\sw%20studie\Mappe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Dokumente%20und%20Einstellungen\heinz\Eigene%20Dateien\bawo%202011\sw%20studie\Mappe1.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Dokumente%20und%20Einstellungen\heinz\Eigene%20Dateien\bawo%202011\sw%20studie\Mappe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Dokumente%20und%20Einstellungen\heinz\Eigene%20Dateien\bawo%202011\sw%20studie\Mappe1.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Dokumente%20und%20Einstellungen\heinz\Eigene%20Dateien\bawo%202011\sw%20studie\Mappe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Dokumente%20und%20Einstellungen\heinz\Eigene%20Dateien\bawo%202011\sw%20studie\Mappe1.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Dokumente%20und%20Einstellungen\Heinz\Eigene%20Dateien\BAWO\equality%20in%20housing\sw%20studie\SurveySummary_total_110225.xls"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Dokumente%20und%20Einstellungen\heinz\Eigene%20Dateien\bawo%202011\sw%20studie\Mappe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kumente%20und%20Einstellungen\Heinz\Lokale%20Einstellungen\Temp\Rar$DI01.468\SurveySummary_03092011.xls"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Dokumente%20und%20Einstellungen\heinz\Eigene%20Dateien\bawo%202011\sw%20studie\Mappe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Dokumente%20und%20Einstellungen\heinz\Eigene%20Dateien\bawo%202011\sw%20studie\Mappe1.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Dokumente%20und%20Einstellungen\heinz\Eigene%20Dateien\bawo%202011\sw%20studie\Mappe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Dokumente%20und%20Einstellungen\heinz\Eigene%20Dateien\bawo%202011\sw%20studie\Mappe1.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Dokumente%20und%20Einstellungen\heinz\Eigene%20Dateien\bawo%202011\sw%20studie\Mappe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Dokumente%20und%20Einstellungen\heinz\Eigene%20Dateien\bawo%202011\sw%20studie\Mappe1.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Dokumente%20und%20Einstellungen\heinz\Eigene%20Dateien\bawo%202011\sw%20studie\Mappe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Dokumente%20und%20Einstellungen\heinz\Eigene%20Dateien\bawo%202011\sw%20studie\Mappe1.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Dokumente%20und%20Einstellungen\heinz\Eigene%20Dateien\bawo%202011\sw%20studie\Mappe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Dokumente%20und%20Einstellungen\heinz\Eigene%20Dateien\bawo%202011\sw%20studie\Mappe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Dokumente%20und%20Einstellungen\heinz\Eigene%20Dateien\bawo%202011\sw%20studie\Mappe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Dokumente%20und%20Einstellungen\heinz\Eigene%20Dateien\bawo%202011\sw%20studie\Mappe1.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Dokumente%20und%20Einstellungen\heinz\Eigene%20Dateien\bawo%202011\sw%20studie\Mappe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kumente%20und%20Einstellungen\Heinz\Lokale%20Einstellungen\Temp\Rar$DI01.468\SurveySummary_0309201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kumente%20und%20Einstellungen\Heinz\Lokale%20Einstellungen\Temp\Rar$DI01.468\SurveySummary_0309201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kumente%20und%20Einstellungen\Heinz\Eigene%20Dateien\BAWO\equality%20in%20housing\sw%20studie\SurveySummary_03092011.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kumente%20und%20Einstellungen\Heinz\Eigene%20Dateien\BAWO\equality%20in%20housing\sw%20studie\SurveySummary_03092011.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kumente%20und%20Einstellungen\heinz\Eigene%20Dateien\bawo%202011\sw%20studie\Mappe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e-AT"/>
  <c:style val="1"/>
  <c:chart>
    <c:view3D>
      <c:rotX val="30"/>
      <c:perspective val="30"/>
    </c:view3D>
    <c:plotArea>
      <c:layout/>
      <c:pie3DChart>
        <c:varyColors val="1"/>
        <c:ser>
          <c:idx val="0"/>
          <c:order val="0"/>
          <c:dLbls>
            <c:dLbl>
              <c:idx val="0"/>
              <c:layout>
                <c:manualLayout>
                  <c:x val="9.7095363079618725E-3"/>
                  <c:y val="-5.8413531641879771E-3"/>
                </c:manualLayout>
              </c:layout>
              <c:dLblPos val="bestFit"/>
              <c:showVal val="1"/>
            </c:dLbl>
            <c:dLbl>
              <c:idx val="1"/>
              <c:layout>
                <c:manualLayout>
                  <c:x val="1.3505686789151362E-2"/>
                  <c:y val="-0.12910141440653253"/>
                </c:manualLayout>
              </c:layout>
              <c:dLblPos val="bestFit"/>
              <c:showVal val="1"/>
            </c:dLbl>
            <c:dLbl>
              <c:idx val="2"/>
              <c:layout>
                <c:manualLayout>
                  <c:x val="7.7190835520559928E-2"/>
                  <c:y val="-2.3232720909886265E-2"/>
                </c:manualLayout>
              </c:layout>
              <c:dLblPos val="bestFit"/>
              <c:showVal val="1"/>
            </c:dLbl>
            <c:dLbl>
              <c:idx val="3"/>
              <c:layout>
                <c:manualLayout>
                  <c:x val="2.9082677165355356E-2"/>
                  <c:y val="-0.19448235637212793"/>
                </c:manualLayout>
              </c:layout>
              <c:dLblPos val="bestFit"/>
              <c:showVal val="1"/>
            </c:dLbl>
            <c:showVal val="1"/>
            <c:showLeaderLines val="1"/>
          </c:dLbls>
          <c:cat>
            <c:strRef>
              <c:f>'Question 1'!$B$16:$B$19</c:f>
              <c:strCache>
                <c:ptCount val="4"/>
                <c:pt idx="0">
                  <c:v>kommunales Wohnungsamt</c:v>
                </c:pt>
                <c:pt idx="1">
                  <c:v>gemeinnütziger Bauträger</c:v>
                </c:pt>
                <c:pt idx="2">
                  <c:v>private Wohnungsverwaltung</c:v>
                </c:pt>
                <c:pt idx="3">
                  <c:v>Beratungsstelle</c:v>
                </c:pt>
              </c:strCache>
            </c:strRef>
          </c:cat>
          <c:val>
            <c:numRef>
              <c:f>'Question 1'!$C$16:$C$19</c:f>
              <c:numCache>
                <c:formatCode>General</c:formatCode>
                <c:ptCount val="4"/>
                <c:pt idx="0">
                  <c:v>72</c:v>
                </c:pt>
                <c:pt idx="1">
                  <c:v>53</c:v>
                </c:pt>
                <c:pt idx="2">
                  <c:v>28</c:v>
                </c:pt>
                <c:pt idx="3">
                  <c:v>157</c:v>
                </c:pt>
              </c:numCache>
            </c:numRef>
          </c:val>
        </c:ser>
      </c:pie3DChart>
    </c:plotArea>
    <c:legend>
      <c:legendPos val="b"/>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de-AT"/>
  <c:style val="5"/>
  <c:chart>
    <c:view3D>
      <c:rAngAx val="1"/>
    </c:view3D>
    <c:plotArea>
      <c:layout>
        <c:manualLayout>
          <c:layoutTarget val="inner"/>
          <c:xMode val="edge"/>
          <c:yMode val="edge"/>
          <c:x val="0.45651309890611474"/>
          <c:y val="4.6296296296296523E-2"/>
          <c:w val="0.51532433445820003"/>
          <c:h val="0.79869969378829808"/>
        </c:manualLayout>
      </c:layout>
      <c:bar3DChart>
        <c:barDir val="bar"/>
        <c:grouping val="clustered"/>
        <c:ser>
          <c:idx val="0"/>
          <c:order val="0"/>
          <c:dLbls>
            <c:showVal val="1"/>
          </c:dLbls>
          <c:cat>
            <c:strRef>
              <c:f>Tabelle1!$G$56:$G$62</c:f>
              <c:strCache>
                <c:ptCount val="7"/>
                <c:pt idx="0">
                  <c:v>Dringlichkeit der Wohnversorgung</c:v>
                </c:pt>
                <c:pt idx="1">
                  <c:v>Aufenthaltsdauer vor Ort / in der Region</c:v>
                </c:pt>
                <c:pt idx="2">
                  <c:v>AlleinerzieherInnenhaushalt</c:v>
                </c:pt>
                <c:pt idx="3">
                  <c:v>Anzahl von minderjährigen Kindern</c:v>
                </c:pt>
                <c:pt idx="4">
                  <c:v>Behinderung von Haushaltsmitgliedern</c:v>
                </c:pt>
                <c:pt idx="5">
                  <c:v>Pflegebedürftigkeit von Haushaltsmitgliedern</c:v>
                </c:pt>
                <c:pt idx="6">
                  <c:v>Art des Beschäftigungsverhältnisses</c:v>
                </c:pt>
              </c:strCache>
            </c:strRef>
          </c:cat>
          <c:val>
            <c:numRef>
              <c:f>Tabelle1!$H$56:$H$62</c:f>
              <c:numCache>
                <c:formatCode>General</c:formatCode>
                <c:ptCount val="7"/>
                <c:pt idx="0">
                  <c:v>140</c:v>
                </c:pt>
                <c:pt idx="1">
                  <c:v>112</c:v>
                </c:pt>
                <c:pt idx="2">
                  <c:v>110</c:v>
                </c:pt>
                <c:pt idx="3">
                  <c:v>108</c:v>
                </c:pt>
                <c:pt idx="4">
                  <c:v>100</c:v>
                </c:pt>
                <c:pt idx="5">
                  <c:v>88</c:v>
                </c:pt>
                <c:pt idx="6">
                  <c:v>65</c:v>
                </c:pt>
              </c:numCache>
            </c:numRef>
          </c:val>
        </c:ser>
        <c:shape val="cylinder"/>
        <c:axId val="152703360"/>
        <c:axId val="152704896"/>
        <c:axId val="0"/>
      </c:bar3DChart>
      <c:catAx>
        <c:axId val="152703360"/>
        <c:scaling>
          <c:orientation val="minMax"/>
        </c:scaling>
        <c:axPos val="l"/>
        <c:tickLblPos val="nextTo"/>
        <c:crossAx val="152704896"/>
        <c:crosses val="autoZero"/>
        <c:auto val="1"/>
        <c:lblAlgn val="ctr"/>
        <c:lblOffset val="100"/>
      </c:catAx>
      <c:valAx>
        <c:axId val="152704896"/>
        <c:scaling>
          <c:orientation val="minMax"/>
        </c:scaling>
        <c:axPos val="b"/>
        <c:majorGridlines/>
        <c:numFmt formatCode="General" sourceLinked="1"/>
        <c:tickLblPos val="nextTo"/>
        <c:crossAx val="152703360"/>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de-AT"/>
  <c:chart>
    <c:view3D>
      <c:rAngAx val="1"/>
    </c:view3D>
    <c:plotArea>
      <c:layout/>
      <c:bar3DChart>
        <c:barDir val="col"/>
        <c:grouping val="clustered"/>
        <c:ser>
          <c:idx val="0"/>
          <c:order val="0"/>
          <c:tx>
            <c:strRef>
              <c:f>Tabelle1!$A$70</c:f>
              <c:strCache>
                <c:ptCount val="1"/>
                <c:pt idx="0">
                  <c:v>Dringlichkeit der Wohnversorgung</c:v>
                </c:pt>
              </c:strCache>
            </c:strRef>
          </c:tx>
          <c:cat>
            <c:strRef>
              <c:f>Tabelle1!$B$69:$E$69</c:f>
              <c:strCache>
                <c:ptCount val="4"/>
                <c:pt idx="0">
                  <c:v>kommunale Wohnungsämter</c:v>
                </c:pt>
                <c:pt idx="1">
                  <c:v>gemeinnützige Bauträger</c:v>
                </c:pt>
                <c:pt idx="2">
                  <c:v>private Bauträger</c:v>
                </c:pt>
                <c:pt idx="3">
                  <c:v>Beratungseinrichtungen</c:v>
                </c:pt>
              </c:strCache>
            </c:strRef>
          </c:cat>
          <c:val>
            <c:numRef>
              <c:f>Tabelle1!$B$70:$E$70</c:f>
              <c:numCache>
                <c:formatCode>0%</c:formatCode>
                <c:ptCount val="4"/>
                <c:pt idx="0">
                  <c:v>0.93</c:v>
                </c:pt>
                <c:pt idx="1">
                  <c:v>0.83000000000000063</c:v>
                </c:pt>
                <c:pt idx="2">
                  <c:v>0.74000000000000365</c:v>
                </c:pt>
                <c:pt idx="3">
                  <c:v>0.81</c:v>
                </c:pt>
              </c:numCache>
            </c:numRef>
          </c:val>
        </c:ser>
        <c:ser>
          <c:idx val="1"/>
          <c:order val="1"/>
          <c:tx>
            <c:strRef>
              <c:f>Tabelle1!$A$71</c:f>
              <c:strCache>
                <c:ptCount val="1"/>
                <c:pt idx="0">
                  <c:v>Dauer des regulären Aufenthalts vor Ort / in der Region</c:v>
                </c:pt>
              </c:strCache>
            </c:strRef>
          </c:tx>
          <c:cat>
            <c:strRef>
              <c:f>Tabelle1!$B$69:$E$69</c:f>
              <c:strCache>
                <c:ptCount val="4"/>
                <c:pt idx="0">
                  <c:v>kommunale Wohnungsämter</c:v>
                </c:pt>
                <c:pt idx="1">
                  <c:v>gemeinnützige Bauträger</c:v>
                </c:pt>
                <c:pt idx="2">
                  <c:v>private Bauträger</c:v>
                </c:pt>
                <c:pt idx="3">
                  <c:v>Beratungseinrichtungen</c:v>
                </c:pt>
              </c:strCache>
            </c:strRef>
          </c:cat>
          <c:val>
            <c:numRef>
              <c:f>Tabelle1!$B$71:$E$71</c:f>
              <c:numCache>
                <c:formatCode>0%</c:formatCode>
                <c:ptCount val="4"/>
                <c:pt idx="0">
                  <c:v>0.76000000000001311</c:v>
                </c:pt>
                <c:pt idx="1">
                  <c:v>0.51</c:v>
                </c:pt>
                <c:pt idx="2">
                  <c:v>0.69000000000000061</c:v>
                </c:pt>
                <c:pt idx="3">
                  <c:v>0.68</c:v>
                </c:pt>
              </c:numCache>
            </c:numRef>
          </c:val>
        </c:ser>
        <c:ser>
          <c:idx val="2"/>
          <c:order val="2"/>
          <c:tx>
            <c:strRef>
              <c:f>Tabelle1!$A$72</c:f>
              <c:strCache>
                <c:ptCount val="1"/>
                <c:pt idx="0">
                  <c:v>AlleinerzieherInnenhaushalt</c:v>
                </c:pt>
              </c:strCache>
            </c:strRef>
          </c:tx>
          <c:cat>
            <c:strRef>
              <c:f>Tabelle1!$B$69:$E$69</c:f>
              <c:strCache>
                <c:ptCount val="4"/>
                <c:pt idx="0">
                  <c:v>kommunale Wohnungsämter</c:v>
                </c:pt>
                <c:pt idx="1">
                  <c:v>gemeinnützige Bauträger</c:v>
                </c:pt>
                <c:pt idx="2">
                  <c:v>private Bauträger</c:v>
                </c:pt>
                <c:pt idx="3">
                  <c:v>Beratungseinrichtungen</c:v>
                </c:pt>
              </c:strCache>
            </c:strRef>
          </c:cat>
          <c:val>
            <c:numRef>
              <c:f>Tabelle1!$B$72:$E$72</c:f>
              <c:numCache>
                <c:formatCode>0%</c:formatCode>
                <c:ptCount val="4"/>
                <c:pt idx="0">
                  <c:v>0.87000000000000965</c:v>
                </c:pt>
                <c:pt idx="1">
                  <c:v>0.71000000000000063</c:v>
                </c:pt>
                <c:pt idx="2">
                  <c:v>0.58000000000000007</c:v>
                </c:pt>
                <c:pt idx="3">
                  <c:v>0.60000000000000064</c:v>
                </c:pt>
              </c:numCache>
            </c:numRef>
          </c:val>
        </c:ser>
        <c:ser>
          <c:idx val="3"/>
          <c:order val="3"/>
          <c:tx>
            <c:strRef>
              <c:f>Tabelle1!$A$73</c:f>
              <c:strCache>
                <c:ptCount val="1"/>
                <c:pt idx="0">
                  <c:v>Anzahl von minderjährigen Kindern</c:v>
                </c:pt>
              </c:strCache>
            </c:strRef>
          </c:tx>
          <c:cat>
            <c:strRef>
              <c:f>Tabelle1!$B$69:$E$69</c:f>
              <c:strCache>
                <c:ptCount val="4"/>
                <c:pt idx="0">
                  <c:v>kommunale Wohnungsämter</c:v>
                </c:pt>
                <c:pt idx="1">
                  <c:v>gemeinnützige Bauträger</c:v>
                </c:pt>
                <c:pt idx="2">
                  <c:v>private Bauträger</c:v>
                </c:pt>
                <c:pt idx="3">
                  <c:v>Beratungseinrichtungen</c:v>
                </c:pt>
              </c:strCache>
            </c:strRef>
          </c:cat>
          <c:val>
            <c:numRef>
              <c:f>Tabelle1!$B$73:$E$73</c:f>
              <c:numCache>
                <c:formatCode>0%</c:formatCode>
                <c:ptCount val="4"/>
                <c:pt idx="0">
                  <c:v>0.84000000000000064</c:v>
                </c:pt>
                <c:pt idx="1">
                  <c:v>0.63000000000001244</c:v>
                </c:pt>
                <c:pt idx="2">
                  <c:v>0.47000000000000008</c:v>
                </c:pt>
                <c:pt idx="3">
                  <c:v>0.60000000000000064</c:v>
                </c:pt>
              </c:numCache>
            </c:numRef>
          </c:val>
        </c:ser>
        <c:ser>
          <c:idx val="4"/>
          <c:order val="4"/>
          <c:tx>
            <c:strRef>
              <c:f>Tabelle1!$A$74</c:f>
              <c:strCache>
                <c:ptCount val="1"/>
                <c:pt idx="0">
                  <c:v>Behinderung von Haushaltsmitgliedern</c:v>
                </c:pt>
              </c:strCache>
            </c:strRef>
          </c:tx>
          <c:cat>
            <c:strRef>
              <c:f>Tabelle1!$B$69:$E$69</c:f>
              <c:strCache>
                <c:ptCount val="4"/>
                <c:pt idx="0">
                  <c:v>kommunale Wohnungsämter</c:v>
                </c:pt>
                <c:pt idx="1">
                  <c:v>gemeinnützige Bauträger</c:v>
                </c:pt>
                <c:pt idx="2">
                  <c:v>private Bauträger</c:v>
                </c:pt>
                <c:pt idx="3">
                  <c:v>Beratungseinrichtungen</c:v>
                </c:pt>
              </c:strCache>
            </c:strRef>
          </c:cat>
          <c:val>
            <c:numRef>
              <c:f>Tabelle1!$B$74:$E$74</c:f>
              <c:numCache>
                <c:formatCode>0%</c:formatCode>
                <c:ptCount val="4"/>
                <c:pt idx="0">
                  <c:v>0.8</c:v>
                </c:pt>
                <c:pt idx="1">
                  <c:v>0.77000000000001323</c:v>
                </c:pt>
                <c:pt idx="2">
                  <c:v>0.42000000000000032</c:v>
                </c:pt>
                <c:pt idx="3">
                  <c:v>0.54</c:v>
                </c:pt>
              </c:numCache>
            </c:numRef>
          </c:val>
        </c:ser>
        <c:ser>
          <c:idx val="5"/>
          <c:order val="5"/>
          <c:tx>
            <c:strRef>
              <c:f>Tabelle1!$A$75</c:f>
              <c:strCache>
                <c:ptCount val="1"/>
                <c:pt idx="0">
                  <c:v>Pflegebedürftigkeit von Haushaltsmitgliedern</c:v>
                </c:pt>
              </c:strCache>
            </c:strRef>
          </c:tx>
          <c:cat>
            <c:strRef>
              <c:f>Tabelle1!$B$69:$E$69</c:f>
              <c:strCache>
                <c:ptCount val="4"/>
                <c:pt idx="0">
                  <c:v>kommunale Wohnungsämter</c:v>
                </c:pt>
                <c:pt idx="1">
                  <c:v>gemeinnützige Bauträger</c:v>
                </c:pt>
                <c:pt idx="2">
                  <c:v>private Bauträger</c:v>
                </c:pt>
                <c:pt idx="3">
                  <c:v>Beratungseinrichtungen</c:v>
                </c:pt>
              </c:strCache>
            </c:strRef>
          </c:cat>
          <c:val>
            <c:numRef>
              <c:f>Tabelle1!$B$75:$E$75</c:f>
              <c:numCache>
                <c:formatCode>0%</c:formatCode>
                <c:ptCount val="4"/>
                <c:pt idx="0">
                  <c:v>0.73000000000000065</c:v>
                </c:pt>
                <c:pt idx="1">
                  <c:v>0.6600000000000148</c:v>
                </c:pt>
                <c:pt idx="2">
                  <c:v>0.32000000000000645</c:v>
                </c:pt>
                <c:pt idx="3">
                  <c:v>0.43000000000000038</c:v>
                </c:pt>
              </c:numCache>
            </c:numRef>
          </c:val>
        </c:ser>
        <c:ser>
          <c:idx val="6"/>
          <c:order val="6"/>
          <c:tx>
            <c:strRef>
              <c:f>Tabelle1!$A$76</c:f>
              <c:strCache>
                <c:ptCount val="1"/>
                <c:pt idx="0">
                  <c:v>Beschäftigungsverhältnis</c:v>
                </c:pt>
              </c:strCache>
            </c:strRef>
          </c:tx>
          <c:cat>
            <c:strRef>
              <c:f>Tabelle1!$B$69:$E$69</c:f>
              <c:strCache>
                <c:ptCount val="4"/>
                <c:pt idx="0">
                  <c:v>kommunale Wohnungsämter</c:v>
                </c:pt>
                <c:pt idx="1">
                  <c:v>gemeinnützige Bauträger</c:v>
                </c:pt>
                <c:pt idx="2">
                  <c:v>private Bauträger</c:v>
                </c:pt>
                <c:pt idx="3">
                  <c:v>Beratungseinrichtungen</c:v>
                </c:pt>
              </c:strCache>
            </c:strRef>
          </c:cat>
          <c:val>
            <c:numRef>
              <c:f>Tabelle1!$B$76:$E$76</c:f>
              <c:numCache>
                <c:formatCode>0%</c:formatCode>
                <c:ptCount val="4"/>
                <c:pt idx="0">
                  <c:v>0.4</c:v>
                </c:pt>
                <c:pt idx="1">
                  <c:v>0.4</c:v>
                </c:pt>
                <c:pt idx="2">
                  <c:v>0.47000000000000008</c:v>
                </c:pt>
                <c:pt idx="3">
                  <c:v>0.38000000000000611</c:v>
                </c:pt>
              </c:numCache>
            </c:numRef>
          </c:val>
        </c:ser>
        <c:shape val="cylinder"/>
        <c:axId val="152741760"/>
        <c:axId val="152743296"/>
        <c:axId val="0"/>
      </c:bar3DChart>
      <c:catAx>
        <c:axId val="152741760"/>
        <c:scaling>
          <c:orientation val="minMax"/>
        </c:scaling>
        <c:axPos val="b"/>
        <c:tickLblPos val="nextTo"/>
        <c:crossAx val="152743296"/>
        <c:crosses val="autoZero"/>
        <c:auto val="1"/>
        <c:lblAlgn val="ctr"/>
        <c:lblOffset val="100"/>
      </c:catAx>
      <c:valAx>
        <c:axId val="152743296"/>
        <c:scaling>
          <c:orientation val="minMax"/>
        </c:scaling>
        <c:axPos val="l"/>
        <c:majorGridlines/>
        <c:numFmt formatCode="0%" sourceLinked="1"/>
        <c:tickLblPos val="nextTo"/>
        <c:crossAx val="152741760"/>
        <c:crosses val="autoZero"/>
        <c:crossBetween val="between"/>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de-AT"/>
  <c:style val="5"/>
  <c:chart>
    <c:view3D>
      <c:rAngAx val="1"/>
    </c:view3D>
    <c:plotArea>
      <c:layout/>
      <c:bar3DChart>
        <c:barDir val="bar"/>
        <c:grouping val="stacked"/>
        <c:ser>
          <c:idx val="0"/>
          <c:order val="0"/>
          <c:tx>
            <c:strRef>
              <c:f>Tabelle1!$B$91</c:f>
              <c:strCache>
                <c:ptCount val="1"/>
                <c:pt idx="0">
                  <c:v>trifft zu</c:v>
                </c:pt>
              </c:strCache>
            </c:strRef>
          </c:tx>
          <c:dLbls>
            <c:showVal val="1"/>
          </c:dLbls>
          <c:cat>
            <c:strRef>
              <c:f>Tabelle1!$A$92:$A$97</c:f>
              <c:strCache>
                <c:ptCount val="6"/>
                <c:pt idx="0">
                  <c:v>verfestigter Aufenthalt in Österreich</c:v>
                </c:pt>
                <c:pt idx="1">
                  <c:v>Dringlichkeit der Wohnversorgung</c:v>
                </c:pt>
                <c:pt idx="2">
                  <c:v>Kontinuität und Dauer der Arbeitsintegration</c:v>
                </c:pt>
                <c:pt idx="3">
                  <c:v>Kenntnis der deutschen Sprache</c:v>
                </c:pt>
                <c:pt idx="4">
                  <c:v>Anteil von Nicht-ÖsterreicherInnen in der Hausgemeinschaft</c:v>
                </c:pt>
                <c:pt idx="5">
                  <c:v>Beratungs-/Betreuungsangebote im Wohnumfeld</c:v>
                </c:pt>
              </c:strCache>
            </c:strRef>
          </c:cat>
          <c:val>
            <c:numRef>
              <c:f>Tabelle1!$B$92:$B$97</c:f>
              <c:numCache>
                <c:formatCode>0%</c:formatCode>
                <c:ptCount val="6"/>
                <c:pt idx="0">
                  <c:v>0.67000000000001514</c:v>
                </c:pt>
                <c:pt idx="1">
                  <c:v>0.67000000000001514</c:v>
                </c:pt>
                <c:pt idx="2">
                  <c:v>0.54</c:v>
                </c:pt>
                <c:pt idx="3">
                  <c:v>0.36000000000000032</c:v>
                </c:pt>
                <c:pt idx="4">
                  <c:v>0.30000000000000032</c:v>
                </c:pt>
                <c:pt idx="5">
                  <c:v>0.16</c:v>
                </c:pt>
              </c:numCache>
            </c:numRef>
          </c:val>
        </c:ser>
        <c:ser>
          <c:idx val="1"/>
          <c:order val="1"/>
          <c:tx>
            <c:strRef>
              <c:f>Tabelle1!$C$91</c:f>
              <c:strCache>
                <c:ptCount val="1"/>
                <c:pt idx="0">
                  <c:v>trifft nicht zu</c:v>
                </c:pt>
              </c:strCache>
            </c:strRef>
          </c:tx>
          <c:dLbls>
            <c:showVal val="1"/>
          </c:dLbls>
          <c:cat>
            <c:strRef>
              <c:f>Tabelle1!$A$92:$A$97</c:f>
              <c:strCache>
                <c:ptCount val="6"/>
                <c:pt idx="0">
                  <c:v>verfestigter Aufenthalt in Österreich</c:v>
                </c:pt>
                <c:pt idx="1">
                  <c:v>Dringlichkeit der Wohnversorgung</c:v>
                </c:pt>
                <c:pt idx="2">
                  <c:v>Kontinuität und Dauer der Arbeitsintegration</c:v>
                </c:pt>
                <c:pt idx="3">
                  <c:v>Kenntnis der deutschen Sprache</c:v>
                </c:pt>
                <c:pt idx="4">
                  <c:v>Anteil von Nicht-ÖsterreicherInnen in der Hausgemeinschaft</c:v>
                </c:pt>
                <c:pt idx="5">
                  <c:v>Beratungs-/Betreuungsangebote im Wohnumfeld</c:v>
                </c:pt>
              </c:strCache>
            </c:strRef>
          </c:cat>
          <c:val>
            <c:numRef>
              <c:f>Tabelle1!$C$92:$C$97</c:f>
              <c:numCache>
                <c:formatCode>0%</c:formatCode>
                <c:ptCount val="6"/>
                <c:pt idx="0">
                  <c:v>0.15000000000000024</c:v>
                </c:pt>
                <c:pt idx="1">
                  <c:v>0.18000000000000024</c:v>
                </c:pt>
                <c:pt idx="2">
                  <c:v>0.28000000000000008</c:v>
                </c:pt>
                <c:pt idx="3">
                  <c:v>0.46</c:v>
                </c:pt>
                <c:pt idx="4">
                  <c:v>0.49000000000000032</c:v>
                </c:pt>
                <c:pt idx="5">
                  <c:v>0.61000000000000065</c:v>
                </c:pt>
              </c:numCache>
            </c:numRef>
          </c:val>
        </c:ser>
        <c:ser>
          <c:idx val="2"/>
          <c:order val="2"/>
          <c:tx>
            <c:strRef>
              <c:f>Tabelle1!$D$91</c:f>
              <c:strCache>
                <c:ptCount val="1"/>
                <c:pt idx="0">
                  <c:v>weiß nicht</c:v>
                </c:pt>
              </c:strCache>
            </c:strRef>
          </c:tx>
          <c:dLbls>
            <c:showVal val="1"/>
          </c:dLbls>
          <c:cat>
            <c:strRef>
              <c:f>Tabelle1!$A$92:$A$97</c:f>
              <c:strCache>
                <c:ptCount val="6"/>
                <c:pt idx="0">
                  <c:v>verfestigter Aufenthalt in Österreich</c:v>
                </c:pt>
                <c:pt idx="1">
                  <c:v>Dringlichkeit der Wohnversorgung</c:v>
                </c:pt>
                <c:pt idx="2">
                  <c:v>Kontinuität und Dauer der Arbeitsintegration</c:v>
                </c:pt>
                <c:pt idx="3">
                  <c:v>Kenntnis der deutschen Sprache</c:v>
                </c:pt>
                <c:pt idx="4">
                  <c:v>Anteil von Nicht-ÖsterreicherInnen in der Hausgemeinschaft</c:v>
                </c:pt>
                <c:pt idx="5">
                  <c:v>Beratungs-/Betreuungsangebote im Wohnumfeld</c:v>
                </c:pt>
              </c:strCache>
            </c:strRef>
          </c:cat>
          <c:val>
            <c:numRef>
              <c:f>Tabelle1!$D$92:$D$97</c:f>
              <c:numCache>
                <c:formatCode>0%</c:formatCode>
                <c:ptCount val="6"/>
                <c:pt idx="0">
                  <c:v>0.18000000000000024</c:v>
                </c:pt>
                <c:pt idx="1">
                  <c:v>0.18000000000000024</c:v>
                </c:pt>
                <c:pt idx="2">
                  <c:v>0.18000000000000024</c:v>
                </c:pt>
                <c:pt idx="3">
                  <c:v>0.18000000000000024</c:v>
                </c:pt>
                <c:pt idx="4">
                  <c:v>0.22</c:v>
                </c:pt>
                <c:pt idx="5">
                  <c:v>0.24000000000000021</c:v>
                </c:pt>
              </c:numCache>
            </c:numRef>
          </c:val>
        </c:ser>
        <c:shape val="cylinder"/>
        <c:axId val="148794368"/>
        <c:axId val="148816640"/>
        <c:axId val="0"/>
      </c:bar3DChart>
      <c:catAx>
        <c:axId val="148794368"/>
        <c:scaling>
          <c:orientation val="minMax"/>
        </c:scaling>
        <c:axPos val="l"/>
        <c:tickLblPos val="nextTo"/>
        <c:txPr>
          <a:bodyPr/>
          <a:lstStyle/>
          <a:p>
            <a:pPr>
              <a:defRPr sz="800"/>
            </a:pPr>
            <a:endParaRPr lang="de-DE"/>
          </a:p>
        </c:txPr>
        <c:crossAx val="148816640"/>
        <c:crosses val="autoZero"/>
        <c:auto val="1"/>
        <c:lblAlgn val="ctr"/>
        <c:lblOffset val="100"/>
      </c:catAx>
      <c:valAx>
        <c:axId val="148816640"/>
        <c:scaling>
          <c:orientation val="minMax"/>
        </c:scaling>
        <c:axPos val="b"/>
        <c:majorGridlines/>
        <c:numFmt formatCode="0%" sourceLinked="1"/>
        <c:tickLblPos val="nextTo"/>
        <c:crossAx val="148794368"/>
        <c:crosses val="autoZero"/>
        <c:crossBetween val="between"/>
      </c:valAx>
    </c:plotArea>
    <c:legend>
      <c:legendPos val="b"/>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de-AT"/>
  <c:style val="5"/>
  <c:chart>
    <c:view3D>
      <c:rAngAx val="1"/>
    </c:view3D>
    <c:plotArea>
      <c:layout/>
      <c:bar3DChart>
        <c:barDir val="col"/>
        <c:grouping val="clustered"/>
        <c:ser>
          <c:idx val="0"/>
          <c:order val="0"/>
          <c:tx>
            <c:strRef>
              <c:f>Tabelle1!$A$103</c:f>
              <c:strCache>
                <c:ptCount val="1"/>
                <c:pt idx="0">
                  <c:v>verfestigter Aufenthalt in Österreich</c:v>
                </c:pt>
              </c:strCache>
            </c:strRef>
          </c:tx>
          <c:cat>
            <c:strRef>
              <c:f>Tabelle1!$B$102:$E$102</c:f>
              <c:strCache>
                <c:ptCount val="4"/>
                <c:pt idx="0">
                  <c:v>Wohnungsamt</c:v>
                </c:pt>
                <c:pt idx="1">
                  <c:v>gemeinnützige Bauträger</c:v>
                </c:pt>
                <c:pt idx="2">
                  <c:v>private Bauträger</c:v>
                </c:pt>
                <c:pt idx="3">
                  <c:v>Beratungseinrichung</c:v>
                </c:pt>
              </c:strCache>
            </c:strRef>
          </c:cat>
          <c:val>
            <c:numRef>
              <c:f>Tabelle1!$B$103:$E$103</c:f>
              <c:numCache>
                <c:formatCode>0%</c:formatCode>
                <c:ptCount val="4"/>
                <c:pt idx="0">
                  <c:v>0.85000000000000064</c:v>
                </c:pt>
                <c:pt idx="1">
                  <c:v>0.72000000000000064</c:v>
                </c:pt>
                <c:pt idx="2">
                  <c:v>0.63000000000001244</c:v>
                </c:pt>
                <c:pt idx="3">
                  <c:v>0.64000000000001322</c:v>
                </c:pt>
              </c:numCache>
            </c:numRef>
          </c:val>
        </c:ser>
        <c:ser>
          <c:idx val="1"/>
          <c:order val="1"/>
          <c:tx>
            <c:strRef>
              <c:f>Tabelle1!$A$104</c:f>
              <c:strCache>
                <c:ptCount val="1"/>
                <c:pt idx="0">
                  <c:v>Dringlichkeit der Wohnversorgung</c:v>
                </c:pt>
              </c:strCache>
            </c:strRef>
          </c:tx>
          <c:cat>
            <c:strRef>
              <c:f>Tabelle1!$B$102:$E$102</c:f>
              <c:strCache>
                <c:ptCount val="4"/>
                <c:pt idx="0">
                  <c:v>Wohnungsamt</c:v>
                </c:pt>
                <c:pt idx="1">
                  <c:v>gemeinnützige Bauträger</c:v>
                </c:pt>
                <c:pt idx="2">
                  <c:v>private Bauträger</c:v>
                </c:pt>
                <c:pt idx="3">
                  <c:v>Beratungseinrichung</c:v>
                </c:pt>
              </c:strCache>
            </c:strRef>
          </c:cat>
          <c:val>
            <c:numRef>
              <c:f>Tabelle1!$B$104:$E$104</c:f>
              <c:numCache>
                <c:formatCode>0%</c:formatCode>
                <c:ptCount val="4"/>
                <c:pt idx="0">
                  <c:v>0.6600000000000148</c:v>
                </c:pt>
                <c:pt idx="1">
                  <c:v>0.63000000000001244</c:v>
                </c:pt>
                <c:pt idx="2">
                  <c:v>0.64000000000001322</c:v>
                </c:pt>
                <c:pt idx="3">
                  <c:v>0.69000000000000061</c:v>
                </c:pt>
              </c:numCache>
            </c:numRef>
          </c:val>
        </c:ser>
        <c:ser>
          <c:idx val="2"/>
          <c:order val="2"/>
          <c:tx>
            <c:strRef>
              <c:f>Tabelle1!$A$105</c:f>
              <c:strCache>
                <c:ptCount val="1"/>
                <c:pt idx="0">
                  <c:v>Kontinuität und Dauer der Arbeitsintegration</c:v>
                </c:pt>
              </c:strCache>
            </c:strRef>
          </c:tx>
          <c:cat>
            <c:strRef>
              <c:f>Tabelle1!$B$102:$E$102</c:f>
              <c:strCache>
                <c:ptCount val="4"/>
                <c:pt idx="0">
                  <c:v>Wohnungsamt</c:v>
                </c:pt>
                <c:pt idx="1">
                  <c:v>gemeinnützige Bauträger</c:v>
                </c:pt>
                <c:pt idx="2">
                  <c:v>private Bauträger</c:v>
                </c:pt>
                <c:pt idx="3">
                  <c:v>Beratungseinrichung</c:v>
                </c:pt>
              </c:strCache>
            </c:strRef>
          </c:cat>
          <c:val>
            <c:numRef>
              <c:f>Tabelle1!$B$105:$E$105</c:f>
              <c:numCache>
                <c:formatCode>0%</c:formatCode>
                <c:ptCount val="4"/>
                <c:pt idx="0">
                  <c:v>0.53</c:v>
                </c:pt>
                <c:pt idx="1">
                  <c:v>0.60000000000000064</c:v>
                </c:pt>
                <c:pt idx="2">
                  <c:v>0.79</c:v>
                </c:pt>
                <c:pt idx="3">
                  <c:v>0.51</c:v>
                </c:pt>
              </c:numCache>
            </c:numRef>
          </c:val>
        </c:ser>
        <c:ser>
          <c:idx val="3"/>
          <c:order val="3"/>
          <c:tx>
            <c:strRef>
              <c:f>Tabelle1!$A$106</c:f>
              <c:strCache>
                <c:ptCount val="1"/>
                <c:pt idx="0">
                  <c:v>Kenntnis der deutschen Sprache</c:v>
                </c:pt>
              </c:strCache>
            </c:strRef>
          </c:tx>
          <c:cat>
            <c:strRef>
              <c:f>Tabelle1!$B$102:$E$102</c:f>
              <c:strCache>
                <c:ptCount val="4"/>
                <c:pt idx="0">
                  <c:v>Wohnungsamt</c:v>
                </c:pt>
                <c:pt idx="1">
                  <c:v>gemeinnützige Bauträger</c:v>
                </c:pt>
                <c:pt idx="2">
                  <c:v>private Bauträger</c:v>
                </c:pt>
                <c:pt idx="3">
                  <c:v>Beratungseinrichung</c:v>
                </c:pt>
              </c:strCache>
            </c:strRef>
          </c:cat>
          <c:val>
            <c:numRef>
              <c:f>Tabelle1!$B$106:$E$106</c:f>
              <c:numCache>
                <c:formatCode>0%</c:formatCode>
                <c:ptCount val="4"/>
                <c:pt idx="0">
                  <c:v>0.3300000000000069</c:v>
                </c:pt>
                <c:pt idx="1">
                  <c:v>0.26</c:v>
                </c:pt>
                <c:pt idx="2">
                  <c:v>0.32000000000000645</c:v>
                </c:pt>
                <c:pt idx="3">
                  <c:v>0.39000000000000662</c:v>
                </c:pt>
              </c:numCache>
            </c:numRef>
          </c:val>
        </c:ser>
        <c:ser>
          <c:idx val="4"/>
          <c:order val="4"/>
          <c:tx>
            <c:strRef>
              <c:f>Tabelle1!$A$107</c:f>
              <c:strCache>
                <c:ptCount val="1"/>
                <c:pt idx="0">
                  <c:v>Anteil von Nicht-ÖsterreicherInnen in der Hausgemeinschaft</c:v>
                </c:pt>
              </c:strCache>
            </c:strRef>
          </c:tx>
          <c:cat>
            <c:strRef>
              <c:f>Tabelle1!$B$102:$E$102</c:f>
              <c:strCache>
                <c:ptCount val="4"/>
                <c:pt idx="0">
                  <c:v>Wohnungsamt</c:v>
                </c:pt>
                <c:pt idx="1">
                  <c:v>gemeinnützige Bauträger</c:v>
                </c:pt>
                <c:pt idx="2">
                  <c:v>private Bauträger</c:v>
                </c:pt>
                <c:pt idx="3">
                  <c:v>Beratungseinrichung</c:v>
                </c:pt>
              </c:strCache>
            </c:strRef>
          </c:cat>
          <c:val>
            <c:numRef>
              <c:f>Tabelle1!$B$107:$E$107</c:f>
              <c:numCache>
                <c:formatCode>0%</c:formatCode>
                <c:ptCount val="4"/>
                <c:pt idx="0">
                  <c:v>0.31000000000000238</c:v>
                </c:pt>
                <c:pt idx="1">
                  <c:v>0.34</c:v>
                </c:pt>
                <c:pt idx="2">
                  <c:v>0.11</c:v>
                </c:pt>
                <c:pt idx="3">
                  <c:v>0.27</c:v>
                </c:pt>
              </c:numCache>
            </c:numRef>
          </c:val>
        </c:ser>
        <c:ser>
          <c:idx val="5"/>
          <c:order val="5"/>
          <c:tx>
            <c:strRef>
              <c:f>Tabelle1!$A$108</c:f>
              <c:strCache>
                <c:ptCount val="1"/>
                <c:pt idx="0">
                  <c:v>Beratungs-/Betreuungsangebote im Wohnumfeld</c:v>
                </c:pt>
              </c:strCache>
            </c:strRef>
          </c:tx>
          <c:cat>
            <c:strRef>
              <c:f>Tabelle1!$B$102:$E$102</c:f>
              <c:strCache>
                <c:ptCount val="4"/>
                <c:pt idx="0">
                  <c:v>Wohnungsamt</c:v>
                </c:pt>
                <c:pt idx="1">
                  <c:v>gemeinnützige Bauträger</c:v>
                </c:pt>
                <c:pt idx="2">
                  <c:v>private Bauträger</c:v>
                </c:pt>
                <c:pt idx="3">
                  <c:v>Beratungseinrichung</c:v>
                </c:pt>
              </c:strCache>
            </c:strRef>
          </c:cat>
          <c:val>
            <c:numRef>
              <c:f>Tabelle1!$B$108:$E$108</c:f>
              <c:numCache>
                <c:formatCode>0%</c:formatCode>
                <c:ptCount val="4"/>
                <c:pt idx="0">
                  <c:v>0.2</c:v>
                </c:pt>
                <c:pt idx="1">
                  <c:v>0.17</c:v>
                </c:pt>
                <c:pt idx="2">
                  <c:v>0.26</c:v>
                </c:pt>
                <c:pt idx="3">
                  <c:v>0.18000000000000024</c:v>
                </c:pt>
              </c:numCache>
            </c:numRef>
          </c:val>
        </c:ser>
        <c:shape val="cylinder"/>
        <c:axId val="152924544"/>
        <c:axId val="152926080"/>
        <c:axId val="0"/>
      </c:bar3DChart>
      <c:catAx>
        <c:axId val="152924544"/>
        <c:scaling>
          <c:orientation val="minMax"/>
        </c:scaling>
        <c:axPos val="b"/>
        <c:tickLblPos val="nextTo"/>
        <c:txPr>
          <a:bodyPr rot="1440000"/>
          <a:lstStyle/>
          <a:p>
            <a:pPr>
              <a:defRPr/>
            </a:pPr>
            <a:endParaRPr lang="de-DE"/>
          </a:p>
        </c:txPr>
        <c:crossAx val="152926080"/>
        <c:crosses val="autoZero"/>
        <c:auto val="1"/>
        <c:lblAlgn val="ctr"/>
        <c:lblOffset val="100"/>
      </c:catAx>
      <c:valAx>
        <c:axId val="152926080"/>
        <c:scaling>
          <c:orientation val="minMax"/>
        </c:scaling>
        <c:axPos val="l"/>
        <c:majorGridlines/>
        <c:numFmt formatCode="0%" sourceLinked="1"/>
        <c:tickLblPos val="nextTo"/>
        <c:crossAx val="152924544"/>
        <c:crosses val="autoZero"/>
        <c:crossBetween val="between"/>
      </c:valAx>
    </c:plotArea>
    <c:legend>
      <c:legendPos val="b"/>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de-AT"/>
  <c:style val="5"/>
  <c:chart>
    <c:view3D>
      <c:rAngAx val="1"/>
    </c:view3D>
    <c:plotArea>
      <c:layout/>
      <c:bar3DChart>
        <c:barDir val="col"/>
        <c:grouping val="clustered"/>
        <c:ser>
          <c:idx val="0"/>
          <c:order val="0"/>
          <c:tx>
            <c:strRef>
              <c:f>Tabelle1!$B$121</c:f>
              <c:strCache>
                <c:ptCount val="1"/>
                <c:pt idx="0">
                  <c:v>trifft zu</c:v>
                </c:pt>
              </c:strCache>
            </c:strRef>
          </c:tx>
          <c:dLbls>
            <c:showVal val="1"/>
          </c:dLbls>
          <c:cat>
            <c:strRef>
              <c:f>Tabelle1!$A$122:$A$125</c:f>
              <c:strCache>
                <c:ptCount val="4"/>
                <c:pt idx="0">
                  <c:v>Kooperation mit externen Beratungs- / Vertretungseinrichtungen</c:v>
                </c:pt>
                <c:pt idx="1">
                  <c:v>fremdsprachiges Informationsmaterial</c:v>
                </c:pt>
                <c:pt idx="2">
                  <c:v>fremdsprachiges Personal</c:v>
                </c:pt>
                <c:pt idx="3">
                  <c:v>spezifische Förderangebote, z.B. Sprachförderung</c:v>
                </c:pt>
              </c:strCache>
            </c:strRef>
          </c:cat>
          <c:val>
            <c:numRef>
              <c:f>Tabelle1!$B$122:$B$125</c:f>
              <c:numCache>
                <c:formatCode>0%</c:formatCode>
                <c:ptCount val="4"/>
                <c:pt idx="0">
                  <c:v>0.65000000000001334</c:v>
                </c:pt>
                <c:pt idx="1">
                  <c:v>0.25</c:v>
                </c:pt>
                <c:pt idx="2">
                  <c:v>0.29000000000000031</c:v>
                </c:pt>
                <c:pt idx="3">
                  <c:v>0.23</c:v>
                </c:pt>
              </c:numCache>
            </c:numRef>
          </c:val>
        </c:ser>
        <c:ser>
          <c:idx val="1"/>
          <c:order val="1"/>
          <c:tx>
            <c:strRef>
              <c:f>Tabelle1!$C$121</c:f>
              <c:strCache>
                <c:ptCount val="1"/>
                <c:pt idx="0">
                  <c:v>trifft nicht zu</c:v>
                </c:pt>
              </c:strCache>
            </c:strRef>
          </c:tx>
          <c:dLbls>
            <c:dLbl>
              <c:idx val="0"/>
              <c:layout>
                <c:manualLayout>
                  <c:x val="1.1223344556677875E-2"/>
                  <c:y val="-3.6429862045563488E-3"/>
                </c:manualLayout>
              </c:layout>
              <c:showVal val="1"/>
            </c:dLbl>
            <c:showVal val="1"/>
          </c:dLbls>
          <c:cat>
            <c:strRef>
              <c:f>Tabelle1!$A$122:$A$125</c:f>
              <c:strCache>
                <c:ptCount val="4"/>
                <c:pt idx="0">
                  <c:v>Kooperation mit externen Beratungs- / Vertretungseinrichtungen</c:v>
                </c:pt>
                <c:pt idx="1">
                  <c:v>fremdsprachiges Informationsmaterial</c:v>
                </c:pt>
                <c:pt idx="2">
                  <c:v>fremdsprachiges Personal</c:v>
                </c:pt>
                <c:pt idx="3">
                  <c:v>spezifische Förderangebote, z.B. Sprachförderung</c:v>
                </c:pt>
              </c:strCache>
            </c:strRef>
          </c:cat>
          <c:val>
            <c:numRef>
              <c:f>Tabelle1!$C$122:$C$125</c:f>
              <c:numCache>
                <c:formatCode>0%</c:formatCode>
                <c:ptCount val="4"/>
                <c:pt idx="0">
                  <c:v>0.29000000000000031</c:v>
                </c:pt>
                <c:pt idx="1">
                  <c:v>0.60000000000000064</c:v>
                </c:pt>
                <c:pt idx="2">
                  <c:v>0.67000000000001514</c:v>
                </c:pt>
                <c:pt idx="3">
                  <c:v>0.72000000000000064</c:v>
                </c:pt>
              </c:numCache>
            </c:numRef>
          </c:val>
        </c:ser>
        <c:shape val="cylinder"/>
        <c:axId val="153944832"/>
        <c:axId val="153946368"/>
        <c:axId val="0"/>
      </c:bar3DChart>
      <c:catAx>
        <c:axId val="153944832"/>
        <c:scaling>
          <c:orientation val="minMax"/>
        </c:scaling>
        <c:axPos val="b"/>
        <c:tickLblPos val="nextTo"/>
        <c:txPr>
          <a:bodyPr rot="660000"/>
          <a:lstStyle/>
          <a:p>
            <a:pPr>
              <a:defRPr/>
            </a:pPr>
            <a:endParaRPr lang="de-DE"/>
          </a:p>
        </c:txPr>
        <c:crossAx val="153946368"/>
        <c:crosses val="autoZero"/>
        <c:auto val="1"/>
        <c:lblAlgn val="ctr"/>
        <c:lblOffset val="100"/>
      </c:catAx>
      <c:valAx>
        <c:axId val="153946368"/>
        <c:scaling>
          <c:orientation val="minMax"/>
        </c:scaling>
        <c:axPos val="l"/>
        <c:majorGridlines/>
        <c:numFmt formatCode="0%" sourceLinked="1"/>
        <c:tickLblPos val="nextTo"/>
        <c:crossAx val="153944832"/>
        <c:crosses val="autoZero"/>
        <c:crossBetween val="between"/>
      </c:valAx>
    </c:plotArea>
    <c:legend>
      <c:legendPos val="b"/>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de-AT"/>
  <c:chart>
    <c:plotArea>
      <c:layout/>
      <c:lineChart>
        <c:grouping val="standard"/>
        <c:ser>
          <c:idx val="0"/>
          <c:order val="0"/>
          <c:tx>
            <c:strRef>
              <c:f>Tabelle1!$B$132</c:f>
              <c:strCache>
                <c:ptCount val="1"/>
                <c:pt idx="0">
                  <c:v>Wohnungsamt</c:v>
                </c:pt>
              </c:strCache>
            </c:strRef>
          </c:tx>
          <c:cat>
            <c:strRef>
              <c:f>Tabelle1!$A$133:$A$136</c:f>
              <c:strCache>
                <c:ptCount val="4"/>
                <c:pt idx="0">
                  <c:v>Kooperation mit externen Beratungs- / Vertretungseinrichtungen</c:v>
                </c:pt>
                <c:pt idx="1">
                  <c:v>fremdsprachiges Informationsmaterial</c:v>
                </c:pt>
                <c:pt idx="2">
                  <c:v>fremdsprachiges Personal</c:v>
                </c:pt>
                <c:pt idx="3">
                  <c:v>spezifische Förderangebote, z.B. Sprachförderung</c:v>
                </c:pt>
              </c:strCache>
            </c:strRef>
          </c:cat>
          <c:val>
            <c:numRef>
              <c:f>Tabelle1!$B$133:$B$136</c:f>
              <c:numCache>
                <c:formatCode>0%</c:formatCode>
                <c:ptCount val="4"/>
                <c:pt idx="0">
                  <c:v>0.51</c:v>
                </c:pt>
                <c:pt idx="1">
                  <c:v>0.22</c:v>
                </c:pt>
                <c:pt idx="2">
                  <c:v>0.16</c:v>
                </c:pt>
                <c:pt idx="3">
                  <c:v>0.27</c:v>
                </c:pt>
              </c:numCache>
            </c:numRef>
          </c:val>
        </c:ser>
        <c:ser>
          <c:idx val="1"/>
          <c:order val="1"/>
          <c:tx>
            <c:strRef>
              <c:f>Tabelle1!$C$132</c:f>
              <c:strCache>
                <c:ptCount val="1"/>
                <c:pt idx="0">
                  <c:v>gem. Bautr.</c:v>
                </c:pt>
              </c:strCache>
            </c:strRef>
          </c:tx>
          <c:cat>
            <c:strRef>
              <c:f>Tabelle1!$A$133:$A$136</c:f>
              <c:strCache>
                <c:ptCount val="4"/>
                <c:pt idx="0">
                  <c:v>Kooperation mit externen Beratungs- / Vertretungseinrichtungen</c:v>
                </c:pt>
                <c:pt idx="1">
                  <c:v>fremdsprachiges Informationsmaterial</c:v>
                </c:pt>
                <c:pt idx="2">
                  <c:v>fremdsprachiges Personal</c:v>
                </c:pt>
                <c:pt idx="3">
                  <c:v>spezifische Förderangebote, z.B. Sprachförderung</c:v>
                </c:pt>
              </c:strCache>
            </c:strRef>
          </c:cat>
          <c:val>
            <c:numRef>
              <c:f>Tabelle1!$C$133:$C$136</c:f>
              <c:numCache>
                <c:formatCode>0%</c:formatCode>
                <c:ptCount val="4"/>
                <c:pt idx="0">
                  <c:v>0.43000000000000038</c:v>
                </c:pt>
                <c:pt idx="1">
                  <c:v>0.23</c:v>
                </c:pt>
                <c:pt idx="2">
                  <c:v>0.23</c:v>
                </c:pt>
                <c:pt idx="3">
                  <c:v>0.19</c:v>
                </c:pt>
              </c:numCache>
            </c:numRef>
          </c:val>
        </c:ser>
        <c:ser>
          <c:idx val="2"/>
          <c:order val="2"/>
          <c:tx>
            <c:strRef>
              <c:f>Tabelle1!$D$132</c:f>
              <c:strCache>
                <c:ptCount val="1"/>
                <c:pt idx="0">
                  <c:v>priv. Bautr.</c:v>
                </c:pt>
              </c:strCache>
            </c:strRef>
          </c:tx>
          <c:cat>
            <c:strRef>
              <c:f>Tabelle1!$A$133:$A$136</c:f>
              <c:strCache>
                <c:ptCount val="4"/>
                <c:pt idx="0">
                  <c:v>Kooperation mit externen Beratungs- / Vertretungseinrichtungen</c:v>
                </c:pt>
                <c:pt idx="1">
                  <c:v>fremdsprachiges Informationsmaterial</c:v>
                </c:pt>
                <c:pt idx="2">
                  <c:v>fremdsprachiges Personal</c:v>
                </c:pt>
                <c:pt idx="3">
                  <c:v>spezifische Förderangebote, z.B. Sprachförderung</c:v>
                </c:pt>
              </c:strCache>
            </c:strRef>
          </c:cat>
          <c:val>
            <c:numRef>
              <c:f>Tabelle1!$D$133:$D$136</c:f>
              <c:numCache>
                <c:formatCode>0%</c:formatCode>
                <c:ptCount val="4"/>
                <c:pt idx="0">
                  <c:v>0.37000000000000038</c:v>
                </c:pt>
                <c:pt idx="1">
                  <c:v>0.26</c:v>
                </c:pt>
                <c:pt idx="2">
                  <c:v>0.21000000000000021</c:v>
                </c:pt>
                <c:pt idx="3">
                  <c:v>0.26</c:v>
                </c:pt>
              </c:numCache>
            </c:numRef>
          </c:val>
        </c:ser>
        <c:ser>
          <c:idx val="3"/>
          <c:order val="3"/>
          <c:tx>
            <c:strRef>
              <c:f>Tabelle1!$E$132</c:f>
              <c:strCache>
                <c:ptCount val="1"/>
                <c:pt idx="0">
                  <c:v>Beratungseinr.</c:v>
                </c:pt>
              </c:strCache>
            </c:strRef>
          </c:tx>
          <c:cat>
            <c:strRef>
              <c:f>Tabelle1!$A$133:$A$136</c:f>
              <c:strCache>
                <c:ptCount val="4"/>
                <c:pt idx="0">
                  <c:v>Kooperation mit externen Beratungs- / Vertretungseinrichtungen</c:v>
                </c:pt>
                <c:pt idx="1">
                  <c:v>fremdsprachiges Informationsmaterial</c:v>
                </c:pt>
                <c:pt idx="2">
                  <c:v>fremdsprachiges Personal</c:v>
                </c:pt>
                <c:pt idx="3">
                  <c:v>spezifische Förderangebote, z.B. Sprachförderung</c:v>
                </c:pt>
              </c:strCache>
            </c:strRef>
          </c:cat>
          <c:val>
            <c:numRef>
              <c:f>Tabelle1!$E$133:$E$136</c:f>
              <c:numCache>
                <c:formatCode>0%</c:formatCode>
                <c:ptCount val="4"/>
                <c:pt idx="0">
                  <c:v>0.81</c:v>
                </c:pt>
                <c:pt idx="1">
                  <c:v>0.47000000000000008</c:v>
                </c:pt>
                <c:pt idx="2">
                  <c:v>0.39000000000000662</c:v>
                </c:pt>
                <c:pt idx="3">
                  <c:v>0.29000000000000031</c:v>
                </c:pt>
              </c:numCache>
            </c:numRef>
          </c:val>
        </c:ser>
        <c:marker val="1"/>
        <c:axId val="153993216"/>
        <c:axId val="153994752"/>
      </c:lineChart>
      <c:catAx>
        <c:axId val="153993216"/>
        <c:scaling>
          <c:orientation val="minMax"/>
        </c:scaling>
        <c:axPos val="b"/>
        <c:tickLblPos val="nextTo"/>
        <c:txPr>
          <a:bodyPr/>
          <a:lstStyle/>
          <a:p>
            <a:pPr>
              <a:defRPr sz="800"/>
            </a:pPr>
            <a:endParaRPr lang="de-DE"/>
          </a:p>
        </c:txPr>
        <c:crossAx val="153994752"/>
        <c:crosses val="autoZero"/>
        <c:auto val="1"/>
        <c:lblAlgn val="ctr"/>
        <c:lblOffset val="100"/>
      </c:catAx>
      <c:valAx>
        <c:axId val="153994752"/>
        <c:scaling>
          <c:orientation val="minMax"/>
        </c:scaling>
        <c:axPos val="l"/>
        <c:majorGridlines/>
        <c:numFmt formatCode="0%" sourceLinked="1"/>
        <c:tickLblPos val="nextTo"/>
        <c:crossAx val="153993216"/>
        <c:crosses val="autoZero"/>
        <c:crossBetween val="between"/>
      </c:valAx>
    </c:plotArea>
    <c:legend>
      <c:legendPos val="b"/>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de-AT"/>
  <c:style val="5"/>
  <c:chart>
    <c:autoTitleDeleted val="1"/>
    <c:view3D>
      <c:rAngAx val="1"/>
    </c:view3D>
    <c:plotArea>
      <c:layout/>
      <c:bar3DChart>
        <c:barDir val="col"/>
        <c:grouping val="clustered"/>
        <c:ser>
          <c:idx val="0"/>
          <c:order val="0"/>
          <c:tx>
            <c:strRef>
              <c:f>Tabelle1!$B$152</c:f>
              <c:strCache>
                <c:ptCount val="1"/>
                <c:pt idx="0">
                  <c:v>trifft zu</c:v>
                </c:pt>
              </c:strCache>
            </c:strRef>
          </c:tx>
          <c:dLbls>
            <c:showVal val="1"/>
          </c:dLbls>
          <c:cat>
            <c:strRef>
              <c:f>Tabelle1!$A$153:$A$158</c:f>
              <c:strCache>
                <c:ptCount val="6"/>
                <c:pt idx="0">
                  <c:v>gesundheitsgefährdender Substandard</c:v>
                </c:pt>
                <c:pt idx="1">
                  <c:v>Überbelag / Wohnung ist zu klein</c:v>
                </c:pt>
                <c:pt idx="2">
                  <c:v>überhöhte Mietkosten</c:v>
                </c:pt>
                <c:pt idx="3">
                  <c:v>niedriges Haushaltseinkommen</c:v>
                </c:pt>
                <c:pt idx="4">
                  <c:v>drohende Wohnungslosigkeit, z.B. Delogierungsverfahren</c:v>
                </c:pt>
                <c:pt idx="5">
                  <c:v>akute Wohnungslosigkeit / Obdachlosigkeit</c:v>
                </c:pt>
              </c:strCache>
            </c:strRef>
          </c:cat>
          <c:val>
            <c:numRef>
              <c:f>Tabelle1!$B$153:$B$158</c:f>
              <c:numCache>
                <c:formatCode>0%</c:formatCode>
                <c:ptCount val="6"/>
                <c:pt idx="0">
                  <c:v>0.63000000000001199</c:v>
                </c:pt>
                <c:pt idx="1">
                  <c:v>0.63000000000001199</c:v>
                </c:pt>
                <c:pt idx="2">
                  <c:v>0.37000000000000038</c:v>
                </c:pt>
                <c:pt idx="3">
                  <c:v>0.60000000000000064</c:v>
                </c:pt>
                <c:pt idx="4">
                  <c:v>0.61000000000000065</c:v>
                </c:pt>
                <c:pt idx="5">
                  <c:v>0.6500000000000129</c:v>
                </c:pt>
              </c:numCache>
            </c:numRef>
          </c:val>
        </c:ser>
        <c:shape val="cylinder"/>
        <c:axId val="154019328"/>
        <c:axId val="154020864"/>
        <c:axId val="0"/>
      </c:bar3DChart>
      <c:catAx>
        <c:axId val="154019328"/>
        <c:scaling>
          <c:orientation val="minMax"/>
        </c:scaling>
        <c:axPos val="b"/>
        <c:tickLblPos val="nextTo"/>
        <c:txPr>
          <a:bodyPr rot="1200000"/>
          <a:lstStyle/>
          <a:p>
            <a:pPr>
              <a:defRPr/>
            </a:pPr>
            <a:endParaRPr lang="de-DE"/>
          </a:p>
        </c:txPr>
        <c:crossAx val="154020864"/>
        <c:crosses val="autoZero"/>
        <c:auto val="1"/>
        <c:lblAlgn val="ctr"/>
        <c:lblOffset val="100"/>
      </c:catAx>
      <c:valAx>
        <c:axId val="154020864"/>
        <c:scaling>
          <c:orientation val="minMax"/>
        </c:scaling>
        <c:axPos val="l"/>
        <c:majorGridlines/>
        <c:numFmt formatCode="0%" sourceLinked="1"/>
        <c:tickLblPos val="nextTo"/>
        <c:crossAx val="154019328"/>
        <c:crosses val="autoZero"/>
        <c:crossBetween val="between"/>
      </c:valAx>
    </c:plotArea>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de-AT"/>
  <c:chart>
    <c:plotArea>
      <c:layout/>
      <c:lineChart>
        <c:grouping val="standard"/>
        <c:ser>
          <c:idx val="0"/>
          <c:order val="0"/>
          <c:tx>
            <c:strRef>
              <c:f>Tabelle1!$B$164</c:f>
              <c:strCache>
                <c:ptCount val="1"/>
                <c:pt idx="0">
                  <c:v>Wohnungsamt</c:v>
                </c:pt>
              </c:strCache>
            </c:strRef>
          </c:tx>
          <c:cat>
            <c:strRef>
              <c:f>Tabelle1!$A$165:$A$170</c:f>
              <c:strCache>
                <c:ptCount val="6"/>
                <c:pt idx="0">
                  <c:v>gesundheitsgefährdender Substandard</c:v>
                </c:pt>
                <c:pt idx="1">
                  <c:v>Überbelag / Wohnung ist zu klein</c:v>
                </c:pt>
                <c:pt idx="2">
                  <c:v>überhöhte Mietkosten</c:v>
                </c:pt>
                <c:pt idx="3">
                  <c:v>niedriges Haushaltseinkommen</c:v>
                </c:pt>
                <c:pt idx="4">
                  <c:v>drohende Wohnungslosigkeit, z.B. Delogierungsverfahren</c:v>
                </c:pt>
                <c:pt idx="5">
                  <c:v>akute Wohnungslosigkeit / Obdachlosigkeit</c:v>
                </c:pt>
              </c:strCache>
            </c:strRef>
          </c:cat>
          <c:val>
            <c:numRef>
              <c:f>Tabelle1!$B$165:$B$170</c:f>
              <c:numCache>
                <c:formatCode>0%</c:formatCode>
                <c:ptCount val="6"/>
                <c:pt idx="0">
                  <c:v>0.85000000000000064</c:v>
                </c:pt>
                <c:pt idx="1">
                  <c:v>0.91</c:v>
                </c:pt>
                <c:pt idx="2">
                  <c:v>0.53</c:v>
                </c:pt>
                <c:pt idx="3">
                  <c:v>0.78</c:v>
                </c:pt>
                <c:pt idx="4">
                  <c:v>0.82000000000000062</c:v>
                </c:pt>
                <c:pt idx="5">
                  <c:v>0.87000000000000965</c:v>
                </c:pt>
              </c:numCache>
            </c:numRef>
          </c:val>
        </c:ser>
        <c:ser>
          <c:idx val="1"/>
          <c:order val="1"/>
          <c:tx>
            <c:strRef>
              <c:f>Tabelle1!$C$164</c:f>
              <c:strCache>
                <c:ptCount val="1"/>
                <c:pt idx="0">
                  <c:v>gemeinnütziger Bauträger</c:v>
                </c:pt>
              </c:strCache>
            </c:strRef>
          </c:tx>
          <c:cat>
            <c:strRef>
              <c:f>Tabelle1!$A$165:$A$170</c:f>
              <c:strCache>
                <c:ptCount val="6"/>
                <c:pt idx="0">
                  <c:v>gesundheitsgefährdender Substandard</c:v>
                </c:pt>
                <c:pt idx="1">
                  <c:v>Überbelag / Wohnung ist zu klein</c:v>
                </c:pt>
                <c:pt idx="2">
                  <c:v>überhöhte Mietkosten</c:v>
                </c:pt>
                <c:pt idx="3">
                  <c:v>niedriges Haushaltseinkommen</c:v>
                </c:pt>
                <c:pt idx="4">
                  <c:v>drohende Wohnungslosigkeit, z.B. Delogierungsverfahren</c:v>
                </c:pt>
                <c:pt idx="5">
                  <c:v>akute Wohnungslosigkeit / Obdachlosigkeit</c:v>
                </c:pt>
              </c:strCache>
            </c:strRef>
          </c:cat>
          <c:val>
            <c:numRef>
              <c:f>Tabelle1!$C$165:$C$170</c:f>
              <c:numCache>
                <c:formatCode>0%</c:formatCode>
                <c:ptCount val="6"/>
                <c:pt idx="0">
                  <c:v>0.72000000000000064</c:v>
                </c:pt>
                <c:pt idx="1">
                  <c:v>0.77000000000001279</c:v>
                </c:pt>
                <c:pt idx="2">
                  <c:v>0.56999999999999995</c:v>
                </c:pt>
                <c:pt idx="3">
                  <c:v>0.71000000000000063</c:v>
                </c:pt>
                <c:pt idx="4">
                  <c:v>0.56999999999999995</c:v>
                </c:pt>
                <c:pt idx="5">
                  <c:v>0.60000000000000064</c:v>
                </c:pt>
              </c:numCache>
            </c:numRef>
          </c:val>
        </c:ser>
        <c:ser>
          <c:idx val="2"/>
          <c:order val="2"/>
          <c:tx>
            <c:strRef>
              <c:f>Tabelle1!$D$164</c:f>
              <c:strCache>
                <c:ptCount val="1"/>
                <c:pt idx="0">
                  <c:v>privater Bauträger</c:v>
                </c:pt>
              </c:strCache>
            </c:strRef>
          </c:tx>
          <c:cat>
            <c:strRef>
              <c:f>Tabelle1!$A$165:$A$170</c:f>
              <c:strCache>
                <c:ptCount val="6"/>
                <c:pt idx="0">
                  <c:v>gesundheitsgefährdender Substandard</c:v>
                </c:pt>
                <c:pt idx="1">
                  <c:v>Überbelag / Wohnung ist zu klein</c:v>
                </c:pt>
                <c:pt idx="2">
                  <c:v>überhöhte Mietkosten</c:v>
                </c:pt>
                <c:pt idx="3">
                  <c:v>niedriges Haushaltseinkommen</c:v>
                </c:pt>
                <c:pt idx="4">
                  <c:v>drohende Wohnungslosigkeit, z.B. Delogierungsverfahren</c:v>
                </c:pt>
                <c:pt idx="5">
                  <c:v>akute Wohnungslosigkeit / Obdachlosigkeit</c:v>
                </c:pt>
              </c:strCache>
            </c:strRef>
          </c:cat>
          <c:val>
            <c:numRef>
              <c:f>Tabelle1!$D$165:$D$170</c:f>
              <c:numCache>
                <c:formatCode>0%</c:formatCode>
                <c:ptCount val="6"/>
                <c:pt idx="0">
                  <c:v>0.53</c:v>
                </c:pt>
                <c:pt idx="1">
                  <c:v>0.63000000000001199</c:v>
                </c:pt>
                <c:pt idx="2">
                  <c:v>0.42000000000000032</c:v>
                </c:pt>
                <c:pt idx="3">
                  <c:v>0.47000000000000008</c:v>
                </c:pt>
                <c:pt idx="4">
                  <c:v>0.53</c:v>
                </c:pt>
                <c:pt idx="5">
                  <c:v>0.53</c:v>
                </c:pt>
              </c:numCache>
            </c:numRef>
          </c:val>
        </c:ser>
        <c:ser>
          <c:idx val="3"/>
          <c:order val="3"/>
          <c:tx>
            <c:strRef>
              <c:f>Tabelle1!$E$164</c:f>
              <c:strCache>
                <c:ptCount val="1"/>
                <c:pt idx="0">
                  <c:v>Beratungseinrichtung</c:v>
                </c:pt>
              </c:strCache>
            </c:strRef>
          </c:tx>
          <c:cat>
            <c:strRef>
              <c:f>Tabelle1!$A$165:$A$170</c:f>
              <c:strCache>
                <c:ptCount val="6"/>
                <c:pt idx="0">
                  <c:v>gesundheitsgefährdender Substandard</c:v>
                </c:pt>
                <c:pt idx="1">
                  <c:v>Überbelag / Wohnung ist zu klein</c:v>
                </c:pt>
                <c:pt idx="2">
                  <c:v>überhöhte Mietkosten</c:v>
                </c:pt>
                <c:pt idx="3">
                  <c:v>niedriges Haushaltseinkommen</c:v>
                </c:pt>
                <c:pt idx="4">
                  <c:v>drohende Wohnungslosigkeit, z.B. Delogierungsverfahren</c:v>
                </c:pt>
                <c:pt idx="5">
                  <c:v>akute Wohnungslosigkeit / Obdachlosigkeit</c:v>
                </c:pt>
              </c:strCache>
            </c:strRef>
          </c:cat>
          <c:val>
            <c:numRef>
              <c:f>Tabelle1!$E$165:$E$170</c:f>
              <c:numCache>
                <c:formatCode>0%</c:formatCode>
                <c:ptCount val="6"/>
                <c:pt idx="0">
                  <c:v>0.63000000000001199</c:v>
                </c:pt>
                <c:pt idx="1">
                  <c:v>0.63000000000001199</c:v>
                </c:pt>
                <c:pt idx="2">
                  <c:v>0.37000000000000038</c:v>
                </c:pt>
                <c:pt idx="3">
                  <c:v>0.60000000000000064</c:v>
                </c:pt>
                <c:pt idx="4">
                  <c:v>0.61000000000000065</c:v>
                </c:pt>
                <c:pt idx="5">
                  <c:v>0.6500000000000129</c:v>
                </c:pt>
              </c:numCache>
            </c:numRef>
          </c:val>
        </c:ser>
        <c:marker val="1"/>
        <c:axId val="153551232"/>
        <c:axId val="153552768"/>
      </c:lineChart>
      <c:catAx>
        <c:axId val="153551232"/>
        <c:scaling>
          <c:orientation val="minMax"/>
        </c:scaling>
        <c:axPos val="b"/>
        <c:tickLblPos val="nextTo"/>
        <c:txPr>
          <a:bodyPr/>
          <a:lstStyle/>
          <a:p>
            <a:pPr>
              <a:defRPr sz="800"/>
            </a:pPr>
            <a:endParaRPr lang="de-DE"/>
          </a:p>
        </c:txPr>
        <c:crossAx val="153552768"/>
        <c:crosses val="autoZero"/>
        <c:auto val="1"/>
        <c:lblAlgn val="ctr"/>
        <c:lblOffset val="100"/>
      </c:catAx>
      <c:valAx>
        <c:axId val="153552768"/>
        <c:scaling>
          <c:orientation val="minMax"/>
        </c:scaling>
        <c:axPos val="l"/>
        <c:majorGridlines/>
        <c:numFmt formatCode="0%" sourceLinked="1"/>
        <c:tickLblPos val="nextTo"/>
        <c:crossAx val="153551232"/>
        <c:crosses val="autoZero"/>
        <c:crossBetween val="between"/>
      </c:valAx>
    </c:plotArea>
    <c:legend>
      <c:legendPos val="b"/>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de-AT"/>
  <c:style val="5"/>
  <c:chart>
    <c:autoTitleDeleted val="1"/>
    <c:view3D>
      <c:rAngAx val="1"/>
    </c:view3D>
    <c:plotArea>
      <c:layout/>
      <c:bar3DChart>
        <c:barDir val="col"/>
        <c:grouping val="clustered"/>
        <c:ser>
          <c:idx val="0"/>
          <c:order val="0"/>
          <c:tx>
            <c:strRef>
              <c:f>Tabelle1!$B$189</c:f>
              <c:strCache>
                <c:ptCount val="1"/>
                <c:pt idx="0">
                  <c:v>trifft zu</c:v>
                </c:pt>
              </c:strCache>
            </c:strRef>
          </c:tx>
          <c:dLbls>
            <c:dLbl>
              <c:idx val="3"/>
              <c:layout>
                <c:manualLayout>
                  <c:x val="8.6222793874428338E-17"/>
                  <c:y val="-1.5503875968992682E-2"/>
                </c:manualLayout>
              </c:layout>
              <c:showVal val="1"/>
            </c:dLbl>
            <c:dLbl>
              <c:idx val="5"/>
              <c:layout>
                <c:manualLayout>
                  <c:x val="0"/>
                  <c:y val="-1.5503875968992682E-2"/>
                </c:manualLayout>
              </c:layout>
              <c:showVal val="1"/>
            </c:dLbl>
            <c:showVal val="1"/>
          </c:dLbls>
          <c:cat>
            <c:strRef>
              <c:f>Tabelle1!$A$190:$A$195</c:f>
              <c:strCache>
                <c:ptCount val="6"/>
                <c:pt idx="0">
                  <c:v>sanierte/standardverbesserte Wohnungen</c:v>
                </c:pt>
                <c:pt idx="1">
                  <c:v>ausfinanzierte Wohnungen</c:v>
                </c:pt>
                <c:pt idx="2">
                  <c:v>Substandardwohnungen</c:v>
                </c:pt>
                <c:pt idx="3">
                  <c:v>Eigentumswohnungen</c:v>
                </c:pt>
                <c:pt idx="4">
                  <c:v>Miet-Kauf-Wohnungen</c:v>
                </c:pt>
                <c:pt idx="5">
                  <c:v>andere Vertragsformen</c:v>
                </c:pt>
              </c:strCache>
            </c:strRef>
          </c:cat>
          <c:val>
            <c:numRef>
              <c:f>Tabelle1!$B$190:$B$195</c:f>
              <c:numCache>
                <c:formatCode>0%</c:formatCode>
                <c:ptCount val="6"/>
                <c:pt idx="0">
                  <c:v>0.52</c:v>
                </c:pt>
                <c:pt idx="1">
                  <c:v>0.41000000000000031</c:v>
                </c:pt>
                <c:pt idx="2">
                  <c:v>0.34</c:v>
                </c:pt>
                <c:pt idx="3">
                  <c:v>0.19</c:v>
                </c:pt>
                <c:pt idx="4">
                  <c:v>0.33000000000000651</c:v>
                </c:pt>
                <c:pt idx="5">
                  <c:v>0.19</c:v>
                </c:pt>
              </c:numCache>
            </c:numRef>
          </c:val>
        </c:ser>
        <c:shape val="cylinder"/>
        <c:axId val="153577344"/>
        <c:axId val="153578880"/>
        <c:axId val="0"/>
      </c:bar3DChart>
      <c:catAx>
        <c:axId val="153577344"/>
        <c:scaling>
          <c:orientation val="minMax"/>
        </c:scaling>
        <c:axPos val="b"/>
        <c:tickLblPos val="nextTo"/>
        <c:txPr>
          <a:bodyPr rot="-1080000"/>
          <a:lstStyle/>
          <a:p>
            <a:pPr>
              <a:defRPr/>
            </a:pPr>
            <a:endParaRPr lang="de-DE"/>
          </a:p>
        </c:txPr>
        <c:crossAx val="153578880"/>
        <c:crosses val="autoZero"/>
        <c:auto val="1"/>
        <c:lblAlgn val="ctr"/>
        <c:lblOffset val="100"/>
      </c:catAx>
      <c:valAx>
        <c:axId val="153578880"/>
        <c:scaling>
          <c:orientation val="minMax"/>
        </c:scaling>
        <c:axPos val="l"/>
        <c:majorGridlines/>
        <c:numFmt formatCode="0%" sourceLinked="1"/>
        <c:tickLblPos val="nextTo"/>
        <c:crossAx val="153577344"/>
        <c:crosses val="autoZero"/>
        <c:crossBetween val="between"/>
      </c:valAx>
    </c:plotArea>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de-AT"/>
  <c:chart>
    <c:plotArea>
      <c:layout/>
      <c:lineChart>
        <c:grouping val="standard"/>
        <c:ser>
          <c:idx val="0"/>
          <c:order val="0"/>
          <c:tx>
            <c:strRef>
              <c:f>Tabelle1!$B$201</c:f>
              <c:strCache>
                <c:ptCount val="1"/>
                <c:pt idx="0">
                  <c:v>Wohnungsamt</c:v>
                </c:pt>
              </c:strCache>
            </c:strRef>
          </c:tx>
          <c:cat>
            <c:strRef>
              <c:f>Tabelle1!$A$202:$A$207</c:f>
              <c:strCache>
                <c:ptCount val="6"/>
                <c:pt idx="0">
                  <c:v>sanierte/standardverbesserte Wohnungen</c:v>
                </c:pt>
                <c:pt idx="1">
                  <c:v>ausfinanzierte Wohnungen</c:v>
                </c:pt>
                <c:pt idx="2">
                  <c:v>Substandardwohnungen</c:v>
                </c:pt>
                <c:pt idx="3">
                  <c:v>Eigentumswohnungen</c:v>
                </c:pt>
                <c:pt idx="4">
                  <c:v>Miet-Kauf-Wohnungen</c:v>
                </c:pt>
                <c:pt idx="5">
                  <c:v>andere Vertragsformen</c:v>
                </c:pt>
              </c:strCache>
            </c:strRef>
          </c:cat>
          <c:val>
            <c:numRef>
              <c:f>Tabelle1!$B$202:$B$207</c:f>
              <c:numCache>
                <c:formatCode>0%</c:formatCode>
                <c:ptCount val="6"/>
                <c:pt idx="0">
                  <c:v>0.91</c:v>
                </c:pt>
                <c:pt idx="1">
                  <c:v>0.77000000000001245</c:v>
                </c:pt>
                <c:pt idx="2">
                  <c:v>0.64000000000001245</c:v>
                </c:pt>
                <c:pt idx="3">
                  <c:v>0.25</c:v>
                </c:pt>
                <c:pt idx="4">
                  <c:v>0.52</c:v>
                </c:pt>
                <c:pt idx="5">
                  <c:v>0.25</c:v>
                </c:pt>
              </c:numCache>
            </c:numRef>
          </c:val>
        </c:ser>
        <c:ser>
          <c:idx val="1"/>
          <c:order val="1"/>
          <c:tx>
            <c:strRef>
              <c:f>Tabelle1!$C$201</c:f>
              <c:strCache>
                <c:ptCount val="1"/>
                <c:pt idx="0">
                  <c:v>gemeinnütziger Bauträger</c:v>
                </c:pt>
              </c:strCache>
            </c:strRef>
          </c:tx>
          <c:cat>
            <c:strRef>
              <c:f>Tabelle1!$A$202:$A$207</c:f>
              <c:strCache>
                <c:ptCount val="6"/>
                <c:pt idx="0">
                  <c:v>sanierte/standardverbesserte Wohnungen</c:v>
                </c:pt>
                <c:pt idx="1">
                  <c:v>ausfinanzierte Wohnungen</c:v>
                </c:pt>
                <c:pt idx="2">
                  <c:v>Substandardwohnungen</c:v>
                </c:pt>
                <c:pt idx="3">
                  <c:v>Eigentumswohnungen</c:v>
                </c:pt>
                <c:pt idx="4">
                  <c:v>Miet-Kauf-Wohnungen</c:v>
                </c:pt>
                <c:pt idx="5">
                  <c:v>andere Vertragsformen</c:v>
                </c:pt>
              </c:strCache>
            </c:strRef>
          </c:cat>
          <c:val>
            <c:numRef>
              <c:f>Tabelle1!$C$202:$C$207</c:f>
              <c:numCache>
                <c:formatCode>0%</c:formatCode>
                <c:ptCount val="6"/>
                <c:pt idx="0">
                  <c:v>0.86000000000000065</c:v>
                </c:pt>
                <c:pt idx="1">
                  <c:v>0.69000000000000061</c:v>
                </c:pt>
                <c:pt idx="2">
                  <c:v>0.54</c:v>
                </c:pt>
                <c:pt idx="3">
                  <c:v>0.37000000000000038</c:v>
                </c:pt>
                <c:pt idx="4">
                  <c:v>0.69000000000000061</c:v>
                </c:pt>
                <c:pt idx="5">
                  <c:v>0.37000000000000038</c:v>
                </c:pt>
              </c:numCache>
            </c:numRef>
          </c:val>
        </c:ser>
        <c:ser>
          <c:idx val="2"/>
          <c:order val="2"/>
          <c:tx>
            <c:strRef>
              <c:f>Tabelle1!$D$201</c:f>
              <c:strCache>
                <c:ptCount val="1"/>
                <c:pt idx="0">
                  <c:v>privater Bauträger</c:v>
                </c:pt>
              </c:strCache>
            </c:strRef>
          </c:tx>
          <c:cat>
            <c:strRef>
              <c:f>Tabelle1!$A$202:$A$207</c:f>
              <c:strCache>
                <c:ptCount val="6"/>
                <c:pt idx="0">
                  <c:v>sanierte/standardverbesserte Wohnungen</c:v>
                </c:pt>
                <c:pt idx="1">
                  <c:v>ausfinanzierte Wohnungen</c:v>
                </c:pt>
                <c:pt idx="2">
                  <c:v>Substandardwohnungen</c:v>
                </c:pt>
                <c:pt idx="3">
                  <c:v>Eigentumswohnungen</c:v>
                </c:pt>
                <c:pt idx="4">
                  <c:v>Miet-Kauf-Wohnungen</c:v>
                </c:pt>
                <c:pt idx="5">
                  <c:v>andere Vertragsformen</c:v>
                </c:pt>
              </c:strCache>
            </c:strRef>
          </c:cat>
          <c:val>
            <c:numRef>
              <c:f>Tabelle1!$D$202:$D$207</c:f>
              <c:numCache>
                <c:formatCode>0%</c:formatCode>
                <c:ptCount val="6"/>
                <c:pt idx="0">
                  <c:v>0.72000000000000064</c:v>
                </c:pt>
                <c:pt idx="1">
                  <c:v>0.5</c:v>
                </c:pt>
                <c:pt idx="2">
                  <c:v>0.39000000000000623</c:v>
                </c:pt>
                <c:pt idx="3">
                  <c:v>0.28000000000000008</c:v>
                </c:pt>
                <c:pt idx="4">
                  <c:v>0.39000000000000623</c:v>
                </c:pt>
                <c:pt idx="5">
                  <c:v>0.33000000000000651</c:v>
                </c:pt>
              </c:numCache>
            </c:numRef>
          </c:val>
        </c:ser>
        <c:ser>
          <c:idx val="3"/>
          <c:order val="3"/>
          <c:tx>
            <c:strRef>
              <c:f>Tabelle1!$E$201</c:f>
              <c:strCache>
                <c:ptCount val="1"/>
                <c:pt idx="0">
                  <c:v>Beratungseinrichtung</c:v>
                </c:pt>
              </c:strCache>
            </c:strRef>
          </c:tx>
          <c:cat>
            <c:strRef>
              <c:f>Tabelle1!$A$202:$A$207</c:f>
              <c:strCache>
                <c:ptCount val="6"/>
                <c:pt idx="0">
                  <c:v>sanierte/standardverbesserte Wohnungen</c:v>
                </c:pt>
                <c:pt idx="1">
                  <c:v>ausfinanzierte Wohnungen</c:v>
                </c:pt>
                <c:pt idx="2">
                  <c:v>Substandardwohnungen</c:v>
                </c:pt>
                <c:pt idx="3">
                  <c:v>Eigentumswohnungen</c:v>
                </c:pt>
                <c:pt idx="4">
                  <c:v>Miet-Kauf-Wohnungen</c:v>
                </c:pt>
                <c:pt idx="5">
                  <c:v>andere Vertragsformen</c:v>
                </c:pt>
              </c:strCache>
            </c:strRef>
          </c:cat>
          <c:val>
            <c:numRef>
              <c:f>Tabelle1!$E$202:$E$207</c:f>
              <c:numCache>
                <c:formatCode>0%</c:formatCode>
                <c:ptCount val="6"/>
                <c:pt idx="0">
                  <c:v>0.38000000000000578</c:v>
                </c:pt>
                <c:pt idx="1">
                  <c:v>0.26</c:v>
                </c:pt>
                <c:pt idx="2">
                  <c:v>0.23</c:v>
                </c:pt>
                <c:pt idx="3">
                  <c:v>0.12000000000000002</c:v>
                </c:pt>
                <c:pt idx="4">
                  <c:v>0.17</c:v>
                </c:pt>
                <c:pt idx="5">
                  <c:v>0.12000000000000002</c:v>
                </c:pt>
              </c:numCache>
            </c:numRef>
          </c:val>
        </c:ser>
        <c:marker val="1"/>
        <c:axId val="155661056"/>
        <c:axId val="155662592"/>
      </c:lineChart>
      <c:catAx>
        <c:axId val="155661056"/>
        <c:scaling>
          <c:orientation val="minMax"/>
        </c:scaling>
        <c:axPos val="b"/>
        <c:tickLblPos val="nextTo"/>
        <c:txPr>
          <a:bodyPr/>
          <a:lstStyle/>
          <a:p>
            <a:pPr>
              <a:defRPr sz="800"/>
            </a:pPr>
            <a:endParaRPr lang="de-DE"/>
          </a:p>
        </c:txPr>
        <c:crossAx val="155662592"/>
        <c:crosses val="autoZero"/>
        <c:auto val="1"/>
        <c:lblAlgn val="ctr"/>
        <c:lblOffset val="100"/>
      </c:catAx>
      <c:valAx>
        <c:axId val="155662592"/>
        <c:scaling>
          <c:orientation val="minMax"/>
        </c:scaling>
        <c:axPos val="l"/>
        <c:majorGridlines/>
        <c:numFmt formatCode="0%" sourceLinked="1"/>
        <c:tickLblPos val="nextTo"/>
        <c:txPr>
          <a:bodyPr/>
          <a:lstStyle/>
          <a:p>
            <a:pPr>
              <a:defRPr sz="800"/>
            </a:pPr>
            <a:endParaRPr lang="de-DE"/>
          </a:p>
        </c:txPr>
        <c:crossAx val="155661056"/>
        <c:crosses val="autoZero"/>
        <c:crossBetween val="between"/>
      </c:valAx>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de-AT"/>
  <c:style val="5"/>
  <c:chart>
    <c:view3D>
      <c:rAngAx val="1"/>
    </c:view3D>
    <c:plotArea>
      <c:layout/>
      <c:bar3DChart>
        <c:barDir val="col"/>
        <c:grouping val="clustered"/>
        <c:ser>
          <c:idx val="0"/>
          <c:order val="0"/>
          <c:dLbls>
            <c:showVal val="1"/>
          </c:dLbls>
          <c:cat>
            <c:strRef>
              <c:f>'Question 2'!$B$30:$B$33</c:f>
              <c:strCache>
                <c:ptCount val="4"/>
                <c:pt idx="0">
                  <c:v>geförderte Mietwohnungen</c:v>
                </c:pt>
                <c:pt idx="1">
                  <c:v>geförderte Eigentumswohnungen</c:v>
                </c:pt>
                <c:pt idx="2">
                  <c:v>Gemeindewohnungen</c:v>
                </c:pt>
                <c:pt idx="3">
                  <c:v>private Mietwohnungen</c:v>
                </c:pt>
              </c:strCache>
            </c:strRef>
          </c:cat>
          <c:val>
            <c:numRef>
              <c:f>'Question 2'!$C$30:$C$33</c:f>
              <c:numCache>
                <c:formatCode>General</c:formatCode>
                <c:ptCount val="4"/>
                <c:pt idx="0">
                  <c:v>132</c:v>
                </c:pt>
                <c:pt idx="1">
                  <c:v>61</c:v>
                </c:pt>
                <c:pt idx="2">
                  <c:v>141</c:v>
                </c:pt>
                <c:pt idx="3">
                  <c:v>91</c:v>
                </c:pt>
              </c:numCache>
            </c:numRef>
          </c:val>
        </c:ser>
        <c:shape val="cylinder"/>
        <c:axId val="216212992"/>
        <c:axId val="216214528"/>
        <c:axId val="0"/>
      </c:bar3DChart>
      <c:catAx>
        <c:axId val="216212992"/>
        <c:scaling>
          <c:orientation val="minMax"/>
        </c:scaling>
        <c:axPos val="b"/>
        <c:tickLblPos val="nextTo"/>
        <c:txPr>
          <a:bodyPr rot="1200000"/>
          <a:lstStyle/>
          <a:p>
            <a:pPr>
              <a:defRPr/>
            </a:pPr>
            <a:endParaRPr lang="de-DE"/>
          </a:p>
        </c:txPr>
        <c:crossAx val="216214528"/>
        <c:crosses val="autoZero"/>
        <c:auto val="1"/>
        <c:lblAlgn val="ctr"/>
        <c:lblOffset val="100"/>
      </c:catAx>
      <c:valAx>
        <c:axId val="216214528"/>
        <c:scaling>
          <c:orientation val="minMax"/>
        </c:scaling>
        <c:axPos val="l"/>
        <c:majorGridlines/>
        <c:numFmt formatCode="General" sourceLinked="1"/>
        <c:tickLblPos val="nextTo"/>
        <c:crossAx val="216212992"/>
        <c:crosses val="autoZero"/>
        <c:crossBetween val="between"/>
      </c:valAx>
    </c:plotArea>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de-AT"/>
  <c:chart>
    <c:autoTitleDeleted val="1"/>
    <c:plotArea>
      <c:layout/>
      <c:lineChart>
        <c:grouping val="standard"/>
        <c:ser>
          <c:idx val="0"/>
          <c:order val="0"/>
          <c:tx>
            <c:strRef>
              <c:f>'Question 16'!$C$41</c:f>
              <c:strCache>
                <c:ptCount val="1"/>
                <c:pt idx="0">
                  <c:v>Zustimmung</c:v>
                </c:pt>
              </c:strCache>
            </c:strRef>
          </c:tx>
          <c:cat>
            <c:strRef>
              <c:f>'Question 16'!$B$42:$B$48</c:f>
              <c:strCache>
                <c:ptCount val="7"/>
                <c:pt idx="0">
                  <c:v>Integration durch ausgewogenen sozialen Mix</c:v>
                </c:pt>
                <c:pt idx="1">
                  <c:v>Vermeidung von Ghettobildung</c:v>
                </c:pt>
                <c:pt idx="2">
                  <c:v>Gefahr von Parallelgesellschaften</c:v>
                </c:pt>
                <c:pt idx="3">
                  <c:v>differenzierte Kriterien bzgl. Migrationshintergrund</c:v>
                </c:pt>
                <c:pt idx="4">
                  <c:v>Passfähigkeit zur Hausgemeinschaft</c:v>
                </c:pt>
                <c:pt idx="5">
                  <c:v>Bereitschaft zur Integration in die Hausgemeinschaft</c:v>
                </c:pt>
                <c:pt idx="6">
                  <c:v>Beiziehung von externen Beratungsstellen</c:v>
                </c:pt>
              </c:strCache>
            </c:strRef>
          </c:cat>
          <c:val>
            <c:numRef>
              <c:f>'Question 16'!$C$42:$C$48</c:f>
              <c:numCache>
                <c:formatCode>0%</c:formatCode>
                <c:ptCount val="7"/>
                <c:pt idx="0">
                  <c:v>0.86000000000000065</c:v>
                </c:pt>
                <c:pt idx="1">
                  <c:v>0.88</c:v>
                </c:pt>
                <c:pt idx="2">
                  <c:v>0.72000000000000064</c:v>
                </c:pt>
                <c:pt idx="3">
                  <c:v>0.44</c:v>
                </c:pt>
                <c:pt idx="4">
                  <c:v>0.55000000000000004</c:v>
                </c:pt>
                <c:pt idx="5">
                  <c:v>0.18000000000000024</c:v>
                </c:pt>
                <c:pt idx="6">
                  <c:v>0.58000000000000007</c:v>
                </c:pt>
              </c:numCache>
            </c:numRef>
          </c:val>
        </c:ser>
        <c:marker val="1"/>
        <c:axId val="155681152"/>
        <c:axId val="155682688"/>
      </c:lineChart>
      <c:catAx>
        <c:axId val="155681152"/>
        <c:scaling>
          <c:orientation val="minMax"/>
        </c:scaling>
        <c:axPos val="b"/>
        <c:tickLblPos val="nextTo"/>
        <c:crossAx val="155682688"/>
        <c:crosses val="autoZero"/>
        <c:auto val="1"/>
        <c:lblAlgn val="ctr"/>
        <c:lblOffset val="100"/>
      </c:catAx>
      <c:valAx>
        <c:axId val="155682688"/>
        <c:scaling>
          <c:orientation val="minMax"/>
        </c:scaling>
        <c:axPos val="l"/>
        <c:majorGridlines/>
        <c:numFmt formatCode="0%" sourceLinked="1"/>
        <c:tickLblPos val="nextTo"/>
        <c:crossAx val="155681152"/>
        <c:crosses val="autoZero"/>
        <c:crossBetween val="between"/>
      </c:valAx>
    </c:plotArea>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de-AT"/>
  <c:style val="5"/>
  <c:chart>
    <c:autoTitleDeleted val="1"/>
    <c:view3D>
      <c:rAngAx val="1"/>
    </c:view3D>
    <c:plotArea>
      <c:layout/>
      <c:bar3DChart>
        <c:barDir val="col"/>
        <c:grouping val="clustered"/>
        <c:ser>
          <c:idx val="0"/>
          <c:order val="0"/>
          <c:tx>
            <c:strRef>
              <c:f>Tabelle2!$A$5:$B$5</c:f>
              <c:strCache>
                <c:ptCount val="1"/>
                <c:pt idx="0">
                  <c:v>Voraussetzung für eine gute Integration von Nicht-ÖsterreicherInnen ist ein ausgewogener ethnischer Mix in den Siedlungsräumen Voraussetzung für ein gute Integration von Nicht-ÖsterreicherInnen ist ein ausgewogener ethnischer Mix in den Siedlungsräumen</c:v>
                </c:pt>
              </c:strCache>
            </c:strRef>
          </c:tx>
          <c:dLbls>
            <c:showVal val="1"/>
          </c:dLbls>
          <c:cat>
            <c:strRef>
              <c:f>Tabelle2!$C$4:$G$4</c:f>
              <c:strCache>
                <c:ptCount val="5"/>
                <c:pt idx="0">
                  <c:v>gesamt</c:v>
                </c:pt>
                <c:pt idx="1">
                  <c:v>Wohnungsämter</c:v>
                </c:pt>
                <c:pt idx="2">
                  <c:v>gemeinnützige Bauträger</c:v>
                </c:pt>
                <c:pt idx="3">
                  <c:v>private Bauträger</c:v>
                </c:pt>
                <c:pt idx="4">
                  <c:v>Beratungseinrichtungen</c:v>
                </c:pt>
              </c:strCache>
            </c:strRef>
          </c:cat>
          <c:val>
            <c:numRef>
              <c:f>Tabelle2!$C$5:$G$5</c:f>
              <c:numCache>
                <c:formatCode>0%</c:formatCode>
                <c:ptCount val="5"/>
                <c:pt idx="0">
                  <c:v>0.86000000000000065</c:v>
                </c:pt>
                <c:pt idx="1">
                  <c:v>0.95000000000000062</c:v>
                </c:pt>
                <c:pt idx="2">
                  <c:v>0.91</c:v>
                </c:pt>
                <c:pt idx="3">
                  <c:v>0.83000000000000063</c:v>
                </c:pt>
                <c:pt idx="4">
                  <c:v>0.87000000000000965</c:v>
                </c:pt>
              </c:numCache>
            </c:numRef>
          </c:val>
        </c:ser>
        <c:shape val="cylinder"/>
        <c:axId val="155702784"/>
        <c:axId val="155704320"/>
        <c:axId val="0"/>
      </c:bar3DChart>
      <c:catAx>
        <c:axId val="155702784"/>
        <c:scaling>
          <c:orientation val="minMax"/>
        </c:scaling>
        <c:axPos val="b"/>
        <c:tickLblPos val="nextTo"/>
        <c:crossAx val="155704320"/>
        <c:crosses val="autoZero"/>
        <c:auto val="1"/>
        <c:lblAlgn val="ctr"/>
        <c:lblOffset val="100"/>
      </c:catAx>
      <c:valAx>
        <c:axId val="155704320"/>
        <c:scaling>
          <c:orientation val="minMax"/>
        </c:scaling>
        <c:axPos val="l"/>
        <c:majorGridlines/>
        <c:numFmt formatCode="0%" sourceLinked="1"/>
        <c:tickLblPos val="nextTo"/>
        <c:crossAx val="155702784"/>
        <c:crosses val="autoZero"/>
        <c:crossBetween val="between"/>
      </c:valAx>
    </c:plotArea>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de-AT"/>
  <c:style val="5"/>
  <c:chart>
    <c:autoTitleDeleted val="1"/>
    <c:view3D>
      <c:rAngAx val="1"/>
    </c:view3D>
    <c:plotArea>
      <c:layout/>
      <c:bar3DChart>
        <c:barDir val="col"/>
        <c:grouping val="clustered"/>
        <c:ser>
          <c:idx val="0"/>
          <c:order val="0"/>
          <c:tx>
            <c:strRef>
              <c:f>Tabelle2!$A$7:$B$7</c:f>
              <c:strCache>
                <c:ptCount val="1"/>
                <c:pt idx="0">
                  <c:v>Es darf kein Ghetto entstehen, im dem viele belastete Haushalte zusammenleben. Es darf kein Ghetto entstehen, im dem viele belastete Haushalte zusammenleben.</c:v>
                </c:pt>
              </c:strCache>
            </c:strRef>
          </c:tx>
          <c:dLbls>
            <c:showVal val="1"/>
          </c:dLbls>
          <c:cat>
            <c:strRef>
              <c:f>Tabelle2!$C$6:$G$6</c:f>
              <c:strCache>
                <c:ptCount val="5"/>
                <c:pt idx="0">
                  <c:v>gesamt</c:v>
                </c:pt>
                <c:pt idx="1">
                  <c:v>Wohnungsämter</c:v>
                </c:pt>
                <c:pt idx="2">
                  <c:v>gemeinnützige Bauträger</c:v>
                </c:pt>
                <c:pt idx="3">
                  <c:v>private Bauträger</c:v>
                </c:pt>
                <c:pt idx="4">
                  <c:v>Beratungseinrichtungen</c:v>
                </c:pt>
              </c:strCache>
            </c:strRef>
          </c:cat>
          <c:val>
            <c:numRef>
              <c:f>Tabelle2!$C$7:$G$7</c:f>
              <c:numCache>
                <c:formatCode>0%</c:formatCode>
                <c:ptCount val="5"/>
                <c:pt idx="0">
                  <c:v>0.88</c:v>
                </c:pt>
                <c:pt idx="1">
                  <c:v>0.93</c:v>
                </c:pt>
                <c:pt idx="2">
                  <c:v>0.91</c:v>
                </c:pt>
                <c:pt idx="3">
                  <c:v>0.83000000000000063</c:v>
                </c:pt>
                <c:pt idx="4">
                  <c:v>0.9</c:v>
                </c:pt>
              </c:numCache>
            </c:numRef>
          </c:val>
        </c:ser>
        <c:shape val="cylinder"/>
        <c:axId val="155712128"/>
        <c:axId val="155537792"/>
        <c:axId val="0"/>
      </c:bar3DChart>
      <c:catAx>
        <c:axId val="155712128"/>
        <c:scaling>
          <c:orientation val="minMax"/>
        </c:scaling>
        <c:axPos val="b"/>
        <c:tickLblPos val="nextTo"/>
        <c:crossAx val="155537792"/>
        <c:crosses val="autoZero"/>
        <c:auto val="1"/>
        <c:lblAlgn val="ctr"/>
        <c:lblOffset val="100"/>
      </c:catAx>
      <c:valAx>
        <c:axId val="155537792"/>
        <c:scaling>
          <c:orientation val="minMax"/>
        </c:scaling>
        <c:axPos val="l"/>
        <c:majorGridlines/>
        <c:numFmt formatCode="0%" sourceLinked="1"/>
        <c:tickLblPos val="nextTo"/>
        <c:crossAx val="155712128"/>
        <c:crosses val="autoZero"/>
        <c:crossBetween val="between"/>
      </c:valAx>
    </c:plotArea>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de-AT"/>
  <c:style val="5"/>
  <c:chart>
    <c:autoTitleDeleted val="1"/>
    <c:view3D>
      <c:rAngAx val="1"/>
    </c:view3D>
    <c:plotArea>
      <c:layout/>
      <c:bar3DChart>
        <c:barDir val="col"/>
        <c:grouping val="clustered"/>
        <c:ser>
          <c:idx val="0"/>
          <c:order val="0"/>
          <c:tx>
            <c:strRef>
              <c:f>Tabelle2!$A$9:$B$9</c:f>
              <c:strCache>
                <c:ptCount val="1"/>
                <c:pt idx="0">
                  <c:v>Zu viele Nicht-ÖsterreicherInnen in einer Siedlung können zu einer Parallelgesellschaft führen. Zu viele Nicht-ÖsterreicherInnen in einer Siedlung können zu einer Parallelgesellschaft führen.</c:v>
                </c:pt>
              </c:strCache>
            </c:strRef>
          </c:tx>
          <c:dLbls>
            <c:showVal val="1"/>
          </c:dLbls>
          <c:cat>
            <c:strRef>
              <c:f>Tabelle2!$C$8:$G$8</c:f>
              <c:strCache>
                <c:ptCount val="5"/>
                <c:pt idx="0">
                  <c:v>gesamt</c:v>
                </c:pt>
                <c:pt idx="1">
                  <c:v>Wohnungsämter</c:v>
                </c:pt>
                <c:pt idx="2">
                  <c:v>gemeinnützige Bauträger</c:v>
                </c:pt>
                <c:pt idx="3">
                  <c:v>private Bauträger</c:v>
                </c:pt>
                <c:pt idx="4">
                  <c:v>Beratungseinrichtungen</c:v>
                </c:pt>
              </c:strCache>
            </c:strRef>
          </c:cat>
          <c:val>
            <c:numRef>
              <c:f>Tabelle2!$C$9:$G$9</c:f>
              <c:numCache>
                <c:formatCode>0%</c:formatCode>
                <c:ptCount val="5"/>
                <c:pt idx="0">
                  <c:v>0.72000000000000064</c:v>
                </c:pt>
                <c:pt idx="1">
                  <c:v>0.83000000000000063</c:v>
                </c:pt>
                <c:pt idx="2">
                  <c:v>0.86000000000000065</c:v>
                </c:pt>
                <c:pt idx="3">
                  <c:v>0.61000000000000065</c:v>
                </c:pt>
                <c:pt idx="4">
                  <c:v>0.64000000000001245</c:v>
                </c:pt>
              </c:numCache>
            </c:numRef>
          </c:val>
        </c:ser>
        <c:shape val="cylinder"/>
        <c:axId val="155566464"/>
        <c:axId val="155568000"/>
        <c:axId val="0"/>
      </c:bar3DChart>
      <c:catAx>
        <c:axId val="155566464"/>
        <c:scaling>
          <c:orientation val="minMax"/>
        </c:scaling>
        <c:axPos val="b"/>
        <c:tickLblPos val="nextTo"/>
        <c:crossAx val="155568000"/>
        <c:crosses val="autoZero"/>
        <c:auto val="1"/>
        <c:lblAlgn val="ctr"/>
        <c:lblOffset val="100"/>
      </c:catAx>
      <c:valAx>
        <c:axId val="155568000"/>
        <c:scaling>
          <c:orientation val="minMax"/>
        </c:scaling>
        <c:axPos val="l"/>
        <c:majorGridlines/>
        <c:numFmt formatCode="0%" sourceLinked="1"/>
        <c:tickLblPos val="nextTo"/>
        <c:crossAx val="155566464"/>
        <c:crosses val="autoZero"/>
        <c:crossBetween val="between"/>
      </c:valAx>
    </c:plotArea>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de-AT"/>
  <c:style val="5"/>
  <c:chart>
    <c:autoTitleDeleted val="1"/>
    <c:view3D>
      <c:rAngAx val="1"/>
    </c:view3D>
    <c:plotArea>
      <c:layout/>
      <c:bar3DChart>
        <c:barDir val="col"/>
        <c:grouping val="clustered"/>
        <c:ser>
          <c:idx val="0"/>
          <c:order val="0"/>
          <c:tx>
            <c:strRef>
              <c:f>Tabelle2!$A$11:$B$11</c:f>
              <c:strCache>
                <c:ptCount val="1"/>
                <c:pt idx="0">
                  <c:v>Bei der Wohnungsvergabe sollten neben der Staatsbürgerschaft auch Fragen im Zusammenhang mit dem Migrationshintergrund wie Muttersprache, Religion etc. berücksichtigt werden. Bei der Wohnungsvergabe sollten neben der Staatsbürgerschaft auch Fragen im Zusa</c:v>
                </c:pt>
              </c:strCache>
            </c:strRef>
          </c:tx>
          <c:dLbls>
            <c:showVal val="1"/>
          </c:dLbls>
          <c:cat>
            <c:strRef>
              <c:f>Tabelle2!$C$10:$G$10</c:f>
              <c:strCache>
                <c:ptCount val="5"/>
                <c:pt idx="0">
                  <c:v>gesamt</c:v>
                </c:pt>
                <c:pt idx="1">
                  <c:v>Wohnungsämter</c:v>
                </c:pt>
                <c:pt idx="2">
                  <c:v>gemeinnützige Bauträger</c:v>
                </c:pt>
                <c:pt idx="3">
                  <c:v>private Bauträger</c:v>
                </c:pt>
                <c:pt idx="4">
                  <c:v>Beratungseinrichtungen</c:v>
                </c:pt>
              </c:strCache>
            </c:strRef>
          </c:cat>
          <c:val>
            <c:numRef>
              <c:f>Tabelle2!$C$11:$G$11</c:f>
              <c:numCache>
                <c:formatCode>0%</c:formatCode>
                <c:ptCount val="5"/>
                <c:pt idx="0">
                  <c:v>0.44</c:v>
                </c:pt>
                <c:pt idx="1">
                  <c:v>0.5</c:v>
                </c:pt>
                <c:pt idx="2">
                  <c:v>0.58000000000000007</c:v>
                </c:pt>
                <c:pt idx="3">
                  <c:v>0.39000000000000623</c:v>
                </c:pt>
                <c:pt idx="4">
                  <c:v>0.45</c:v>
                </c:pt>
              </c:numCache>
            </c:numRef>
          </c:val>
        </c:ser>
        <c:shape val="cylinder"/>
        <c:axId val="155715072"/>
        <c:axId val="155716608"/>
        <c:axId val="0"/>
      </c:bar3DChart>
      <c:catAx>
        <c:axId val="155715072"/>
        <c:scaling>
          <c:orientation val="minMax"/>
        </c:scaling>
        <c:axPos val="b"/>
        <c:tickLblPos val="nextTo"/>
        <c:crossAx val="155716608"/>
        <c:crosses val="autoZero"/>
        <c:auto val="1"/>
        <c:lblAlgn val="ctr"/>
        <c:lblOffset val="100"/>
      </c:catAx>
      <c:valAx>
        <c:axId val="155716608"/>
        <c:scaling>
          <c:orientation val="minMax"/>
        </c:scaling>
        <c:axPos val="l"/>
        <c:majorGridlines/>
        <c:numFmt formatCode="0%" sourceLinked="1"/>
        <c:tickLblPos val="nextTo"/>
        <c:crossAx val="155715072"/>
        <c:crosses val="autoZero"/>
        <c:crossBetween val="between"/>
      </c:valAx>
    </c:plotArea>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de-AT"/>
  <c:style val="5"/>
  <c:chart>
    <c:autoTitleDeleted val="1"/>
    <c:view3D>
      <c:rAngAx val="1"/>
    </c:view3D>
    <c:plotArea>
      <c:layout/>
      <c:bar3DChart>
        <c:barDir val="col"/>
        <c:grouping val="clustered"/>
        <c:ser>
          <c:idx val="0"/>
          <c:order val="0"/>
          <c:tx>
            <c:strRef>
              <c:f>Tabelle2!$A$13:$B$13</c:f>
              <c:strCache>
                <c:ptCount val="1"/>
                <c:pt idx="0">
                  <c:v>Neue MieterInnen müssen gut zur Hausgemeinschaft passen. Neue MieterInnen müssen gut zur Hausgemeinschaft passen.</c:v>
                </c:pt>
              </c:strCache>
            </c:strRef>
          </c:tx>
          <c:dLbls>
            <c:showVal val="1"/>
          </c:dLbls>
          <c:cat>
            <c:strRef>
              <c:f>Tabelle2!$C$12:$G$12</c:f>
              <c:strCache>
                <c:ptCount val="5"/>
                <c:pt idx="0">
                  <c:v>gesamt</c:v>
                </c:pt>
                <c:pt idx="1">
                  <c:v>Wohnungsämter</c:v>
                </c:pt>
                <c:pt idx="2">
                  <c:v>gemeinnützige Bauträger</c:v>
                </c:pt>
                <c:pt idx="3">
                  <c:v>private Bauträger</c:v>
                </c:pt>
                <c:pt idx="4">
                  <c:v>Beratungseinrichtungen</c:v>
                </c:pt>
              </c:strCache>
            </c:strRef>
          </c:cat>
          <c:val>
            <c:numRef>
              <c:f>Tabelle2!$C$13:$G$13</c:f>
              <c:numCache>
                <c:formatCode>0%</c:formatCode>
                <c:ptCount val="5"/>
                <c:pt idx="0">
                  <c:v>0.55000000000000004</c:v>
                </c:pt>
                <c:pt idx="1">
                  <c:v>0.69000000000000061</c:v>
                </c:pt>
                <c:pt idx="2">
                  <c:v>0.65000000000001268</c:v>
                </c:pt>
                <c:pt idx="3">
                  <c:v>0.61000000000000065</c:v>
                </c:pt>
                <c:pt idx="4">
                  <c:v>0.47000000000000008</c:v>
                </c:pt>
              </c:numCache>
            </c:numRef>
          </c:val>
        </c:ser>
        <c:shape val="cylinder"/>
        <c:axId val="155761280"/>
        <c:axId val="155771264"/>
        <c:axId val="0"/>
      </c:bar3DChart>
      <c:catAx>
        <c:axId val="155761280"/>
        <c:scaling>
          <c:orientation val="minMax"/>
        </c:scaling>
        <c:axPos val="b"/>
        <c:tickLblPos val="nextTo"/>
        <c:crossAx val="155771264"/>
        <c:crosses val="autoZero"/>
        <c:auto val="1"/>
        <c:lblAlgn val="ctr"/>
        <c:lblOffset val="100"/>
      </c:catAx>
      <c:valAx>
        <c:axId val="155771264"/>
        <c:scaling>
          <c:orientation val="minMax"/>
        </c:scaling>
        <c:axPos val="l"/>
        <c:majorGridlines/>
        <c:numFmt formatCode="0%" sourceLinked="1"/>
        <c:tickLblPos val="nextTo"/>
        <c:crossAx val="155761280"/>
        <c:crosses val="autoZero"/>
        <c:crossBetween val="between"/>
      </c:valAx>
    </c:plotArea>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de-AT"/>
  <c:style val="5"/>
  <c:chart>
    <c:autoTitleDeleted val="1"/>
    <c:view3D>
      <c:rAngAx val="1"/>
    </c:view3D>
    <c:plotArea>
      <c:layout/>
      <c:bar3DChart>
        <c:barDir val="col"/>
        <c:grouping val="clustered"/>
        <c:ser>
          <c:idx val="0"/>
          <c:order val="0"/>
          <c:tx>
            <c:strRef>
              <c:f>Tabelle2!$A$15:$B$15</c:f>
              <c:strCache>
                <c:ptCount val="1"/>
                <c:pt idx="0">
                  <c:v>Bevor eine nicht-österreichische Familie eine Wohnung erhält, ist deren Bereitschaft zu überprüfen, sich in die Hausgemeinschaft einzufügen. Bevor eine nicht-österreichische Familie eine Wohnung erhält, ist deren Bereitschaft zu überprüfen, sich in die Ha</c:v>
                </c:pt>
              </c:strCache>
            </c:strRef>
          </c:tx>
          <c:dLbls>
            <c:showVal val="1"/>
          </c:dLbls>
          <c:cat>
            <c:strRef>
              <c:f>Tabelle2!$C$14:$G$14</c:f>
              <c:strCache>
                <c:ptCount val="5"/>
                <c:pt idx="0">
                  <c:v>gesamt</c:v>
                </c:pt>
                <c:pt idx="1">
                  <c:v>Wohnungsämter</c:v>
                </c:pt>
                <c:pt idx="2">
                  <c:v>gemeinnützige Bauträger</c:v>
                </c:pt>
                <c:pt idx="3">
                  <c:v>private Bauträger</c:v>
                </c:pt>
                <c:pt idx="4">
                  <c:v>Beratungseinrichtungen</c:v>
                </c:pt>
              </c:strCache>
            </c:strRef>
          </c:cat>
          <c:val>
            <c:numRef>
              <c:f>Tabelle2!$C$15:$G$15</c:f>
              <c:numCache>
                <c:formatCode>0%</c:formatCode>
                <c:ptCount val="5"/>
                <c:pt idx="0">
                  <c:v>0.18000000000000024</c:v>
                </c:pt>
                <c:pt idx="1">
                  <c:v>0.24000000000000021</c:v>
                </c:pt>
                <c:pt idx="2">
                  <c:v>0.21000000000000021</c:v>
                </c:pt>
                <c:pt idx="3">
                  <c:v>0.17</c:v>
                </c:pt>
                <c:pt idx="4">
                  <c:v>0.16</c:v>
                </c:pt>
              </c:numCache>
            </c:numRef>
          </c:val>
        </c:ser>
        <c:shape val="cylinder"/>
        <c:axId val="158412800"/>
        <c:axId val="158414336"/>
        <c:axId val="0"/>
      </c:bar3DChart>
      <c:catAx>
        <c:axId val="158412800"/>
        <c:scaling>
          <c:orientation val="minMax"/>
        </c:scaling>
        <c:axPos val="b"/>
        <c:tickLblPos val="nextTo"/>
        <c:crossAx val="158414336"/>
        <c:crosses val="autoZero"/>
        <c:auto val="1"/>
        <c:lblAlgn val="ctr"/>
        <c:lblOffset val="100"/>
      </c:catAx>
      <c:valAx>
        <c:axId val="158414336"/>
        <c:scaling>
          <c:orientation val="minMax"/>
        </c:scaling>
        <c:axPos val="l"/>
        <c:majorGridlines/>
        <c:numFmt formatCode="0%" sourceLinked="1"/>
        <c:tickLblPos val="nextTo"/>
        <c:crossAx val="158412800"/>
        <c:crosses val="autoZero"/>
        <c:crossBetween val="between"/>
      </c:valAx>
    </c:plotArea>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de-AT"/>
  <c:style val="5"/>
  <c:chart>
    <c:autoTitleDeleted val="1"/>
    <c:view3D>
      <c:rAngAx val="1"/>
    </c:view3D>
    <c:plotArea>
      <c:layout/>
      <c:bar3DChart>
        <c:barDir val="col"/>
        <c:grouping val="clustered"/>
        <c:ser>
          <c:idx val="0"/>
          <c:order val="0"/>
          <c:tx>
            <c:strRef>
              <c:f>Tabelle2!$A$17:$B$17</c:f>
              <c:strCache>
                <c:ptCount val="1"/>
                <c:pt idx="0">
                  <c:v>Bei der Abklärung von Voraussetzungen und besonderen Bedürfnissen von WohnungswerberInnen mit Migrationshintergrund sollen externe Beratungsstellen für die Beratung/Betreuung dieser Familien beigezogen werden. Bei der Abklärung von Voraussetzungen und bes</c:v>
                </c:pt>
              </c:strCache>
            </c:strRef>
          </c:tx>
          <c:dLbls>
            <c:showVal val="1"/>
          </c:dLbls>
          <c:cat>
            <c:strRef>
              <c:f>Tabelle2!$C$16:$G$16</c:f>
              <c:strCache>
                <c:ptCount val="5"/>
                <c:pt idx="0">
                  <c:v>gesamt</c:v>
                </c:pt>
                <c:pt idx="1">
                  <c:v>Wohnungsämter</c:v>
                </c:pt>
                <c:pt idx="2">
                  <c:v>gemeinnützige Bauträger</c:v>
                </c:pt>
                <c:pt idx="3">
                  <c:v>private Bauträger</c:v>
                </c:pt>
                <c:pt idx="4">
                  <c:v>Beratungseinrichtungen</c:v>
                </c:pt>
              </c:strCache>
            </c:strRef>
          </c:cat>
          <c:val>
            <c:numRef>
              <c:f>Tabelle2!$C$17:$G$17</c:f>
              <c:numCache>
                <c:formatCode>0%</c:formatCode>
                <c:ptCount val="5"/>
                <c:pt idx="0">
                  <c:v>0.58000000000000007</c:v>
                </c:pt>
                <c:pt idx="1">
                  <c:v>0.55000000000000004</c:v>
                </c:pt>
                <c:pt idx="2">
                  <c:v>0.5</c:v>
                </c:pt>
                <c:pt idx="3">
                  <c:v>0.45</c:v>
                </c:pt>
                <c:pt idx="4">
                  <c:v>0.63000000000001177</c:v>
                </c:pt>
              </c:numCache>
            </c:numRef>
          </c:val>
        </c:ser>
        <c:shape val="cylinder"/>
        <c:axId val="158434432"/>
        <c:axId val="158435968"/>
        <c:axId val="0"/>
      </c:bar3DChart>
      <c:catAx>
        <c:axId val="158434432"/>
        <c:scaling>
          <c:orientation val="minMax"/>
        </c:scaling>
        <c:axPos val="b"/>
        <c:tickLblPos val="nextTo"/>
        <c:crossAx val="158435968"/>
        <c:crosses val="autoZero"/>
        <c:auto val="1"/>
        <c:lblAlgn val="ctr"/>
        <c:lblOffset val="100"/>
      </c:catAx>
      <c:valAx>
        <c:axId val="158435968"/>
        <c:scaling>
          <c:orientation val="minMax"/>
        </c:scaling>
        <c:axPos val="l"/>
        <c:majorGridlines/>
        <c:numFmt formatCode="0%" sourceLinked="1"/>
        <c:tickLblPos val="nextTo"/>
        <c:crossAx val="158434432"/>
        <c:crosses val="autoZero"/>
        <c:crossBetween val="between"/>
      </c:valAx>
    </c:plotArea>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de-AT"/>
  <c:chart>
    <c:view3D>
      <c:rAngAx val="1"/>
    </c:view3D>
    <c:plotArea>
      <c:layout/>
      <c:bar3DChart>
        <c:barDir val="bar"/>
        <c:grouping val="clustered"/>
        <c:ser>
          <c:idx val="0"/>
          <c:order val="0"/>
          <c:dLbls>
            <c:showVal val="1"/>
          </c:dLbls>
          <c:cat>
            <c:strRef>
              <c:f>'Question 17'!$B$22:$B$27</c:f>
              <c:strCache>
                <c:ptCount val="6"/>
                <c:pt idx="0">
                  <c:v>Bekämpfung von Armut und Wohnungslosigkeit, z.B. für betreutes Wohnen</c:v>
                </c:pt>
                <c:pt idx="1">
                  <c:v>Wohnversorgung von Drittstaatsangehörigen</c:v>
                </c:pt>
                <c:pt idx="2">
                  <c:v>Wohnversorgung von anerkannten Asylsuchenden</c:v>
                </c:pt>
                <c:pt idx="3">
                  <c:v>betreutes Wohnen für SeniorInnen</c:v>
                </c:pt>
                <c:pt idx="4">
                  <c:v>Startwohnungen für Jungfamilien</c:v>
                </c:pt>
                <c:pt idx="5">
                  <c:v>für andere Zielgruppen</c:v>
                </c:pt>
              </c:strCache>
            </c:strRef>
          </c:cat>
          <c:val>
            <c:numRef>
              <c:f>'Question 17'!$C$22:$C$27</c:f>
              <c:numCache>
                <c:formatCode>0%</c:formatCode>
                <c:ptCount val="6"/>
                <c:pt idx="0">
                  <c:v>0.45</c:v>
                </c:pt>
                <c:pt idx="1">
                  <c:v>0.21000000000000021</c:v>
                </c:pt>
                <c:pt idx="2">
                  <c:v>0.25</c:v>
                </c:pt>
                <c:pt idx="3">
                  <c:v>0.41000000000000031</c:v>
                </c:pt>
                <c:pt idx="4">
                  <c:v>0.33000000000000523</c:v>
                </c:pt>
                <c:pt idx="5">
                  <c:v>0.30000000000000032</c:v>
                </c:pt>
              </c:numCache>
            </c:numRef>
          </c:val>
        </c:ser>
        <c:shape val="cylinder"/>
        <c:axId val="158460160"/>
        <c:axId val="155590656"/>
        <c:axId val="0"/>
      </c:bar3DChart>
      <c:catAx>
        <c:axId val="158460160"/>
        <c:scaling>
          <c:orientation val="minMax"/>
        </c:scaling>
        <c:axPos val="l"/>
        <c:tickLblPos val="nextTo"/>
        <c:crossAx val="155590656"/>
        <c:crosses val="autoZero"/>
        <c:auto val="1"/>
        <c:lblAlgn val="ctr"/>
        <c:lblOffset val="100"/>
      </c:catAx>
      <c:valAx>
        <c:axId val="155590656"/>
        <c:scaling>
          <c:orientation val="minMax"/>
        </c:scaling>
        <c:axPos val="b"/>
        <c:majorGridlines/>
        <c:numFmt formatCode="0%" sourceLinked="1"/>
        <c:tickLblPos val="nextTo"/>
        <c:crossAx val="158460160"/>
        <c:crosses val="autoZero"/>
        <c:crossBetween val="between"/>
      </c:valAx>
    </c:plotArea>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de-AT"/>
  <c:chart>
    <c:view3D>
      <c:rAngAx val="1"/>
    </c:view3D>
    <c:plotArea>
      <c:layout/>
      <c:bar3DChart>
        <c:barDir val="bar"/>
        <c:grouping val="clustered"/>
        <c:ser>
          <c:idx val="0"/>
          <c:order val="0"/>
          <c:tx>
            <c:strRef>
              <c:f>Tabelle1!$B$232</c:f>
              <c:strCache>
                <c:ptCount val="1"/>
                <c:pt idx="0">
                  <c:v>gesamt</c:v>
                </c:pt>
              </c:strCache>
            </c:strRef>
          </c:tx>
          <c:dLbls>
            <c:txPr>
              <a:bodyPr/>
              <a:lstStyle/>
              <a:p>
                <a:pPr>
                  <a:defRPr sz="800"/>
                </a:pPr>
                <a:endParaRPr lang="de-DE"/>
              </a:p>
            </c:txPr>
            <c:showVal val="1"/>
          </c:dLbls>
          <c:cat>
            <c:strRef>
              <c:f>Tabelle1!$A$233:$A$238</c:f>
              <c:strCache>
                <c:ptCount val="6"/>
                <c:pt idx="0">
                  <c:v>Kontingent für die Bekämpfung von Armut und Wohnungslosigkeit, z.B. für betreutes Wohnen</c:v>
                </c:pt>
                <c:pt idx="1">
                  <c:v>Kontingent für die Wohnversorgung von Drittstaatsangehörigen</c:v>
                </c:pt>
                <c:pt idx="2">
                  <c:v>Kontingent für die Wohnversorgung von anerkannten Asylsuchenden</c:v>
                </c:pt>
                <c:pt idx="3">
                  <c:v>betreutes Wohnen für SeniorInnen</c:v>
                </c:pt>
                <c:pt idx="4">
                  <c:v>Startwohnungen für Jungfamilien</c:v>
                </c:pt>
                <c:pt idx="5">
                  <c:v>Kontingent für andere Zielgruppen</c:v>
                </c:pt>
              </c:strCache>
            </c:strRef>
          </c:cat>
          <c:val>
            <c:numRef>
              <c:f>Tabelle1!$B$233:$B$238</c:f>
              <c:numCache>
                <c:formatCode>0%</c:formatCode>
                <c:ptCount val="6"/>
                <c:pt idx="0">
                  <c:v>0.45</c:v>
                </c:pt>
                <c:pt idx="1">
                  <c:v>0.21000000000000021</c:v>
                </c:pt>
                <c:pt idx="2">
                  <c:v>0.26</c:v>
                </c:pt>
                <c:pt idx="3">
                  <c:v>0.42000000000000032</c:v>
                </c:pt>
                <c:pt idx="4">
                  <c:v>0.33000000000000651</c:v>
                </c:pt>
                <c:pt idx="5">
                  <c:v>0.30000000000000032</c:v>
                </c:pt>
              </c:numCache>
            </c:numRef>
          </c:val>
        </c:ser>
        <c:ser>
          <c:idx val="1"/>
          <c:order val="1"/>
          <c:tx>
            <c:strRef>
              <c:f>Tabelle1!$C$232</c:f>
              <c:strCache>
                <c:ptCount val="1"/>
                <c:pt idx="0">
                  <c:v>Wohnungsamt</c:v>
                </c:pt>
              </c:strCache>
            </c:strRef>
          </c:tx>
          <c:dLbls>
            <c:txPr>
              <a:bodyPr/>
              <a:lstStyle/>
              <a:p>
                <a:pPr>
                  <a:defRPr sz="800"/>
                </a:pPr>
                <a:endParaRPr lang="de-DE"/>
              </a:p>
            </c:txPr>
            <c:showVal val="1"/>
          </c:dLbls>
          <c:cat>
            <c:strRef>
              <c:f>Tabelle1!$A$233:$A$238</c:f>
              <c:strCache>
                <c:ptCount val="6"/>
                <c:pt idx="0">
                  <c:v>Kontingent für die Bekämpfung von Armut und Wohnungslosigkeit, z.B. für betreutes Wohnen</c:v>
                </c:pt>
                <c:pt idx="1">
                  <c:v>Kontingent für die Wohnversorgung von Drittstaatsangehörigen</c:v>
                </c:pt>
                <c:pt idx="2">
                  <c:v>Kontingent für die Wohnversorgung von anerkannten Asylsuchenden</c:v>
                </c:pt>
                <c:pt idx="3">
                  <c:v>betreutes Wohnen für SeniorInnen</c:v>
                </c:pt>
                <c:pt idx="4">
                  <c:v>Startwohnungen für Jungfamilien</c:v>
                </c:pt>
                <c:pt idx="5">
                  <c:v>Kontingent für andere Zielgruppen</c:v>
                </c:pt>
              </c:strCache>
            </c:strRef>
          </c:cat>
          <c:val>
            <c:numRef>
              <c:f>Tabelle1!$C$233:$C$238</c:f>
              <c:numCache>
                <c:formatCode>0%</c:formatCode>
                <c:ptCount val="6"/>
                <c:pt idx="0">
                  <c:v>0.32000000000000611</c:v>
                </c:pt>
                <c:pt idx="1">
                  <c:v>0.15000000000000024</c:v>
                </c:pt>
                <c:pt idx="2">
                  <c:v>0.17</c:v>
                </c:pt>
                <c:pt idx="3">
                  <c:v>0.51</c:v>
                </c:pt>
                <c:pt idx="4">
                  <c:v>0.32000000000000611</c:v>
                </c:pt>
                <c:pt idx="5">
                  <c:v>0.15000000000000024</c:v>
                </c:pt>
              </c:numCache>
            </c:numRef>
          </c:val>
        </c:ser>
        <c:ser>
          <c:idx val="2"/>
          <c:order val="2"/>
          <c:tx>
            <c:strRef>
              <c:f>Tabelle1!$D$232</c:f>
              <c:strCache>
                <c:ptCount val="1"/>
                <c:pt idx="0">
                  <c:v>gemeinnütziger Bauträger</c:v>
                </c:pt>
              </c:strCache>
            </c:strRef>
          </c:tx>
          <c:dLbls>
            <c:txPr>
              <a:bodyPr/>
              <a:lstStyle/>
              <a:p>
                <a:pPr>
                  <a:defRPr sz="800"/>
                </a:pPr>
                <a:endParaRPr lang="de-DE"/>
              </a:p>
            </c:txPr>
            <c:showVal val="1"/>
          </c:dLbls>
          <c:cat>
            <c:strRef>
              <c:f>Tabelle1!$A$233:$A$238</c:f>
              <c:strCache>
                <c:ptCount val="6"/>
                <c:pt idx="0">
                  <c:v>Kontingent für die Bekämpfung von Armut und Wohnungslosigkeit, z.B. für betreutes Wohnen</c:v>
                </c:pt>
                <c:pt idx="1">
                  <c:v>Kontingent für die Wohnversorgung von Drittstaatsangehörigen</c:v>
                </c:pt>
                <c:pt idx="2">
                  <c:v>Kontingent für die Wohnversorgung von anerkannten Asylsuchenden</c:v>
                </c:pt>
                <c:pt idx="3">
                  <c:v>betreutes Wohnen für SeniorInnen</c:v>
                </c:pt>
                <c:pt idx="4">
                  <c:v>Startwohnungen für Jungfamilien</c:v>
                </c:pt>
                <c:pt idx="5">
                  <c:v>Kontingent für andere Zielgruppen</c:v>
                </c:pt>
              </c:strCache>
            </c:strRef>
          </c:cat>
          <c:val>
            <c:numRef>
              <c:f>Tabelle1!$D$233:$D$238</c:f>
              <c:numCache>
                <c:formatCode>0%</c:formatCode>
                <c:ptCount val="6"/>
                <c:pt idx="0">
                  <c:v>0.33000000000000651</c:v>
                </c:pt>
                <c:pt idx="1">
                  <c:v>9.0000000000000024E-2</c:v>
                </c:pt>
                <c:pt idx="2">
                  <c:v>0.18000000000000024</c:v>
                </c:pt>
                <c:pt idx="3">
                  <c:v>0.61000000000000065</c:v>
                </c:pt>
                <c:pt idx="4">
                  <c:v>0.52</c:v>
                </c:pt>
                <c:pt idx="5">
                  <c:v>0.25</c:v>
                </c:pt>
              </c:numCache>
            </c:numRef>
          </c:val>
        </c:ser>
        <c:ser>
          <c:idx val="3"/>
          <c:order val="3"/>
          <c:tx>
            <c:strRef>
              <c:f>Tabelle1!$E$232</c:f>
              <c:strCache>
                <c:ptCount val="1"/>
                <c:pt idx="0">
                  <c:v>privater Bauträger</c:v>
                </c:pt>
              </c:strCache>
            </c:strRef>
          </c:tx>
          <c:dLbls>
            <c:txPr>
              <a:bodyPr/>
              <a:lstStyle/>
              <a:p>
                <a:pPr>
                  <a:defRPr sz="800"/>
                </a:pPr>
                <a:endParaRPr lang="de-DE"/>
              </a:p>
            </c:txPr>
            <c:showVal val="1"/>
          </c:dLbls>
          <c:cat>
            <c:strRef>
              <c:f>Tabelle1!$A$233:$A$238</c:f>
              <c:strCache>
                <c:ptCount val="6"/>
                <c:pt idx="0">
                  <c:v>Kontingent für die Bekämpfung von Armut und Wohnungslosigkeit, z.B. für betreutes Wohnen</c:v>
                </c:pt>
                <c:pt idx="1">
                  <c:v>Kontingent für die Wohnversorgung von Drittstaatsangehörigen</c:v>
                </c:pt>
                <c:pt idx="2">
                  <c:v>Kontingent für die Wohnversorgung von anerkannten Asylsuchenden</c:v>
                </c:pt>
                <c:pt idx="3">
                  <c:v>betreutes Wohnen für SeniorInnen</c:v>
                </c:pt>
                <c:pt idx="4">
                  <c:v>Startwohnungen für Jungfamilien</c:v>
                </c:pt>
                <c:pt idx="5">
                  <c:v>Kontingent für andere Zielgruppen</c:v>
                </c:pt>
              </c:strCache>
            </c:strRef>
          </c:cat>
          <c:val>
            <c:numRef>
              <c:f>Tabelle1!$E$233:$E$238</c:f>
              <c:numCache>
                <c:formatCode>0%</c:formatCode>
                <c:ptCount val="6"/>
                <c:pt idx="0">
                  <c:v>0.35000000000000031</c:v>
                </c:pt>
                <c:pt idx="1">
                  <c:v>0</c:v>
                </c:pt>
                <c:pt idx="2">
                  <c:v>0.24000000000000021</c:v>
                </c:pt>
                <c:pt idx="3">
                  <c:v>0.24000000000000021</c:v>
                </c:pt>
                <c:pt idx="4">
                  <c:v>0.24000000000000021</c:v>
                </c:pt>
                <c:pt idx="5">
                  <c:v>0.12000000000000002</c:v>
                </c:pt>
              </c:numCache>
            </c:numRef>
          </c:val>
        </c:ser>
        <c:ser>
          <c:idx val="4"/>
          <c:order val="4"/>
          <c:tx>
            <c:strRef>
              <c:f>Tabelle1!$F$232</c:f>
              <c:strCache>
                <c:ptCount val="1"/>
                <c:pt idx="0">
                  <c:v>Beratungseinrichtung</c:v>
                </c:pt>
              </c:strCache>
            </c:strRef>
          </c:tx>
          <c:dLbls>
            <c:txPr>
              <a:bodyPr/>
              <a:lstStyle/>
              <a:p>
                <a:pPr>
                  <a:defRPr sz="800"/>
                </a:pPr>
                <a:endParaRPr lang="de-DE"/>
              </a:p>
            </c:txPr>
            <c:showVal val="1"/>
          </c:dLbls>
          <c:cat>
            <c:strRef>
              <c:f>Tabelle1!$A$233:$A$238</c:f>
              <c:strCache>
                <c:ptCount val="6"/>
                <c:pt idx="0">
                  <c:v>Kontingent für die Bekämpfung von Armut und Wohnungslosigkeit, z.B. für betreutes Wohnen</c:v>
                </c:pt>
                <c:pt idx="1">
                  <c:v>Kontingent für die Wohnversorgung von Drittstaatsangehörigen</c:v>
                </c:pt>
                <c:pt idx="2">
                  <c:v>Kontingent für die Wohnversorgung von anerkannten Asylsuchenden</c:v>
                </c:pt>
                <c:pt idx="3">
                  <c:v>betreutes Wohnen für SeniorInnen</c:v>
                </c:pt>
                <c:pt idx="4">
                  <c:v>Startwohnungen für Jungfamilien</c:v>
                </c:pt>
                <c:pt idx="5">
                  <c:v>Kontingent für andere Zielgruppen</c:v>
                </c:pt>
              </c:strCache>
            </c:strRef>
          </c:cat>
          <c:val>
            <c:numRef>
              <c:f>Tabelle1!$F$233:$F$238</c:f>
              <c:numCache>
                <c:formatCode>0%</c:formatCode>
                <c:ptCount val="6"/>
                <c:pt idx="0">
                  <c:v>0.54</c:v>
                </c:pt>
                <c:pt idx="1">
                  <c:v>0.22</c:v>
                </c:pt>
                <c:pt idx="2">
                  <c:v>0.26</c:v>
                </c:pt>
                <c:pt idx="3">
                  <c:v>0.35000000000000031</c:v>
                </c:pt>
                <c:pt idx="4">
                  <c:v>0.26</c:v>
                </c:pt>
                <c:pt idx="5">
                  <c:v>0.28000000000000008</c:v>
                </c:pt>
              </c:numCache>
            </c:numRef>
          </c:val>
        </c:ser>
        <c:shape val="cylinder"/>
        <c:axId val="155801088"/>
        <c:axId val="155802624"/>
        <c:axId val="0"/>
      </c:bar3DChart>
      <c:catAx>
        <c:axId val="155801088"/>
        <c:scaling>
          <c:orientation val="minMax"/>
        </c:scaling>
        <c:axPos val="l"/>
        <c:tickLblPos val="nextTo"/>
        <c:txPr>
          <a:bodyPr/>
          <a:lstStyle/>
          <a:p>
            <a:pPr>
              <a:defRPr sz="800"/>
            </a:pPr>
            <a:endParaRPr lang="de-DE"/>
          </a:p>
        </c:txPr>
        <c:crossAx val="155802624"/>
        <c:crosses val="autoZero"/>
        <c:auto val="1"/>
        <c:lblAlgn val="ctr"/>
        <c:lblOffset val="100"/>
      </c:catAx>
      <c:valAx>
        <c:axId val="155802624"/>
        <c:scaling>
          <c:orientation val="minMax"/>
        </c:scaling>
        <c:axPos val="b"/>
        <c:majorGridlines/>
        <c:numFmt formatCode="0%" sourceLinked="1"/>
        <c:tickLblPos val="nextTo"/>
        <c:txPr>
          <a:bodyPr/>
          <a:lstStyle/>
          <a:p>
            <a:pPr>
              <a:defRPr sz="800"/>
            </a:pPr>
            <a:endParaRPr lang="de-DE"/>
          </a:p>
        </c:txPr>
        <c:crossAx val="155801088"/>
        <c:crosses val="autoZero"/>
        <c:crossBetween val="between"/>
      </c:valAx>
    </c:plotArea>
    <c:legend>
      <c:legendPos val="b"/>
      <c:txPr>
        <a:bodyPr/>
        <a:lstStyle/>
        <a:p>
          <a:pPr>
            <a:defRPr sz="800"/>
          </a:pPr>
          <a:endParaRPr lang="de-DE"/>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de-AT"/>
  <c:style val="5"/>
  <c:chart>
    <c:title>
      <c:tx>
        <c:rich>
          <a:bodyPr/>
          <a:lstStyle/>
          <a:p>
            <a:pPr>
              <a:defRPr/>
            </a:pPr>
            <a:r>
              <a:rPr lang="de-AT" sz="1200"/>
              <a:t>Anzahl der verfügbaren Wohnungen im Zuständigkeitsbereich</a:t>
            </a:r>
          </a:p>
        </c:rich>
      </c:tx>
    </c:title>
    <c:plotArea>
      <c:layout/>
      <c:pieChart>
        <c:varyColors val="1"/>
        <c:ser>
          <c:idx val="0"/>
          <c:order val="0"/>
          <c:dLbls>
            <c:dLbl>
              <c:idx val="0"/>
              <c:layout>
                <c:manualLayout>
                  <c:x val="6.7547936716244534E-3"/>
                  <c:y val="2.6473367299677059E-2"/>
                </c:manualLayout>
              </c:layout>
              <c:showVal val="1"/>
            </c:dLbl>
            <c:dLbl>
              <c:idx val="1"/>
              <c:layout>
                <c:manualLayout>
                  <c:x val="1.9398239282589685E-2"/>
                  <c:y val="-4.6842674077505024E-2"/>
                </c:manualLayout>
              </c:layout>
              <c:showVal val="1"/>
            </c:dLbl>
            <c:dLbl>
              <c:idx val="2"/>
              <c:layout>
                <c:manualLayout>
                  <c:x val="-2.1284175415574598E-2"/>
                  <c:y val="-3.1415778909989492E-2"/>
                </c:manualLayout>
              </c:layout>
              <c:showVal val="1"/>
            </c:dLbl>
            <c:dLbl>
              <c:idx val="3"/>
              <c:layout>
                <c:manualLayout>
                  <c:x val="-7.8535104986876634E-3"/>
                  <c:y val="-2.9606299212598424E-2"/>
                </c:manualLayout>
              </c:layout>
              <c:showVal val="1"/>
            </c:dLbl>
            <c:dLbl>
              <c:idx val="4"/>
              <c:layout>
                <c:manualLayout>
                  <c:x val="1.4039351851851838E-2"/>
                  <c:y val="-6.0507024857189187E-2"/>
                </c:manualLayout>
              </c:layout>
              <c:showVal val="1"/>
            </c:dLbl>
            <c:showVal val="1"/>
            <c:showLeaderLines val="1"/>
          </c:dLbls>
          <c:cat>
            <c:strRef>
              <c:f>'Question 4'!$A$4:$A$8</c:f>
              <c:strCache>
                <c:ptCount val="5"/>
                <c:pt idx="0">
                  <c:v>keine</c:v>
                </c:pt>
                <c:pt idx="1">
                  <c:v>weniger als 100</c:v>
                </c:pt>
                <c:pt idx="2">
                  <c:v>zwischen 101 und 500</c:v>
                </c:pt>
                <c:pt idx="3">
                  <c:v>zwischen 501 und 1000</c:v>
                </c:pt>
                <c:pt idx="4">
                  <c:v>mehr als 1000</c:v>
                </c:pt>
              </c:strCache>
            </c:strRef>
          </c:cat>
          <c:val>
            <c:numRef>
              <c:f>'Question 4'!$C$4:$C$8</c:f>
              <c:numCache>
                <c:formatCode>0.0%</c:formatCode>
                <c:ptCount val="5"/>
                <c:pt idx="0">
                  <c:v>0.21800000000000044</c:v>
                </c:pt>
                <c:pt idx="1">
                  <c:v>0.28400000000000031</c:v>
                </c:pt>
                <c:pt idx="2">
                  <c:v>0.10700000000000012</c:v>
                </c:pt>
                <c:pt idx="3">
                  <c:v>5.5999999999999994E-2</c:v>
                </c:pt>
                <c:pt idx="4">
                  <c:v>0.33500000000000812</c:v>
                </c:pt>
              </c:numCache>
            </c:numRef>
          </c:val>
        </c:ser>
        <c:firstSliceAng val="0"/>
      </c:pieChart>
    </c:plotArea>
    <c:legend>
      <c:legendPos val="b"/>
    </c:legend>
    <c:plotVisOnly val="1"/>
    <c:dispBlanksAs val="zero"/>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de-AT"/>
  <c:style val="5"/>
  <c:chart>
    <c:autoTitleDeleted val="1"/>
    <c:view3D>
      <c:rAngAx val="1"/>
    </c:view3D>
    <c:plotArea>
      <c:layout/>
      <c:bar3DChart>
        <c:barDir val="bar"/>
        <c:grouping val="clustered"/>
        <c:ser>
          <c:idx val="0"/>
          <c:order val="0"/>
          <c:tx>
            <c:strRef>
              <c:f>Tabelle1!$B$251</c:f>
              <c:strCache>
                <c:ptCount val="1"/>
                <c:pt idx="0">
                  <c:v>Zustimmung</c:v>
                </c:pt>
              </c:strCache>
            </c:strRef>
          </c:tx>
          <c:dLbls>
            <c:showVal val="1"/>
          </c:dLbls>
          <c:cat>
            <c:strRef>
              <c:f>Tabelle1!$A$252:$A$255</c:f>
              <c:strCache>
                <c:ptCount val="4"/>
                <c:pt idx="0">
                  <c:v>In der Vergabe von Wohnungen sind die SachbearbeiterInnen angehalten, Haushalte mit österreichischer Staatsbürgerschaft vordringlich zu berücksichtigen.</c:v>
                </c:pt>
                <c:pt idx="1">
                  <c:v>Bei der Reihung der WohnungswerberInnen nach Dringlichkeit werden alle wichtigen Bedarfslagen erfasst und in die Wertung einbezogen.</c:v>
                </c:pt>
                <c:pt idx="2">
                  <c:v>Die Vergabekriterien lassen Spielraum, auf besondere Umstände individuell einzugehen.</c:v>
                </c:pt>
                <c:pt idx="3">
                  <c:v>Auch wenn die Wohnungsvergabe strikt nach den Gleichbehandlungsrichtlinien erfolgt, kommt es auf dem Wohnungsmarkt zur Benachteiligung von MigrantInnen.</c:v>
                </c:pt>
              </c:strCache>
            </c:strRef>
          </c:cat>
          <c:val>
            <c:numRef>
              <c:f>Tabelle1!$B$252:$B$255</c:f>
              <c:numCache>
                <c:formatCode>0%</c:formatCode>
                <c:ptCount val="4"/>
                <c:pt idx="0">
                  <c:v>0.19</c:v>
                </c:pt>
                <c:pt idx="1">
                  <c:v>0.66000000000001402</c:v>
                </c:pt>
                <c:pt idx="2">
                  <c:v>0.64000000000001245</c:v>
                </c:pt>
                <c:pt idx="3">
                  <c:v>0.46</c:v>
                </c:pt>
              </c:numCache>
            </c:numRef>
          </c:val>
        </c:ser>
        <c:shape val="cylinder"/>
        <c:axId val="155830144"/>
        <c:axId val="155831680"/>
        <c:axId val="0"/>
      </c:bar3DChart>
      <c:catAx>
        <c:axId val="155830144"/>
        <c:scaling>
          <c:orientation val="minMax"/>
        </c:scaling>
        <c:axPos val="l"/>
        <c:tickLblPos val="nextTo"/>
        <c:crossAx val="155831680"/>
        <c:crosses val="autoZero"/>
        <c:auto val="1"/>
        <c:lblAlgn val="ctr"/>
        <c:lblOffset val="100"/>
      </c:catAx>
      <c:valAx>
        <c:axId val="155831680"/>
        <c:scaling>
          <c:orientation val="minMax"/>
        </c:scaling>
        <c:axPos val="b"/>
        <c:majorGridlines/>
        <c:numFmt formatCode="0%" sourceLinked="1"/>
        <c:tickLblPos val="nextTo"/>
        <c:crossAx val="155830144"/>
        <c:crosses val="autoZero"/>
        <c:crossBetween val="between"/>
      </c:valAx>
    </c:plotArea>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de-AT"/>
  <c:style val="5"/>
  <c:chart>
    <c:title>
      <c:txPr>
        <a:bodyPr/>
        <a:lstStyle/>
        <a:p>
          <a:pPr>
            <a:defRPr sz="800" b="0"/>
          </a:pPr>
          <a:endParaRPr lang="de-DE"/>
        </a:p>
      </c:txPr>
    </c:title>
    <c:view3D>
      <c:rAngAx val="1"/>
    </c:view3D>
    <c:plotArea>
      <c:layout/>
      <c:bar3DChart>
        <c:barDir val="col"/>
        <c:grouping val="clustered"/>
        <c:ser>
          <c:idx val="0"/>
          <c:order val="0"/>
          <c:tx>
            <c:strRef>
              <c:f>Tabelle1!$A$262</c:f>
              <c:strCache>
                <c:ptCount val="1"/>
                <c:pt idx="0">
                  <c:v>In der Vergabe von Wohnungen sind die SachbearbeiterInnen angehalten, Haushalte mit österreichischer Staatsbürgerschaft vordringlich zu berücksichtigen.</c:v>
                </c:pt>
              </c:strCache>
            </c:strRef>
          </c:tx>
          <c:dLbls>
            <c:showVal val="1"/>
          </c:dLbls>
          <c:cat>
            <c:strRef>
              <c:f>Tabelle1!$B$261:$F$261</c:f>
              <c:strCache>
                <c:ptCount val="5"/>
                <c:pt idx="0">
                  <c:v>gesamt</c:v>
                </c:pt>
                <c:pt idx="1">
                  <c:v>Wohnungsämter</c:v>
                </c:pt>
                <c:pt idx="2">
                  <c:v>gemeinnützige Bauträger</c:v>
                </c:pt>
                <c:pt idx="3">
                  <c:v>private Bauträger</c:v>
                </c:pt>
                <c:pt idx="4">
                  <c:v>Beratungseinrichtungen</c:v>
                </c:pt>
              </c:strCache>
            </c:strRef>
          </c:cat>
          <c:val>
            <c:numRef>
              <c:f>Tabelle1!$B$262:$F$262</c:f>
              <c:numCache>
                <c:formatCode>0%</c:formatCode>
                <c:ptCount val="5"/>
                <c:pt idx="0">
                  <c:v>0.19</c:v>
                </c:pt>
                <c:pt idx="1">
                  <c:v>8.0000000000000043E-2</c:v>
                </c:pt>
                <c:pt idx="2">
                  <c:v>0.18000000000000024</c:v>
                </c:pt>
                <c:pt idx="3">
                  <c:v>0.19</c:v>
                </c:pt>
                <c:pt idx="4">
                  <c:v>0.30000000000000032</c:v>
                </c:pt>
              </c:numCache>
            </c:numRef>
          </c:val>
        </c:ser>
        <c:shape val="cylinder"/>
        <c:axId val="158548352"/>
        <c:axId val="158549888"/>
        <c:axId val="0"/>
      </c:bar3DChart>
      <c:catAx>
        <c:axId val="158548352"/>
        <c:scaling>
          <c:orientation val="minMax"/>
        </c:scaling>
        <c:axPos val="b"/>
        <c:tickLblPos val="nextTo"/>
        <c:crossAx val="158549888"/>
        <c:crosses val="autoZero"/>
        <c:auto val="1"/>
        <c:lblAlgn val="ctr"/>
        <c:lblOffset val="100"/>
      </c:catAx>
      <c:valAx>
        <c:axId val="158549888"/>
        <c:scaling>
          <c:orientation val="minMax"/>
        </c:scaling>
        <c:axPos val="l"/>
        <c:majorGridlines/>
        <c:numFmt formatCode="0%" sourceLinked="1"/>
        <c:tickLblPos val="nextTo"/>
        <c:crossAx val="158548352"/>
        <c:crosses val="autoZero"/>
        <c:crossBetween val="between"/>
      </c:valAx>
    </c:plotArea>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de-AT"/>
  <c:style val="5"/>
  <c:chart>
    <c:title>
      <c:txPr>
        <a:bodyPr/>
        <a:lstStyle/>
        <a:p>
          <a:pPr>
            <a:defRPr sz="800" b="0"/>
          </a:pPr>
          <a:endParaRPr lang="de-DE"/>
        </a:p>
      </c:txPr>
    </c:title>
    <c:view3D>
      <c:rAngAx val="1"/>
    </c:view3D>
    <c:plotArea>
      <c:layout/>
      <c:bar3DChart>
        <c:barDir val="col"/>
        <c:grouping val="clustered"/>
        <c:ser>
          <c:idx val="0"/>
          <c:order val="0"/>
          <c:tx>
            <c:strRef>
              <c:f>Tabelle1!$A$264</c:f>
              <c:strCache>
                <c:ptCount val="1"/>
                <c:pt idx="0">
                  <c:v>Bei der Reihung der WohnungswerberInnen nach Dringlichkeit werden alle wichtigen Bedarfslagen erfasst und in die Wertung einbezogen.</c:v>
                </c:pt>
              </c:strCache>
            </c:strRef>
          </c:tx>
          <c:dLbls>
            <c:showVal val="1"/>
          </c:dLbls>
          <c:cat>
            <c:strRef>
              <c:f>Tabelle1!$B$263:$F$263</c:f>
              <c:strCache>
                <c:ptCount val="5"/>
                <c:pt idx="0">
                  <c:v>gesamt</c:v>
                </c:pt>
                <c:pt idx="1">
                  <c:v>Wohnungsämter</c:v>
                </c:pt>
                <c:pt idx="2">
                  <c:v>gemeinnützige Bauträger</c:v>
                </c:pt>
                <c:pt idx="3">
                  <c:v>private Bauträger</c:v>
                </c:pt>
                <c:pt idx="4">
                  <c:v>Beratungseinrichtungen</c:v>
                </c:pt>
              </c:strCache>
            </c:strRef>
          </c:cat>
          <c:val>
            <c:numRef>
              <c:f>Tabelle1!$B$264:$F$264</c:f>
              <c:numCache>
                <c:formatCode>0%</c:formatCode>
                <c:ptCount val="5"/>
                <c:pt idx="0">
                  <c:v>0.66000000000001402</c:v>
                </c:pt>
                <c:pt idx="1">
                  <c:v>0.95000000000000062</c:v>
                </c:pt>
                <c:pt idx="2">
                  <c:v>0.81</c:v>
                </c:pt>
                <c:pt idx="3">
                  <c:v>0.75000000000001121</c:v>
                </c:pt>
                <c:pt idx="4">
                  <c:v>0.60000000000000064</c:v>
                </c:pt>
              </c:numCache>
            </c:numRef>
          </c:val>
        </c:ser>
        <c:shape val="cylinder"/>
        <c:axId val="158578560"/>
        <c:axId val="158580096"/>
        <c:axId val="0"/>
      </c:bar3DChart>
      <c:catAx>
        <c:axId val="158578560"/>
        <c:scaling>
          <c:orientation val="minMax"/>
        </c:scaling>
        <c:axPos val="b"/>
        <c:tickLblPos val="nextTo"/>
        <c:txPr>
          <a:bodyPr/>
          <a:lstStyle/>
          <a:p>
            <a:pPr>
              <a:defRPr sz="800"/>
            </a:pPr>
            <a:endParaRPr lang="de-DE"/>
          </a:p>
        </c:txPr>
        <c:crossAx val="158580096"/>
        <c:crosses val="autoZero"/>
        <c:auto val="1"/>
        <c:lblAlgn val="ctr"/>
        <c:lblOffset val="100"/>
      </c:catAx>
      <c:valAx>
        <c:axId val="158580096"/>
        <c:scaling>
          <c:orientation val="minMax"/>
        </c:scaling>
        <c:axPos val="l"/>
        <c:majorGridlines/>
        <c:numFmt formatCode="0%" sourceLinked="1"/>
        <c:tickLblPos val="nextTo"/>
        <c:crossAx val="158578560"/>
        <c:crosses val="autoZero"/>
        <c:crossBetween val="between"/>
      </c:valAx>
    </c:plotArea>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de-AT"/>
  <c:style val="5"/>
  <c:chart>
    <c:title>
      <c:txPr>
        <a:bodyPr/>
        <a:lstStyle/>
        <a:p>
          <a:pPr>
            <a:defRPr sz="800" b="0"/>
          </a:pPr>
          <a:endParaRPr lang="de-DE"/>
        </a:p>
      </c:txPr>
    </c:title>
    <c:view3D>
      <c:rAngAx val="1"/>
    </c:view3D>
    <c:plotArea>
      <c:layout/>
      <c:bar3DChart>
        <c:barDir val="col"/>
        <c:grouping val="clustered"/>
        <c:ser>
          <c:idx val="0"/>
          <c:order val="0"/>
          <c:tx>
            <c:strRef>
              <c:f>Tabelle1!$A$266</c:f>
              <c:strCache>
                <c:ptCount val="1"/>
                <c:pt idx="0">
                  <c:v>Die Vergabekriterien lassen Spielraum, auf besondere Umstände individuell einzugehen.</c:v>
                </c:pt>
              </c:strCache>
            </c:strRef>
          </c:tx>
          <c:dLbls>
            <c:showVal val="1"/>
          </c:dLbls>
          <c:cat>
            <c:strRef>
              <c:f>Tabelle1!$B$265:$F$265</c:f>
              <c:strCache>
                <c:ptCount val="5"/>
                <c:pt idx="0">
                  <c:v>gesamt</c:v>
                </c:pt>
                <c:pt idx="1">
                  <c:v>Wohnungsämter</c:v>
                </c:pt>
                <c:pt idx="2">
                  <c:v>gemeinnützige Bauträger</c:v>
                </c:pt>
                <c:pt idx="3">
                  <c:v>private Bauträger</c:v>
                </c:pt>
                <c:pt idx="4">
                  <c:v>Beratungseinrichtungen</c:v>
                </c:pt>
              </c:strCache>
            </c:strRef>
          </c:cat>
          <c:val>
            <c:numRef>
              <c:f>Tabelle1!$B$266:$F$266</c:f>
              <c:numCache>
                <c:formatCode>0%</c:formatCode>
                <c:ptCount val="5"/>
                <c:pt idx="0">
                  <c:v>0.64000000000001245</c:v>
                </c:pt>
                <c:pt idx="1">
                  <c:v>0.87000000000000965</c:v>
                </c:pt>
                <c:pt idx="2">
                  <c:v>0.84000000000000064</c:v>
                </c:pt>
                <c:pt idx="3">
                  <c:v>0.81</c:v>
                </c:pt>
                <c:pt idx="4">
                  <c:v>0.55000000000000004</c:v>
                </c:pt>
              </c:numCache>
            </c:numRef>
          </c:val>
        </c:ser>
        <c:shape val="cylinder"/>
        <c:axId val="158682496"/>
        <c:axId val="158684288"/>
        <c:axId val="0"/>
      </c:bar3DChart>
      <c:catAx>
        <c:axId val="158682496"/>
        <c:scaling>
          <c:orientation val="minMax"/>
        </c:scaling>
        <c:axPos val="b"/>
        <c:tickLblPos val="nextTo"/>
        <c:txPr>
          <a:bodyPr/>
          <a:lstStyle/>
          <a:p>
            <a:pPr>
              <a:defRPr sz="800"/>
            </a:pPr>
            <a:endParaRPr lang="de-DE"/>
          </a:p>
        </c:txPr>
        <c:crossAx val="158684288"/>
        <c:crosses val="autoZero"/>
        <c:auto val="1"/>
        <c:lblAlgn val="ctr"/>
        <c:lblOffset val="100"/>
      </c:catAx>
      <c:valAx>
        <c:axId val="158684288"/>
        <c:scaling>
          <c:orientation val="minMax"/>
        </c:scaling>
        <c:axPos val="l"/>
        <c:majorGridlines/>
        <c:numFmt formatCode="0%" sourceLinked="1"/>
        <c:tickLblPos val="nextTo"/>
        <c:txPr>
          <a:bodyPr/>
          <a:lstStyle/>
          <a:p>
            <a:pPr>
              <a:defRPr sz="800"/>
            </a:pPr>
            <a:endParaRPr lang="de-DE"/>
          </a:p>
        </c:txPr>
        <c:crossAx val="158682496"/>
        <c:crosses val="autoZero"/>
        <c:crossBetween val="between"/>
      </c:valAx>
    </c:plotArea>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de-AT"/>
  <c:style val="5"/>
  <c:chart>
    <c:title>
      <c:txPr>
        <a:bodyPr/>
        <a:lstStyle/>
        <a:p>
          <a:pPr>
            <a:defRPr sz="800" b="0"/>
          </a:pPr>
          <a:endParaRPr lang="de-DE"/>
        </a:p>
      </c:txPr>
    </c:title>
    <c:view3D>
      <c:rAngAx val="1"/>
    </c:view3D>
    <c:plotArea>
      <c:layout/>
      <c:bar3DChart>
        <c:barDir val="col"/>
        <c:grouping val="clustered"/>
        <c:ser>
          <c:idx val="0"/>
          <c:order val="0"/>
          <c:tx>
            <c:strRef>
              <c:f>Tabelle1!$A$268</c:f>
              <c:strCache>
                <c:ptCount val="1"/>
                <c:pt idx="0">
                  <c:v>Auch wenn die Wohnungsvergabe strikt nach den Gleichbehandlungsrichtlinien erfolgt, kommt es auf dem Wohnungsmarkt zur Benachteiligung von MigrantInnen.</c:v>
                </c:pt>
              </c:strCache>
            </c:strRef>
          </c:tx>
          <c:dLbls>
            <c:showVal val="1"/>
          </c:dLbls>
          <c:cat>
            <c:strRef>
              <c:f>Tabelle1!$B$267:$F$267</c:f>
              <c:strCache>
                <c:ptCount val="5"/>
                <c:pt idx="0">
                  <c:v>gesamt</c:v>
                </c:pt>
                <c:pt idx="1">
                  <c:v>Wohnungsämter</c:v>
                </c:pt>
                <c:pt idx="2">
                  <c:v>gemeinnützige Bauträger</c:v>
                </c:pt>
                <c:pt idx="3">
                  <c:v>private Bauträger</c:v>
                </c:pt>
                <c:pt idx="4">
                  <c:v>Beratungseinrichtungen</c:v>
                </c:pt>
              </c:strCache>
            </c:strRef>
          </c:cat>
          <c:val>
            <c:numRef>
              <c:f>Tabelle1!$B$268:$F$268</c:f>
              <c:numCache>
                <c:formatCode>0%</c:formatCode>
                <c:ptCount val="5"/>
                <c:pt idx="0">
                  <c:v>0.46</c:v>
                </c:pt>
                <c:pt idx="1">
                  <c:v>0.31000000000000238</c:v>
                </c:pt>
                <c:pt idx="2">
                  <c:v>0.22</c:v>
                </c:pt>
                <c:pt idx="3">
                  <c:v>0.28000000000000008</c:v>
                </c:pt>
                <c:pt idx="4">
                  <c:v>0.59</c:v>
                </c:pt>
              </c:numCache>
            </c:numRef>
          </c:val>
        </c:ser>
        <c:shape val="cylinder"/>
        <c:axId val="158725248"/>
        <c:axId val="158726784"/>
        <c:axId val="0"/>
      </c:bar3DChart>
      <c:catAx>
        <c:axId val="158725248"/>
        <c:scaling>
          <c:orientation val="minMax"/>
        </c:scaling>
        <c:axPos val="b"/>
        <c:tickLblPos val="nextTo"/>
        <c:txPr>
          <a:bodyPr/>
          <a:lstStyle/>
          <a:p>
            <a:pPr>
              <a:defRPr sz="800"/>
            </a:pPr>
            <a:endParaRPr lang="de-DE"/>
          </a:p>
        </c:txPr>
        <c:crossAx val="158726784"/>
        <c:crosses val="autoZero"/>
        <c:auto val="1"/>
        <c:lblAlgn val="ctr"/>
        <c:lblOffset val="100"/>
      </c:catAx>
      <c:valAx>
        <c:axId val="158726784"/>
        <c:scaling>
          <c:orientation val="minMax"/>
        </c:scaling>
        <c:axPos val="l"/>
        <c:majorGridlines/>
        <c:numFmt formatCode="0%" sourceLinked="1"/>
        <c:tickLblPos val="nextTo"/>
        <c:txPr>
          <a:bodyPr/>
          <a:lstStyle/>
          <a:p>
            <a:pPr>
              <a:defRPr sz="800"/>
            </a:pPr>
            <a:endParaRPr lang="de-DE"/>
          </a:p>
        </c:txPr>
        <c:crossAx val="158725248"/>
        <c:crosses val="autoZero"/>
        <c:crossBetween val="between"/>
      </c:valAx>
    </c:plotArea>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de-AT"/>
  <c:style val="5"/>
  <c:chart>
    <c:autoTitleDeleted val="1"/>
    <c:view3D>
      <c:rAngAx val="1"/>
    </c:view3D>
    <c:plotArea>
      <c:layout/>
      <c:bar3DChart>
        <c:barDir val="bar"/>
        <c:grouping val="clustered"/>
        <c:ser>
          <c:idx val="0"/>
          <c:order val="0"/>
          <c:tx>
            <c:strRef>
              <c:f>Tabelle1!$B$274</c:f>
              <c:strCache>
                <c:ptCount val="1"/>
                <c:pt idx="0">
                  <c:v>in %</c:v>
                </c:pt>
              </c:strCache>
            </c:strRef>
          </c:tx>
          <c:dLbls>
            <c:dLbl>
              <c:idx val="0"/>
              <c:layout>
                <c:manualLayout>
                  <c:x val="1.6607354685646523E-2"/>
                  <c:y val="0"/>
                </c:manualLayout>
              </c:layout>
              <c:showVal val="1"/>
            </c:dLbl>
            <c:dLbl>
              <c:idx val="1"/>
              <c:layout>
                <c:manualLayout>
                  <c:x val="3.3214709371292998E-2"/>
                  <c:y val="0"/>
                </c:manualLayout>
              </c:layout>
              <c:showVal val="1"/>
            </c:dLbl>
            <c:dLbl>
              <c:idx val="2"/>
              <c:layout>
                <c:manualLayout>
                  <c:x val="3.0842230130486391E-2"/>
                  <c:y val="0"/>
                </c:manualLayout>
              </c:layout>
              <c:showVal val="1"/>
            </c:dLbl>
            <c:showVal val="1"/>
          </c:dLbls>
          <c:cat>
            <c:strRef>
              <c:f>Tabelle1!$A$275:$A$279</c:f>
              <c:strCache>
                <c:ptCount val="5"/>
                <c:pt idx="0">
                  <c:v>Festlegung von Zielvorgaben bei der Erstellung des Wohnbauförderungsbudgets</c:v>
                </c:pt>
                <c:pt idx="1">
                  <c:v>Widmung von Fördermitteln für die bevorzugte Versorgung von MigrantInnen mit leistbaren Wohnungen</c:v>
                </c:pt>
                <c:pt idx="2">
                  <c:v>Schwerpunktsetzungen bei der Stadt- und Siedlungsplanung</c:v>
                </c:pt>
                <c:pt idx="3">
                  <c:v>begleitende Maßnahmen auf der Ebene der Hausgemeinschaften</c:v>
                </c:pt>
                <c:pt idx="4">
                  <c:v>Öffentlichkeitsarbeit zur Verbesserung der Akzeptanz für die Wohnversorgung von Haushalten mit nicht-österreichischer Staatsbürgerschaft</c:v>
                </c:pt>
              </c:strCache>
            </c:strRef>
          </c:cat>
          <c:val>
            <c:numRef>
              <c:f>Tabelle1!$B$275:$B$279</c:f>
              <c:numCache>
                <c:formatCode>0%</c:formatCode>
                <c:ptCount val="5"/>
                <c:pt idx="0">
                  <c:v>0.52</c:v>
                </c:pt>
                <c:pt idx="1">
                  <c:v>0.47000000000000008</c:v>
                </c:pt>
                <c:pt idx="2">
                  <c:v>0.68</c:v>
                </c:pt>
                <c:pt idx="3">
                  <c:v>0.77000000000001245</c:v>
                </c:pt>
                <c:pt idx="4">
                  <c:v>0.78</c:v>
                </c:pt>
              </c:numCache>
            </c:numRef>
          </c:val>
        </c:ser>
        <c:shape val="cylinder"/>
        <c:axId val="158479872"/>
        <c:axId val="158481408"/>
        <c:axId val="0"/>
      </c:bar3DChart>
      <c:catAx>
        <c:axId val="158479872"/>
        <c:scaling>
          <c:orientation val="minMax"/>
        </c:scaling>
        <c:axPos val="l"/>
        <c:tickLblPos val="nextTo"/>
        <c:crossAx val="158481408"/>
        <c:crosses val="autoZero"/>
        <c:auto val="1"/>
        <c:lblAlgn val="ctr"/>
        <c:lblOffset val="100"/>
      </c:catAx>
      <c:valAx>
        <c:axId val="158481408"/>
        <c:scaling>
          <c:orientation val="minMax"/>
        </c:scaling>
        <c:axPos val="b"/>
        <c:majorGridlines/>
        <c:numFmt formatCode="0%" sourceLinked="1"/>
        <c:tickLblPos val="nextTo"/>
        <c:crossAx val="158479872"/>
        <c:crosses val="autoZero"/>
        <c:crossBetween val="between"/>
      </c:valAx>
    </c:plotArea>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de-AT"/>
  <c:chart>
    <c:view3D>
      <c:rAngAx val="1"/>
    </c:view3D>
    <c:plotArea>
      <c:layout/>
      <c:bar3DChart>
        <c:barDir val="bar"/>
        <c:grouping val="clustered"/>
        <c:ser>
          <c:idx val="0"/>
          <c:order val="0"/>
          <c:tx>
            <c:strRef>
              <c:f>Tabelle1!$B$287</c:f>
              <c:strCache>
                <c:ptCount val="1"/>
                <c:pt idx="0">
                  <c:v>Wohnungsamt</c:v>
                </c:pt>
              </c:strCache>
            </c:strRef>
          </c:tx>
          <c:dLbls>
            <c:txPr>
              <a:bodyPr/>
              <a:lstStyle/>
              <a:p>
                <a:pPr>
                  <a:defRPr sz="800"/>
                </a:pPr>
                <a:endParaRPr lang="de-DE"/>
              </a:p>
            </c:txPr>
            <c:showVal val="1"/>
          </c:dLbls>
          <c:cat>
            <c:strRef>
              <c:f>Tabelle1!$A$288:$A$292</c:f>
              <c:strCache>
                <c:ptCount val="5"/>
                <c:pt idx="0">
                  <c:v>Festlegung von Zielvorgaben bei der Erstellung des Wohnbauförderungsbudgets</c:v>
                </c:pt>
                <c:pt idx="1">
                  <c:v>Widmung von Fördermitteln für die bevorzugte Versorgung von MigrantInnen mit leistbaren Wohnungen</c:v>
                </c:pt>
                <c:pt idx="2">
                  <c:v>Schwerpunktsetzungen bei der Stadt- und Siedlungsplanung</c:v>
                </c:pt>
                <c:pt idx="3">
                  <c:v>begleitende Maßnahmen auf der Ebene der Hausgemeinschaften</c:v>
                </c:pt>
                <c:pt idx="4">
                  <c:v>Öffentlichkeitsarbeit zur Verbesserung der Akzeptanz für die Wohnversorgung von Haushalten mit nicht-österreichischer Staatsbürgerschaft</c:v>
                </c:pt>
              </c:strCache>
            </c:strRef>
          </c:cat>
          <c:val>
            <c:numRef>
              <c:f>Tabelle1!$B$288:$B$292</c:f>
              <c:numCache>
                <c:formatCode>0%</c:formatCode>
                <c:ptCount val="5"/>
                <c:pt idx="0">
                  <c:v>0.44</c:v>
                </c:pt>
                <c:pt idx="1">
                  <c:v>0.38000000000000589</c:v>
                </c:pt>
                <c:pt idx="2">
                  <c:v>0.56000000000000005</c:v>
                </c:pt>
                <c:pt idx="3">
                  <c:v>0.74000000000000365</c:v>
                </c:pt>
                <c:pt idx="4">
                  <c:v>0.67000000000001458</c:v>
                </c:pt>
              </c:numCache>
            </c:numRef>
          </c:val>
        </c:ser>
        <c:ser>
          <c:idx val="1"/>
          <c:order val="1"/>
          <c:tx>
            <c:strRef>
              <c:f>Tabelle1!$C$287</c:f>
              <c:strCache>
                <c:ptCount val="1"/>
                <c:pt idx="0">
                  <c:v>gemeinnütziger Bauträger</c:v>
                </c:pt>
              </c:strCache>
            </c:strRef>
          </c:tx>
          <c:dLbls>
            <c:txPr>
              <a:bodyPr/>
              <a:lstStyle/>
              <a:p>
                <a:pPr>
                  <a:defRPr sz="800"/>
                </a:pPr>
                <a:endParaRPr lang="de-DE"/>
              </a:p>
            </c:txPr>
            <c:showVal val="1"/>
          </c:dLbls>
          <c:cat>
            <c:strRef>
              <c:f>Tabelle1!$A$288:$A$292</c:f>
              <c:strCache>
                <c:ptCount val="5"/>
                <c:pt idx="0">
                  <c:v>Festlegung von Zielvorgaben bei der Erstellung des Wohnbauförderungsbudgets</c:v>
                </c:pt>
                <c:pt idx="1">
                  <c:v>Widmung von Fördermitteln für die bevorzugte Versorgung von MigrantInnen mit leistbaren Wohnungen</c:v>
                </c:pt>
                <c:pt idx="2">
                  <c:v>Schwerpunktsetzungen bei der Stadt- und Siedlungsplanung</c:v>
                </c:pt>
                <c:pt idx="3">
                  <c:v>begleitende Maßnahmen auf der Ebene der Hausgemeinschaften</c:v>
                </c:pt>
                <c:pt idx="4">
                  <c:v>Öffentlichkeitsarbeit zur Verbesserung der Akzeptanz für die Wohnversorgung von Haushalten mit nicht-österreichischer Staatsbürgerschaft</c:v>
                </c:pt>
              </c:strCache>
            </c:strRef>
          </c:cat>
          <c:val>
            <c:numRef>
              <c:f>Tabelle1!$C$288:$C$292</c:f>
              <c:numCache>
                <c:formatCode>0%</c:formatCode>
                <c:ptCount val="5"/>
                <c:pt idx="0">
                  <c:v>0.5</c:v>
                </c:pt>
                <c:pt idx="1">
                  <c:v>0.34</c:v>
                </c:pt>
                <c:pt idx="2">
                  <c:v>0.53</c:v>
                </c:pt>
                <c:pt idx="3">
                  <c:v>0.66000000000001424</c:v>
                </c:pt>
                <c:pt idx="4">
                  <c:v>0.78</c:v>
                </c:pt>
              </c:numCache>
            </c:numRef>
          </c:val>
        </c:ser>
        <c:ser>
          <c:idx val="2"/>
          <c:order val="2"/>
          <c:tx>
            <c:strRef>
              <c:f>Tabelle1!$D$287</c:f>
              <c:strCache>
                <c:ptCount val="1"/>
                <c:pt idx="0">
                  <c:v>privater Bauträger</c:v>
                </c:pt>
              </c:strCache>
            </c:strRef>
          </c:tx>
          <c:dLbls>
            <c:txPr>
              <a:bodyPr/>
              <a:lstStyle/>
              <a:p>
                <a:pPr>
                  <a:defRPr sz="800"/>
                </a:pPr>
                <a:endParaRPr lang="de-DE"/>
              </a:p>
            </c:txPr>
            <c:showVal val="1"/>
          </c:dLbls>
          <c:cat>
            <c:strRef>
              <c:f>Tabelle1!$A$288:$A$292</c:f>
              <c:strCache>
                <c:ptCount val="5"/>
                <c:pt idx="0">
                  <c:v>Festlegung von Zielvorgaben bei der Erstellung des Wohnbauförderungsbudgets</c:v>
                </c:pt>
                <c:pt idx="1">
                  <c:v>Widmung von Fördermitteln für die bevorzugte Versorgung von MigrantInnen mit leistbaren Wohnungen</c:v>
                </c:pt>
                <c:pt idx="2">
                  <c:v>Schwerpunktsetzungen bei der Stadt- und Siedlungsplanung</c:v>
                </c:pt>
                <c:pt idx="3">
                  <c:v>begleitende Maßnahmen auf der Ebene der Hausgemeinschaften</c:v>
                </c:pt>
                <c:pt idx="4">
                  <c:v>Öffentlichkeitsarbeit zur Verbesserung der Akzeptanz für die Wohnversorgung von Haushalten mit nicht-österreichischer Staatsbürgerschaft</c:v>
                </c:pt>
              </c:strCache>
            </c:strRef>
          </c:cat>
          <c:val>
            <c:numRef>
              <c:f>Tabelle1!$D$288:$D$292</c:f>
              <c:numCache>
                <c:formatCode>0%</c:formatCode>
                <c:ptCount val="5"/>
                <c:pt idx="0">
                  <c:v>0.69000000000000061</c:v>
                </c:pt>
                <c:pt idx="1">
                  <c:v>0.5</c:v>
                </c:pt>
                <c:pt idx="2">
                  <c:v>0.63000000000001199</c:v>
                </c:pt>
                <c:pt idx="3">
                  <c:v>0.75000000000001144</c:v>
                </c:pt>
                <c:pt idx="4">
                  <c:v>0.81</c:v>
                </c:pt>
              </c:numCache>
            </c:numRef>
          </c:val>
        </c:ser>
        <c:ser>
          <c:idx val="3"/>
          <c:order val="3"/>
          <c:tx>
            <c:strRef>
              <c:f>Tabelle1!$E$287</c:f>
              <c:strCache>
                <c:ptCount val="1"/>
                <c:pt idx="0">
                  <c:v>Beratungseinrichtung</c:v>
                </c:pt>
              </c:strCache>
            </c:strRef>
          </c:tx>
          <c:dLbls>
            <c:txPr>
              <a:bodyPr/>
              <a:lstStyle/>
              <a:p>
                <a:pPr>
                  <a:defRPr sz="800"/>
                </a:pPr>
                <a:endParaRPr lang="de-DE"/>
              </a:p>
            </c:txPr>
            <c:showVal val="1"/>
          </c:dLbls>
          <c:cat>
            <c:strRef>
              <c:f>Tabelle1!$A$288:$A$292</c:f>
              <c:strCache>
                <c:ptCount val="5"/>
                <c:pt idx="0">
                  <c:v>Festlegung von Zielvorgaben bei der Erstellung des Wohnbauförderungsbudgets</c:v>
                </c:pt>
                <c:pt idx="1">
                  <c:v>Widmung von Fördermitteln für die bevorzugte Versorgung von MigrantInnen mit leistbaren Wohnungen</c:v>
                </c:pt>
                <c:pt idx="2">
                  <c:v>Schwerpunktsetzungen bei der Stadt- und Siedlungsplanung</c:v>
                </c:pt>
                <c:pt idx="3">
                  <c:v>begleitende Maßnahmen auf der Ebene der Hausgemeinschaften</c:v>
                </c:pt>
                <c:pt idx="4">
                  <c:v>Öffentlichkeitsarbeit zur Verbesserung der Akzeptanz für die Wohnversorgung von Haushalten mit nicht-österreichischer Staatsbürgerschaft</c:v>
                </c:pt>
              </c:strCache>
            </c:strRef>
          </c:cat>
          <c:val>
            <c:numRef>
              <c:f>Tabelle1!$E$288:$E$292</c:f>
              <c:numCache>
                <c:formatCode>0%</c:formatCode>
                <c:ptCount val="5"/>
                <c:pt idx="0">
                  <c:v>0.59</c:v>
                </c:pt>
                <c:pt idx="1">
                  <c:v>0.51</c:v>
                </c:pt>
                <c:pt idx="2">
                  <c:v>0.76000000000001267</c:v>
                </c:pt>
                <c:pt idx="3">
                  <c:v>0.86000000000000065</c:v>
                </c:pt>
                <c:pt idx="4">
                  <c:v>0.93</c:v>
                </c:pt>
              </c:numCache>
            </c:numRef>
          </c:val>
        </c:ser>
        <c:shape val="cylinder"/>
        <c:axId val="158522752"/>
        <c:axId val="158803072"/>
        <c:axId val="0"/>
      </c:bar3DChart>
      <c:catAx>
        <c:axId val="158522752"/>
        <c:scaling>
          <c:orientation val="minMax"/>
        </c:scaling>
        <c:axPos val="l"/>
        <c:tickLblPos val="nextTo"/>
        <c:txPr>
          <a:bodyPr/>
          <a:lstStyle/>
          <a:p>
            <a:pPr>
              <a:defRPr sz="800"/>
            </a:pPr>
            <a:endParaRPr lang="de-DE"/>
          </a:p>
        </c:txPr>
        <c:crossAx val="158803072"/>
        <c:crosses val="autoZero"/>
        <c:auto val="1"/>
        <c:lblAlgn val="ctr"/>
        <c:lblOffset val="100"/>
      </c:catAx>
      <c:valAx>
        <c:axId val="158803072"/>
        <c:scaling>
          <c:orientation val="minMax"/>
        </c:scaling>
        <c:axPos val="b"/>
        <c:majorGridlines/>
        <c:numFmt formatCode="0%" sourceLinked="1"/>
        <c:tickLblPos val="nextTo"/>
        <c:crossAx val="158522752"/>
        <c:crosses val="autoZero"/>
        <c:crossBetween val="between"/>
      </c:valAx>
    </c:plotArea>
    <c:legend>
      <c:legendPos val="b"/>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de-AT"/>
  <c:style val="5"/>
  <c:chart>
    <c:view3D>
      <c:rAngAx val="1"/>
    </c:view3D>
    <c:plotArea>
      <c:layout/>
      <c:bar3DChart>
        <c:barDir val="bar"/>
        <c:grouping val="clustered"/>
        <c:ser>
          <c:idx val="0"/>
          <c:order val="0"/>
          <c:dLbls>
            <c:dLbl>
              <c:idx val="1"/>
              <c:layout>
                <c:manualLayout>
                  <c:x val="2.777777777777898E-2"/>
                  <c:y val="0"/>
                </c:manualLayout>
              </c:layout>
              <c:showVal val="1"/>
            </c:dLbl>
            <c:dLbl>
              <c:idx val="2"/>
              <c:layout>
                <c:manualLayout>
                  <c:x val="1.6666666666666781E-2"/>
                  <c:y val="0"/>
                </c:manualLayout>
              </c:layout>
              <c:showVal val="1"/>
            </c:dLbl>
            <c:showVal val="1"/>
          </c:dLbls>
          <c:cat>
            <c:strRef>
              <c:f>Tabelle1!$A$303:$A$305</c:f>
              <c:strCache>
                <c:ptCount val="3"/>
                <c:pt idx="0">
                  <c:v>Bereitstellung eines Kontingents für die Wohnversorgung von MigrantInnen</c:v>
                </c:pt>
                <c:pt idx="1">
                  <c:v>finanzielle Förderungen für belastete Familien</c:v>
                </c:pt>
                <c:pt idx="2">
                  <c:v>Beratungsangebote / soziale Arbeit in Wohnsiedlungen / Gemeinwesenarbeit</c:v>
                </c:pt>
              </c:strCache>
            </c:strRef>
          </c:cat>
          <c:val>
            <c:numRef>
              <c:f>Tabelle1!$B$303:$B$305</c:f>
              <c:numCache>
                <c:formatCode>0%</c:formatCode>
                <c:ptCount val="3"/>
                <c:pt idx="0">
                  <c:v>0.5</c:v>
                </c:pt>
                <c:pt idx="1">
                  <c:v>0.78</c:v>
                </c:pt>
                <c:pt idx="2">
                  <c:v>0.81</c:v>
                </c:pt>
              </c:numCache>
            </c:numRef>
          </c:val>
        </c:ser>
        <c:shape val="cylinder"/>
        <c:axId val="158842880"/>
        <c:axId val="158844416"/>
        <c:axId val="0"/>
      </c:bar3DChart>
      <c:catAx>
        <c:axId val="158842880"/>
        <c:scaling>
          <c:orientation val="minMax"/>
        </c:scaling>
        <c:axPos val="l"/>
        <c:tickLblPos val="nextTo"/>
        <c:crossAx val="158844416"/>
        <c:crosses val="autoZero"/>
        <c:auto val="1"/>
        <c:lblAlgn val="ctr"/>
        <c:lblOffset val="100"/>
      </c:catAx>
      <c:valAx>
        <c:axId val="158844416"/>
        <c:scaling>
          <c:orientation val="minMax"/>
        </c:scaling>
        <c:axPos val="b"/>
        <c:majorGridlines/>
        <c:numFmt formatCode="0%" sourceLinked="1"/>
        <c:tickLblPos val="nextTo"/>
        <c:crossAx val="158842880"/>
        <c:crosses val="autoZero"/>
        <c:crossBetween val="between"/>
      </c:valAx>
    </c:plotArea>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de-AT"/>
  <c:chart>
    <c:view3D>
      <c:rAngAx val="1"/>
    </c:view3D>
    <c:plotArea>
      <c:layout/>
      <c:bar3DChart>
        <c:barDir val="col"/>
        <c:grouping val="clustered"/>
        <c:ser>
          <c:idx val="0"/>
          <c:order val="0"/>
          <c:tx>
            <c:strRef>
              <c:f>Tabelle1!$A$310</c:f>
              <c:strCache>
                <c:ptCount val="1"/>
                <c:pt idx="0">
                  <c:v>Bereitstellung eines Kontingents für die Wohnversorgung von MigrantInnen</c:v>
                </c:pt>
              </c:strCache>
            </c:strRef>
          </c:tx>
          <c:dLbls>
            <c:dLbl>
              <c:idx val="3"/>
              <c:layout>
                <c:manualLayout>
                  <c:x val="-2.2909507445589921E-3"/>
                  <c:y val="0"/>
                </c:manualLayout>
              </c:layout>
              <c:showVal val="1"/>
            </c:dLbl>
            <c:txPr>
              <a:bodyPr/>
              <a:lstStyle/>
              <a:p>
                <a:pPr>
                  <a:defRPr sz="800"/>
                </a:pPr>
                <a:endParaRPr lang="de-DE"/>
              </a:p>
            </c:txPr>
            <c:showVal val="1"/>
          </c:dLbls>
          <c:cat>
            <c:strRef>
              <c:f>Tabelle1!$B$309:$E$309</c:f>
              <c:strCache>
                <c:ptCount val="4"/>
                <c:pt idx="0">
                  <c:v>Wohnungsamt</c:v>
                </c:pt>
                <c:pt idx="1">
                  <c:v>gemeinnütziger Bauträger</c:v>
                </c:pt>
                <c:pt idx="2">
                  <c:v>privater Bauträger</c:v>
                </c:pt>
                <c:pt idx="3">
                  <c:v>Beratungseinrichtung</c:v>
                </c:pt>
              </c:strCache>
            </c:strRef>
          </c:cat>
          <c:val>
            <c:numRef>
              <c:f>Tabelle1!$B$310:$E$310</c:f>
              <c:numCache>
                <c:formatCode>0%</c:formatCode>
                <c:ptCount val="4"/>
                <c:pt idx="0">
                  <c:v>0.38000000000000589</c:v>
                </c:pt>
                <c:pt idx="1">
                  <c:v>0.47000000000000008</c:v>
                </c:pt>
                <c:pt idx="2">
                  <c:v>0.63000000000001199</c:v>
                </c:pt>
                <c:pt idx="3">
                  <c:v>0.61000000000000065</c:v>
                </c:pt>
              </c:numCache>
            </c:numRef>
          </c:val>
        </c:ser>
        <c:ser>
          <c:idx val="1"/>
          <c:order val="1"/>
          <c:tx>
            <c:strRef>
              <c:f>Tabelle1!$A$311</c:f>
              <c:strCache>
                <c:ptCount val="1"/>
                <c:pt idx="0">
                  <c:v>finanzielle Förderungen für belastete Familien</c:v>
                </c:pt>
              </c:strCache>
            </c:strRef>
          </c:tx>
          <c:dLbls>
            <c:txPr>
              <a:bodyPr/>
              <a:lstStyle/>
              <a:p>
                <a:pPr>
                  <a:defRPr sz="800"/>
                </a:pPr>
                <a:endParaRPr lang="de-DE"/>
              </a:p>
            </c:txPr>
            <c:showVal val="1"/>
          </c:dLbls>
          <c:cat>
            <c:strRef>
              <c:f>Tabelle1!$B$309:$E$309</c:f>
              <c:strCache>
                <c:ptCount val="4"/>
                <c:pt idx="0">
                  <c:v>Wohnungsamt</c:v>
                </c:pt>
                <c:pt idx="1">
                  <c:v>gemeinnütziger Bauträger</c:v>
                </c:pt>
                <c:pt idx="2">
                  <c:v>privater Bauträger</c:v>
                </c:pt>
                <c:pt idx="3">
                  <c:v>Beratungseinrichtung</c:v>
                </c:pt>
              </c:strCache>
            </c:strRef>
          </c:cat>
          <c:val>
            <c:numRef>
              <c:f>Tabelle1!$B$311:$E$311</c:f>
              <c:numCache>
                <c:formatCode>0%</c:formatCode>
                <c:ptCount val="4"/>
                <c:pt idx="0">
                  <c:v>0.77000000000001279</c:v>
                </c:pt>
                <c:pt idx="1">
                  <c:v>0.69000000000000061</c:v>
                </c:pt>
                <c:pt idx="2">
                  <c:v>0.88</c:v>
                </c:pt>
                <c:pt idx="3">
                  <c:v>0.88</c:v>
                </c:pt>
              </c:numCache>
            </c:numRef>
          </c:val>
        </c:ser>
        <c:ser>
          <c:idx val="2"/>
          <c:order val="2"/>
          <c:tx>
            <c:strRef>
              <c:f>Tabelle1!$A$312</c:f>
              <c:strCache>
                <c:ptCount val="1"/>
                <c:pt idx="0">
                  <c:v>Beratungsangebote / soziale Arbeit in Wohnsiedlungen / Gemeinwesenarbeit</c:v>
                </c:pt>
              </c:strCache>
            </c:strRef>
          </c:tx>
          <c:dLbls>
            <c:dLbl>
              <c:idx val="0"/>
              <c:layout>
                <c:manualLayout>
                  <c:x val="1.6036655211913407E-2"/>
                  <c:y val="0"/>
                </c:manualLayout>
              </c:layout>
              <c:showVal val="1"/>
            </c:dLbl>
            <c:dLbl>
              <c:idx val="1"/>
              <c:layout>
                <c:manualLayout>
                  <c:x val="1.6036655211913407E-2"/>
                  <c:y val="-1.6112789526686811E-2"/>
                </c:manualLayout>
              </c:layout>
              <c:showVal val="1"/>
            </c:dLbl>
            <c:dLbl>
              <c:idx val="2"/>
              <c:layout>
                <c:manualLayout>
                  <c:x val="1.1454753722794956E-2"/>
                  <c:y val="-8.0563947633434246E-3"/>
                </c:manualLayout>
              </c:layout>
              <c:showVal val="1"/>
            </c:dLbl>
            <c:dLbl>
              <c:idx val="3"/>
              <c:layout>
                <c:manualLayout>
                  <c:x val="1.3745704467354201E-2"/>
                  <c:y val="5.7694868918525997E-19"/>
                </c:manualLayout>
              </c:layout>
              <c:showVal val="1"/>
            </c:dLbl>
            <c:txPr>
              <a:bodyPr/>
              <a:lstStyle/>
              <a:p>
                <a:pPr>
                  <a:defRPr sz="800"/>
                </a:pPr>
                <a:endParaRPr lang="de-DE"/>
              </a:p>
            </c:txPr>
            <c:showVal val="1"/>
          </c:dLbls>
          <c:cat>
            <c:strRef>
              <c:f>Tabelle1!$B$309:$E$309</c:f>
              <c:strCache>
                <c:ptCount val="4"/>
                <c:pt idx="0">
                  <c:v>Wohnungsamt</c:v>
                </c:pt>
                <c:pt idx="1">
                  <c:v>gemeinnütziger Bauträger</c:v>
                </c:pt>
                <c:pt idx="2">
                  <c:v>privater Bauträger</c:v>
                </c:pt>
                <c:pt idx="3">
                  <c:v>Beratungseinrichtung</c:v>
                </c:pt>
              </c:strCache>
            </c:strRef>
          </c:cat>
          <c:val>
            <c:numRef>
              <c:f>Tabelle1!$B$312:$E$312</c:f>
              <c:numCache>
                <c:formatCode>0%</c:formatCode>
                <c:ptCount val="4"/>
                <c:pt idx="0">
                  <c:v>0.8</c:v>
                </c:pt>
                <c:pt idx="1">
                  <c:v>0.66000000000001424</c:v>
                </c:pt>
                <c:pt idx="2">
                  <c:v>0.75000000000001144</c:v>
                </c:pt>
                <c:pt idx="3">
                  <c:v>0.9</c:v>
                </c:pt>
              </c:numCache>
            </c:numRef>
          </c:val>
        </c:ser>
        <c:shape val="cylinder"/>
        <c:axId val="158626560"/>
        <c:axId val="158628096"/>
        <c:axId val="0"/>
      </c:bar3DChart>
      <c:catAx>
        <c:axId val="158626560"/>
        <c:scaling>
          <c:orientation val="minMax"/>
        </c:scaling>
        <c:axPos val="b"/>
        <c:tickLblPos val="nextTo"/>
        <c:crossAx val="158628096"/>
        <c:crosses val="autoZero"/>
        <c:auto val="1"/>
        <c:lblAlgn val="ctr"/>
        <c:lblOffset val="100"/>
      </c:catAx>
      <c:valAx>
        <c:axId val="158628096"/>
        <c:scaling>
          <c:orientation val="minMax"/>
        </c:scaling>
        <c:axPos val="l"/>
        <c:majorGridlines/>
        <c:numFmt formatCode="0%" sourceLinked="1"/>
        <c:tickLblPos val="nextTo"/>
        <c:crossAx val="158626560"/>
        <c:crosses val="autoZero"/>
        <c:crossBetween val="between"/>
      </c:valAx>
    </c:plotArea>
    <c:legend>
      <c:legendPos val="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de-AT"/>
  <c:style val="5"/>
  <c:chart>
    <c:autoTitleDeleted val="1"/>
    <c:view3D>
      <c:rAngAx val="1"/>
    </c:view3D>
    <c:plotArea>
      <c:layout/>
      <c:bar3DChart>
        <c:barDir val="col"/>
        <c:grouping val="clustered"/>
        <c:ser>
          <c:idx val="0"/>
          <c:order val="0"/>
          <c:tx>
            <c:strRef>
              <c:f>Tabelle1!$B$320</c:f>
              <c:strCache>
                <c:ptCount val="1"/>
                <c:pt idx="0">
                  <c:v>in %</c:v>
                </c:pt>
              </c:strCache>
            </c:strRef>
          </c:tx>
          <c:dLbls>
            <c:dLbl>
              <c:idx val="0"/>
              <c:layout>
                <c:manualLayout>
                  <c:x val="5.5555555555555558E-3"/>
                  <c:y val="-1.3888888888889252E-2"/>
                </c:manualLayout>
              </c:layout>
              <c:showVal val="1"/>
            </c:dLbl>
            <c:dLbl>
              <c:idx val="1"/>
              <c:layout>
                <c:manualLayout>
                  <c:x val="1.6666666666666701E-2"/>
                  <c:y val="-3.7037037037037056E-2"/>
                </c:manualLayout>
              </c:layout>
              <c:showVal val="1"/>
            </c:dLbl>
            <c:dLbl>
              <c:idx val="2"/>
              <c:layout>
                <c:manualLayout>
                  <c:x val="5.5555555555555558E-3"/>
                  <c:y val="-3.2407407407408349E-2"/>
                </c:manualLayout>
              </c:layout>
              <c:showVal val="1"/>
            </c:dLbl>
            <c:showVal val="1"/>
          </c:dLbls>
          <c:cat>
            <c:strRef>
              <c:f>Tabelle1!$A$321:$A$323</c:f>
              <c:strCache>
                <c:ptCount val="3"/>
                <c:pt idx="0">
                  <c:v>Aus- und Weiterbildung für die SachbearbeiterInnen</c:v>
                </c:pt>
                <c:pt idx="1">
                  <c:v>Einstellung von SpezialistInnen / SozialarbeiterInnen</c:v>
                </c:pt>
                <c:pt idx="2">
                  <c:v>positive Diskriminierung bei Planung und Vergabe von Mitteln aus der Wohnbauförderung</c:v>
                </c:pt>
              </c:strCache>
            </c:strRef>
          </c:cat>
          <c:val>
            <c:numRef>
              <c:f>Tabelle1!$B$321:$B$323</c:f>
              <c:numCache>
                <c:formatCode>0%</c:formatCode>
                <c:ptCount val="3"/>
                <c:pt idx="0">
                  <c:v>0.8</c:v>
                </c:pt>
                <c:pt idx="1">
                  <c:v>0.69000000000000061</c:v>
                </c:pt>
                <c:pt idx="2">
                  <c:v>0.43000000000000038</c:v>
                </c:pt>
              </c:numCache>
            </c:numRef>
          </c:val>
        </c:ser>
        <c:shape val="cylinder"/>
        <c:axId val="158737536"/>
        <c:axId val="158739072"/>
        <c:axId val="0"/>
      </c:bar3DChart>
      <c:catAx>
        <c:axId val="158737536"/>
        <c:scaling>
          <c:orientation val="minMax"/>
        </c:scaling>
        <c:axPos val="b"/>
        <c:tickLblPos val="nextTo"/>
        <c:crossAx val="158739072"/>
        <c:crosses val="autoZero"/>
        <c:auto val="1"/>
        <c:lblAlgn val="ctr"/>
        <c:lblOffset val="100"/>
      </c:catAx>
      <c:valAx>
        <c:axId val="158739072"/>
        <c:scaling>
          <c:orientation val="minMax"/>
        </c:scaling>
        <c:axPos val="l"/>
        <c:majorGridlines/>
        <c:numFmt formatCode="0%" sourceLinked="1"/>
        <c:tickLblPos val="nextTo"/>
        <c:crossAx val="158737536"/>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de-AT"/>
  <c:chart>
    <c:plotArea>
      <c:layout/>
      <c:lineChart>
        <c:grouping val="standard"/>
        <c:ser>
          <c:idx val="0"/>
          <c:order val="0"/>
          <c:tx>
            <c:strRef>
              <c:f>Tabelle1!$A$6</c:f>
              <c:strCache>
                <c:ptCount val="1"/>
                <c:pt idx="0">
                  <c:v>ÖsterreicherInnen</c:v>
                </c:pt>
              </c:strCache>
            </c:strRef>
          </c:tx>
          <c:cat>
            <c:strRef>
              <c:f>Tabelle1!$B$5:$G$5</c:f>
              <c:strCache>
                <c:ptCount val="6"/>
                <c:pt idx="0">
                  <c:v>keine</c:v>
                </c:pt>
                <c:pt idx="1">
                  <c:v>0 - 20%</c:v>
                </c:pt>
                <c:pt idx="2">
                  <c:v>20 - 40%</c:v>
                </c:pt>
                <c:pt idx="3">
                  <c:v>40 - 60%</c:v>
                </c:pt>
                <c:pt idx="4">
                  <c:v>60 - 80%</c:v>
                </c:pt>
                <c:pt idx="5">
                  <c:v>80 - 100%</c:v>
                </c:pt>
              </c:strCache>
            </c:strRef>
          </c:cat>
          <c:val>
            <c:numRef>
              <c:f>Tabelle1!$B$6:$G$6</c:f>
              <c:numCache>
                <c:formatCode>General</c:formatCode>
                <c:ptCount val="6"/>
                <c:pt idx="0">
                  <c:v>35</c:v>
                </c:pt>
                <c:pt idx="1">
                  <c:v>8</c:v>
                </c:pt>
                <c:pt idx="2">
                  <c:v>6</c:v>
                </c:pt>
                <c:pt idx="3">
                  <c:v>39</c:v>
                </c:pt>
                <c:pt idx="4">
                  <c:v>67</c:v>
                </c:pt>
                <c:pt idx="5">
                  <c:v>42</c:v>
                </c:pt>
              </c:numCache>
            </c:numRef>
          </c:val>
        </c:ser>
        <c:ser>
          <c:idx val="1"/>
          <c:order val="1"/>
          <c:tx>
            <c:strRef>
              <c:f>Tabelle1!$A$7</c:f>
              <c:strCache>
                <c:ptCount val="1"/>
                <c:pt idx="0">
                  <c:v>andere EU-StaatsbürgerInnen</c:v>
                </c:pt>
              </c:strCache>
            </c:strRef>
          </c:tx>
          <c:cat>
            <c:strRef>
              <c:f>Tabelle1!$B$5:$G$5</c:f>
              <c:strCache>
                <c:ptCount val="6"/>
                <c:pt idx="0">
                  <c:v>keine</c:v>
                </c:pt>
                <c:pt idx="1">
                  <c:v>0 - 20%</c:v>
                </c:pt>
                <c:pt idx="2">
                  <c:v>20 - 40%</c:v>
                </c:pt>
                <c:pt idx="3">
                  <c:v>40 - 60%</c:v>
                </c:pt>
                <c:pt idx="4">
                  <c:v>60 - 80%</c:v>
                </c:pt>
                <c:pt idx="5">
                  <c:v>80 - 100%</c:v>
                </c:pt>
              </c:strCache>
            </c:strRef>
          </c:cat>
          <c:val>
            <c:numRef>
              <c:f>Tabelle1!$B$7:$G$7</c:f>
              <c:numCache>
                <c:formatCode>General</c:formatCode>
                <c:ptCount val="6"/>
                <c:pt idx="0">
                  <c:v>46</c:v>
                </c:pt>
                <c:pt idx="1">
                  <c:v>114</c:v>
                </c:pt>
                <c:pt idx="2">
                  <c:v>31</c:v>
                </c:pt>
                <c:pt idx="3">
                  <c:v>4</c:v>
                </c:pt>
                <c:pt idx="4">
                  <c:v>0</c:v>
                </c:pt>
                <c:pt idx="5">
                  <c:v>2</c:v>
                </c:pt>
              </c:numCache>
            </c:numRef>
          </c:val>
        </c:ser>
        <c:ser>
          <c:idx val="2"/>
          <c:order val="2"/>
          <c:tx>
            <c:strRef>
              <c:f>Tabelle1!$A$8</c:f>
              <c:strCache>
                <c:ptCount val="1"/>
                <c:pt idx="0">
                  <c:v>Drittstaatsangehörige</c:v>
                </c:pt>
              </c:strCache>
            </c:strRef>
          </c:tx>
          <c:cat>
            <c:strRef>
              <c:f>Tabelle1!$B$5:$G$5</c:f>
              <c:strCache>
                <c:ptCount val="6"/>
                <c:pt idx="0">
                  <c:v>keine</c:v>
                </c:pt>
                <c:pt idx="1">
                  <c:v>0 - 20%</c:v>
                </c:pt>
                <c:pt idx="2">
                  <c:v>20 - 40%</c:v>
                </c:pt>
                <c:pt idx="3">
                  <c:v>40 - 60%</c:v>
                </c:pt>
                <c:pt idx="4">
                  <c:v>60 - 80%</c:v>
                </c:pt>
                <c:pt idx="5">
                  <c:v>80 - 100%</c:v>
                </c:pt>
              </c:strCache>
            </c:strRef>
          </c:cat>
          <c:val>
            <c:numRef>
              <c:f>Tabelle1!$B$8:$G$8</c:f>
              <c:numCache>
                <c:formatCode>General</c:formatCode>
                <c:ptCount val="6"/>
                <c:pt idx="0">
                  <c:v>60</c:v>
                </c:pt>
                <c:pt idx="1">
                  <c:v>102</c:v>
                </c:pt>
                <c:pt idx="2">
                  <c:v>21</c:v>
                </c:pt>
                <c:pt idx="3">
                  <c:v>8</c:v>
                </c:pt>
                <c:pt idx="4">
                  <c:v>0</c:v>
                </c:pt>
                <c:pt idx="5">
                  <c:v>6</c:v>
                </c:pt>
              </c:numCache>
            </c:numRef>
          </c:val>
        </c:ser>
        <c:ser>
          <c:idx val="3"/>
          <c:order val="3"/>
          <c:tx>
            <c:strRef>
              <c:f>Tabelle1!$A$9</c:f>
              <c:strCache>
                <c:ptCount val="1"/>
                <c:pt idx="0">
                  <c:v>Asylberechtigte</c:v>
                </c:pt>
              </c:strCache>
            </c:strRef>
          </c:tx>
          <c:cat>
            <c:strRef>
              <c:f>Tabelle1!$B$5:$G$5</c:f>
              <c:strCache>
                <c:ptCount val="6"/>
                <c:pt idx="0">
                  <c:v>keine</c:v>
                </c:pt>
                <c:pt idx="1">
                  <c:v>0 - 20%</c:v>
                </c:pt>
                <c:pt idx="2">
                  <c:v>20 - 40%</c:v>
                </c:pt>
                <c:pt idx="3">
                  <c:v>40 - 60%</c:v>
                </c:pt>
                <c:pt idx="4">
                  <c:v>60 - 80%</c:v>
                </c:pt>
                <c:pt idx="5">
                  <c:v>80 - 100%</c:v>
                </c:pt>
              </c:strCache>
            </c:strRef>
          </c:cat>
          <c:val>
            <c:numRef>
              <c:f>Tabelle1!$B$9:$G$9</c:f>
              <c:numCache>
                <c:formatCode>General</c:formatCode>
                <c:ptCount val="6"/>
                <c:pt idx="0">
                  <c:v>92</c:v>
                </c:pt>
                <c:pt idx="1">
                  <c:v>89</c:v>
                </c:pt>
                <c:pt idx="2">
                  <c:v>7</c:v>
                </c:pt>
                <c:pt idx="3">
                  <c:v>2</c:v>
                </c:pt>
                <c:pt idx="4">
                  <c:v>1</c:v>
                </c:pt>
                <c:pt idx="5">
                  <c:v>6</c:v>
                </c:pt>
              </c:numCache>
            </c:numRef>
          </c:val>
        </c:ser>
        <c:marker val="1"/>
        <c:axId val="224658944"/>
        <c:axId val="224660480"/>
      </c:lineChart>
      <c:catAx>
        <c:axId val="224658944"/>
        <c:scaling>
          <c:orientation val="minMax"/>
        </c:scaling>
        <c:axPos val="b"/>
        <c:tickLblPos val="nextTo"/>
        <c:crossAx val="224660480"/>
        <c:crosses val="autoZero"/>
        <c:auto val="1"/>
        <c:lblAlgn val="ctr"/>
        <c:lblOffset val="100"/>
      </c:catAx>
      <c:valAx>
        <c:axId val="224660480"/>
        <c:scaling>
          <c:orientation val="minMax"/>
        </c:scaling>
        <c:axPos val="l"/>
        <c:majorGridlines/>
        <c:numFmt formatCode="General" sourceLinked="1"/>
        <c:tickLblPos val="nextTo"/>
        <c:crossAx val="224658944"/>
        <c:crosses val="autoZero"/>
        <c:crossBetween val="between"/>
      </c:valAx>
    </c:plotArea>
    <c:legend>
      <c:legendPos val="b"/>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de-AT"/>
  <c:chart>
    <c:plotArea>
      <c:layout/>
      <c:lineChart>
        <c:grouping val="standard"/>
        <c:ser>
          <c:idx val="0"/>
          <c:order val="0"/>
          <c:tx>
            <c:strRef>
              <c:f>Tabelle1!$B$326</c:f>
              <c:strCache>
                <c:ptCount val="1"/>
                <c:pt idx="0">
                  <c:v>Wohnungsamt</c:v>
                </c:pt>
              </c:strCache>
            </c:strRef>
          </c:tx>
          <c:cat>
            <c:strRef>
              <c:f>Tabelle1!$A$327:$A$329</c:f>
              <c:strCache>
                <c:ptCount val="3"/>
                <c:pt idx="0">
                  <c:v>Aus- und Weiterbildung für die SachbearbeiterInnen</c:v>
                </c:pt>
                <c:pt idx="1">
                  <c:v>Einstellung von SpezialistInnen / SozialarbeiterInnen</c:v>
                </c:pt>
                <c:pt idx="2">
                  <c:v>positive Diskriminierung bei Planung und Vergabe von Mitteln aus der Wohnbauförderung</c:v>
                </c:pt>
              </c:strCache>
            </c:strRef>
          </c:cat>
          <c:val>
            <c:numRef>
              <c:f>Tabelle1!$B$327:$B$329</c:f>
              <c:numCache>
                <c:formatCode>0%</c:formatCode>
                <c:ptCount val="3"/>
                <c:pt idx="0">
                  <c:v>0.67000000000001458</c:v>
                </c:pt>
                <c:pt idx="1">
                  <c:v>0.49000000000000032</c:v>
                </c:pt>
                <c:pt idx="2">
                  <c:v>0.33000000000000662</c:v>
                </c:pt>
              </c:numCache>
            </c:numRef>
          </c:val>
        </c:ser>
        <c:ser>
          <c:idx val="1"/>
          <c:order val="1"/>
          <c:tx>
            <c:strRef>
              <c:f>Tabelle1!$C$326</c:f>
              <c:strCache>
                <c:ptCount val="1"/>
                <c:pt idx="0">
                  <c:v>gemeinnütziger Bauträger</c:v>
                </c:pt>
              </c:strCache>
            </c:strRef>
          </c:tx>
          <c:cat>
            <c:strRef>
              <c:f>Tabelle1!$A$327:$A$329</c:f>
              <c:strCache>
                <c:ptCount val="3"/>
                <c:pt idx="0">
                  <c:v>Aus- und Weiterbildung für die SachbearbeiterInnen</c:v>
                </c:pt>
                <c:pt idx="1">
                  <c:v>Einstellung von SpezialistInnen / SozialarbeiterInnen</c:v>
                </c:pt>
                <c:pt idx="2">
                  <c:v>positive Diskriminierung bei Planung und Vergabe von Mitteln aus der Wohnbauförderung</c:v>
                </c:pt>
              </c:strCache>
            </c:strRef>
          </c:cat>
          <c:val>
            <c:numRef>
              <c:f>Tabelle1!$C$327:$C$329</c:f>
              <c:numCache>
                <c:formatCode>0%</c:formatCode>
                <c:ptCount val="3"/>
                <c:pt idx="0">
                  <c:v>0.69000000000000061</c:v>
                </c:pt>
                <c:pt idx="1">
                  <c:v>0.53</c:v>
                </c:pt>
                <c:pt idx="2">
                  <c:v>0.34</c:v>
                </c:pt>
              </c:numCache>
            </c:numRef>
          </c:val>
        </c:ser>
        <c:ser>
          <c:idx val="2"/>
          <c:order val="2"/>
          <c:tx>
            <c:strRef>
              <c:f>Tabelle1!$D$326</c:f>
              <c:strCache>
                <c:ptCount val="1"/>
                <c:pt idx="0">
                  <c:v>privater Bauträger</c:v>
                </c:pt>
              </c:strCache>
            </c:strRef>
          </c:tx>
          <c:cat>
            <c:strRef>
              <c:f>Tabelle1!$A$327:$A$329</c:f>
              <c:strCache>
                <c:ptCount val="3"/>
                <c:pt idx="0">
                  <c:v>Aus- und Weiterbildung für die SachbearbeiterInnen</c:v>
                </c:pt>
                <c:pt idx="1">
                  <c:v>Einstellung von SpezialistInnen / SozialarbeiterInnen</c:v>
                </c:pt>
                <c:pt idx="2">
                  <c:v>positive Diskriminierung bei Planung und Vergabe von Mitteln aus der Wohnbauförderung</c:v>
                </c:pt>
              </c:strCache>
            </c:strRef>
          </c:cat>
          <c:val>
            <c:numRef>
              <c:f>Tabelle1!$D$327:$D$329</c:f>
              <c:numCache>
                <c:formatCode>0%</c:formatCode>
                <c:ptCount val="3"/>
                <c:pt idx="0">
                  <c:v>0.81</c:v>
                </c:pt>
                <c:pt idx="1">
                  <c:v>0.69000000000000061</c:v>
                </c:pt>
                <c:pt idx="2">
                  <c:v>0.5</c:v>
                </c:pt>
              </c:numCache>
            </c:numRef>
          </c:val>
        </c:ser>
        <c:ser>
          <c:idx val="3"/>
          <c:order val="3"/>
          <c:tx>
            <c:strRef>
              <c:f>Tabelle1!$E$326</c:f>
              <c:strCache>
                <c:ptCount val="1"/>
                <c:pt idx="0">
                  <c:v>Beratungseinrichtung</c:v>
                </c:pt>
              </c:strCache>
            </c:strRef>
          </c:tx>
          <c:cat>
            <c:strRef>
              <c:f>Tabelle1!$A$327:$A$329</c:f>
              <c:strCache>
                <c:ptCount val="3"/>
                <c:pt idx="0">
                  <c:v>Aus- und Weiterbildung für die SachbearbeiterInnen</c:v>
                </c:pt>
                <c:pt idx="1">
                  <c:v>Einstellung von SpezialistInnen / SozialarbeiterInnen</c:v>
                </c:pt>
                <c:pt idx="2">
                  <c:v>positive Diskriminierung bei Planung und Vergabe von Mitteln aus der Wohnbauförderung</c:v>
                </c:pt>
              </c:strCache>
            </c:strRef>
          </c:cat>
          <c:val>
            <c:numRef>
              <c:f>Tabelle1!$E$327:$E$329</c:f>
              <c:numCache>
                <c:formatCode>0%</c:formatCode>
                <c:ptCount val="3"/>
                <c:pt idx="0">
                  <c:v>0.89</c:v>
                </c:pt>
                <c:pt idx="1">
                  <c:v>0.8</c:v>
                </c:pt>
                <c:pt idx="2">
                  <c:v>0.48000000000000032</c:v>
                </c:pt>
              </c:numCache>
            </c:numRef>
          </c:val>
        </c:ser>
        <c:marker val="1"/>
        <c:axId val="158789632"/>
        <c:axId val="158791168"/>
      </c:lineChart>
      <c:catAx>
        <c:axId val="158789632"/>
        <c:scaling>
          <c:orientation val="minMax"/>
        </c:scaling>
        <c:axPos val="b"/>
        <c:tickLblPos val="nextTo"/>
        <c:crossAx val="158791168"/>
        <c:crosses val="autoZero"/>
        <c:auto val="1"/>
        <c:lblAlgn val="ctr"/>
        <c:lblOffset val="100"/>
      </c:catAx>
      <c:valAx>
        <c:axId val="158791168"/>
        <c:scaling>
          <c:orientation val="minMax"/>
        </c:scaling>
        <c:axPos val="l"/>
        <c:majorGridlines/>
        <c:numFmt formatCode="0%" sourceLinked="1"/>
        <c:tickLblPos val="nextTo"/>
        <c:crossAx val="158789632"/>
        <c:crosses val="autoZero"/>
        <c:crossBetween val="between"/>
      </c:valAx>
    </c:plotArea>
    <c:legend>
      <c:legendPos val="b"/>
    </c:legend>
    <c:plotVisOnly val="1"/>
  </c:chart>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de-AT"/>
  <c:style val="5"/>
  <c:chart>
    <c:autoTitleDeleted val="1"/>
    <c:view3D>
      <c:rAngAx val="1"/>
    </c:view3D>
    <c:plotArea>
      <c:layout/>
      <c:bar3DChart>
        <c:barDir val="bar"/>
        <c:grouping val="clustered"/>
        <c:ser>
          <c:idx val="0"/>
          <c:order val="0"/>
          <c:tx>
            <c:strRef>
              <c:f>Tabelle1!$B$334</c:f>
              <c:strCache>
                <c:ptCount val="1"/>
                <c:pt idx="0">
                  <c:v>in %</c:v>
                </c:pt>
              </c:strCache>
            </c:strRef>
          </c:tx>
          <c:dLbls>
            <c:showVal val="1"/>
          </c:dLbls>
          <c:cat>
            <c:strRef>
              <c:f>Tabelle1!$A$335:$A$339</c:f>
              <c:strCache>
                <c:ptCount val="5"/>
                <c:pt idx="0">
                  <c:v>Die Normen des Gleichbehandlungsgesetzes und deren Inhalte sind mir für meine Arbeit ausreichend bekannt.</c:v>
                </c:pt>
                <c:pt idx="1">
                  <c:v>Wurden Diskriminierung und Benachteiligung am Wohnungsmarkt in Ihrer Einrichtung im Verlauf der vergangenen Jahre in Dienst- oder Teambesprechungen diskutiert?</c:v>
                </c:pt>
                <c:pt idx="2">
                  <c:v>Wurde der Umgang mit nicht-österreichischen Haushalten bei der Wohnungsvergabe in betrieblichen Fortbildungen behandelt?</c:v>
                </c:pt>
                <c:pt idx="3">
                  <c:v>Wurden an Ihrer Dienststelle in den vergangenen Jahren Strategien für eine diskriminierungsfreie Wohnungsvergabe erarbeitet und implementiert?</c:v>
                </c:pt>
                <c:pt idx="4">
                  <c:v>Sind in Ihrer praktischen Arbeit in den vergangenen Jahren konkrete Beispiele diskutiert worden, die in Hinblick auf Strategien für eine diskriminierungsfreie Vergabe von Wohnungen relevant erscheinen?</c:v>
                </c:pt>
              </c:strCache>
            </c:strRef>
          </c:cat>
          <c:val>
            <c:numRef>
              <c:f>Tabelle1!$B$335:$B$339</c:f>
              <c:numCache>
                <c:formatCode>0%</c:formatCode>
                <c:ptCount val="5"/>
                <c:pt idx="0">
                  <c:v>0.70000000000000062</c:v>
                </c:pt>
                <c:pt idx="1">
                  <c:v>0.70000000000000062</c:v>
                </c:pt>
                <c:pt idx="2">
                  <c:v>0.26</c:v>
                </c:pt>
                <c:pt idx="3">
                  <c:v>0.25</c:v>
                </c:pt>
                <c:pt idx="4">
                  <c:v>0.4</c:v>
                </c:pt>
              </c:numCache>
            </c:numRef>
          </c:val>
        </c:ser>
        <c:shape val="cylinder"/>
        <c:axId val="158874624"/>
        <c:axId val="158884608"/>
        <c:axId val="0"/>
      </c:bar3DChart>
      <c:catAx>
        <c:axId val="158874624"/>
        <c:scaling>
          <c:orientation val="minMax"/>
        </c:scaling>
        <c:axPos val="l"/>
        <c:tickLblPos val="nextTo"/>
        <c:txPr>
          <a:bodyPr/>
          <a:lstStyle/>
          <a:p>
            <a:pPr>
              <a:defRPr sz="800"/>
            </a:pPr>
            <a:endParaRPr lang="de-DE"/>
          </a:p>
        </c:txPr>
        <c:crossAx val="158884608"/>
        <c:crosses val="autoZero"/>
        <c:auto val="1"/>
        <c:lblAlgn val="ctr"/>
        <c:lblOffset val="100"/>
      </c:catAx>
      <c:valAx>
        <c:axId val="158884608"/>
        <c:scaling>
          <c:orientation val="minMax"/>
        </c:scaling>
        <c:axPos val="b"/>
        <c:majorGridlines/>
        <c:numFmt formatCode="0%" sourceLinked="1"/>
        <c:tickLblPos val="nextTo"/>
        <c:crossAx val="158874624"/>
        <c:crosses val="autoZero"/>
        <c:crossBetween val="between"/>
      </c:valAx>
    </c:plotArea>
    <c:plotVisOnly val="1"/>
  </c:chart>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de-AT"/>
  <c:chart>
    <c:plotArea>
      <c:layout/>
      <c:lineChart>
        <c:grouping val="standard"/>
        <c:ser>
          <c:idx val="0"/>
          <c:order val="0"/>
          <c:tx>
            <c:strRef>
              <c:f>Tabelle1!$B$342</c:f>
              <c:strCache>
                <c:ptCount val="1"/>
                <c:pt idx="0">
                  <c:v>Wohnungsamt</c:v>
                </c:pt>
              </c:strCache>
            </c:strRef>
          </c:tx>
          <c:cat>
            <c:strRef>
              <c:f>Tabelle1!$A$343:$A$347</c:f>
              <c:strCache>
                <c:ptCount val="5"/>
                <c:pt idx="0">
                  <c:v>Die Normen des Gleichbehandlungsgesetzes und deren Inhalte sind mir für meine Arbeit ausreichend bekannt.</c:v>
                </c:pt>
                <c:pt idx="1">
                  <c:v>Wurden Diskriminierung und Benachteiligung am Wohnungsmarkt in Ihrer Einrichtung im Verlauf der vergangenen Jahre in Dienst- oder Teambesprechungen diskutiert?</c:v>
                </c:pt>
                <c:pt idx="2">
                  <c:v>Wurde der Umgang mit nicht-österreichischen Haushalten bei der Wohnungsvergabe in betrieblichen Fortbildungen behandelt?</c:v>
                </c:pt>
                <c:pt idx="3">
                  <c:v>Wurden an Ihrer Dienststelle in den vergangenen Jahren Strategien für eine diskriminierungsfreie Wohnungsvergabe erarbeitet und implementiert?</c:v>
                </c:pt>
                <c:pt idx="4">
                  <c:v>Sind in Ihrer praktischen Arbeit in den vergangenen Jahren konkrete Beispiele diskutiert worden, die in Hinblick auf Strategien für eine diskriminierungsfreie Vergabe von Wohnungen relevant erscheinen?</c:v>
                </c:pt>
              </c:strCache>
            </c:strRef>
          </c:cat>
          <c:val>
            <c:numRef>
              <c:f>Tabelle1!$B$343:$B$347</c:f>
              <c:numCache>
                <c:formatCode>0%</c:formatCode>
                <c:ptCount val="5"/>
                <c:pt idx="0">
                  <c:v>0.77000000000001245</c:v>
                </c:pt>
                <c:pt idx="1">
                  <c:v>0.72000000000000064</c:v>
                </c:pt>
                <c:pt idx="2">
                  <c:v>0.28000000000000008</c:v>
                </c:pt>
                <c:pt idx="3">
                  <c:v>0.46</c:v>
                </c:pt>
                <c:pt idx="4">
                  <c:v>0.34</c:v>
                </c:pt>
              </c:numCache>
            </c:numRef>
          </c:val>
        </c:ser>
        <c:ser>
          <c:idx val="1"/>
          <c:order val="1"/>
          <c:tx>
            <c:strRef>
              <c:f>Tabelle1!$C$342</c:f>
              <c:strCache>
                <c:ptCount val="1"/>
                <c:pt idx="0">
                  <c:v>gemeinnütziger Bauträger</c:v>
                </c:pt>
              </c:strCache>
            </c:strRef>
          </c:tx>
          <c:cat>
            <c:strRef>
              <c:f>Tabelle1!$A$343:$A$347</c:f>
              <c:strCache>
                <c:ptCount val="5"/>
                <c:pt idx="0">
                  <c:v>Die Normen des Gleichbehandlungsgesetzes und deren Inhalte sind mir für meine Arbeit ausreichend bekannt.</c:v>
                </c:pt>
                <c:pt idx="1">
                  <c:v>Wurden Diskriminierung und Benachteiligung am Wohnungsmarkt in Ihrer Einrichtung im Verlauf der vergangenen Jahre in Dienst- oder Teambesprechungen diskutiert?</c:v>
                </c:pt>
                <c:pt idx="2">
                  <c:v>Wurde der Umgang mit nicht-österreichischen Haushalten bei der Wohnungsvergabe in betrieblichen Fortbildungen behandelt?</c:v>
                </c:pt>
                <c:pt idx="3">
                  <c:v>Wurden an Ihrer Dienststelle in den vergangenen Jahren Strategien für eine diskriminierungsfreie Wohnungsvergabe erarbeitet und implementiert?</c:v>
                </c:pt>
                <c:pt idx="4">
                  <c:v>Sind in Ihrer praktischen Arbeit in den vergangenen Jahren konkrete Beispiele diskutiert worden, die in Hinblick auf Strategien für eine diskriminierungsfreie Vergabe von Wohnungen relevant erscheinen?</c:v>
                </c:pt>
              </c:strCache>
            </c:strRef>
          </c:cat>
          <c:val>
            <c:numRef>
              <c:f>Tabelle1!$C$343:$C$347</c:f>
              <c:numCache>
                <c:formatCode>0%</c:formatCode>
                <c:ptCount val="5"/>
                <c:pt idx="0">
                  <c:v>0.79</c:v>
                </c:pt>
                <c:pt idx="1">
                  <c:v>0.64000000000001245</c:v>
                </c:pt>
                <c:pt idx="2">
                  <c:v>0.39000000000000623</c:v>
                </c:pt>
                <c:pt idx="3">
                  <c:v>0.25</c:v>
                </c:pt>
                <c:pt idx="4">
                  <c:v>0.26</c:v>
                </c:pt>
              </c:numCache>
            </c:numRef>
          </c:val>
        </c:ser>
        <c:ser>
          <c:idx val="2"/>
          <c:order val="2"/>
          <c:tx>
            <c:strRef>
              <c:f>Tabelle1!$D$342</c:f>
              <c:strCache>
                <c:ptCount val="1"/>
                <c:pt idx="0">
                  <c:v>privater Bauträger</c:v>
                </c:pt>
              </c:strCache>
            </c:strRef>
          </c:tx>
          <c:cat>
            <c:strRef>
              <c:f>Tabelle1!$A$343:$A$347</c:f>
              <c:strCache>
                <c:ptCount val="5"/>
                <c:pt idx="0">
                  <c:v>Die Normen des Gleichbehandlungsgesetzes und deren Inhalte sind mir für meine Arbeit ausreichend bekannt.</c:v>
                </c:pt>
                <c:pt idx="1">
                  <c:v>Wurden Diskriminierung und Benachteiligung am Wohnungsmarkt in Ihrer Einrichtung im Verlauf der vergangenen Jahre in Dienst- oder Teambesprechungen diskutiert?</c:v>
                </c:pt>
                <c:pt idx="2">
                  <c:v>Wurde der Umgang mit nicht-österreichischen Haushalten bei der Wohnungsvergabe in betrieblichen Fortbildungen behandelt?</c:v>
                </c:pt>
                <c:pt idx="3">
                  <c:v>Wurden an Ihrer Dienststelle in den vergangenen Jahren Strategien für eine diskriminierungsfreie Wohnungsvergabe erarbeitet und implementiert?</c:v>
                </c:pt>
                <c:pt idx="4">
                  <c:v>Sind in Ihrer praktischen Arbeit in den vergangenen Jahren konkrete Beispiele diskutiert worden, die in Hinblick auf Strategien für eine diskriminierungsfreie Vergabe von Wohnungen relevant erscheinen?</c:v>
                </c:pt>
              </c:strCache>
            </c:strRef>
          </c:cat>
          <c:val>
            <c:numRef>
              <c:f>Tabelle1!$D$343:$D$347</c:f>
              <c:numCache>
                <c:formatCode>0%</c:formatCode>
                <c:ptCount val="5"/>
                <c:pt idx="0">
                  <c:v>0.73000000000000065</c:v>
                </c:pt>
                <c:pt idx="1">
                  <c:v>0.47000000000000008</c:v>
                </c:pt>
                <c:pt idx="2">
                  <c:v>0.2</c:v>
                </c:pt>
                <c:pt idx="3">
                  <c:v>0.27</c:v>
                </c:pt>
                <c:pt idx="4">
                  <c:v>0.4</c:v>
                </c:pt>
              </c:numCache>
            </c:numRef>
          </c:val>
        </c:ser>
        <c:ser>
          <c:idx val="3"/>
          <c:order val="3"/>
          <c:tx>
            <c:strRef>
              <c:f>Tabelle1!$E$342</c:f>
              <c:strCache>
                <c:ptCount val="1"/>
                <c:pt idx="0">
                  <c:v>Beratungseinrichtung</c:v>
                </c:pt>
              </c:strCache>
            </c:strRef>
          </c:tx>
          <c:cat>
            <c:strRef>
              <c:f>Tabelle1!$A$343:$A$347</c:f>
              <c:strCache>
                <c:ptCount val="5"/>
                <c:pt idx="0">
                  <c:v>Die Normen des Gleichbehandlungsgesetzes und deren Inhalte sind mir für meine Arbeit ausreichend bekannt.</c:v>
                </c:pt>
                <c:pt idx="1">
                  <c:v>Wurden Diskriminierung und Benachteiligung am Wohnungsmarkt in Ihrer Einrichtung im Verlauf der vergangenen Jahre in Dienst- oder Teambesprechungen diskutiert?</c:v>
                </c:pt>
                <c:pt idx="2">
                  <c:v>Wurde der Umgang mit nicht-österreichischen Haushalten bei der Wohnungsvergabe in betrieblichen Fortbildungen behandelt?</c:v>
                </c:pt>
                <c:pt idx="3">
                  <c:v>Wurden an Ihrer Dienststelle in den vergangenen Jahren Strategien für eine diskriminierungsfreie Wohnungsvergabe erarbeitet und implementiert?</c:v>
                </c:pt>
                <c:pt idx="4">
                  <c:v>Sind in Ihrer praktischen Arbeit in den vergangenen Jahren konkrete Beispiele diskutiert worden, die in Hinblick auf Strategien für eine diskriminierungsfreie Vergabe von Wohnungen relevant erscheinen?</c:v>
                </c:pt>
              </c:strCache>
            </c:strRef>
          </c:cat>
          <c:val>
            <c:numRef>
              <c:f>Tabelle1!$E$343:$E$347</c:f>
              <c:numCache>
                <c:formatCode>0%</c:formatCode>
                <c:ptCount val="5"/>
                <c:pt idx="0">
                  <c:v>0.69000000000000061</c:v>
                </c:pt>
                <c:pt idx="1">
                  <c:v>0.71000000000000063</c:v>
                </c:pt>
                <c:pt idx="2">
                  <c:v>0.2</c:v>
                </c:pt>
                <c:pt idx="3">
                  <c:v>0.24000000000000021</c:v>
                </c:pt>
                <c:pt idx="4">
                  <c:v>0.4</c:v>
                </c:pt>
              </c:numCache>
            </c:numRef>
          </c:val>
        </c:ser>
        <c:marker val="1"/>
        <c:axId val="159061888"/>
        <c:axId val="159063424"/>
      </c:lineChart>
      <c:catAx>
        <c:axId val="159061888"/>
        <c:scaling>
          <c:orientation val="minMax"/>
        </c:scaling>
        <c:axPos val="b"/>
        <c:tickLblPos val="nextTo"/>
        <c:txPr>
          <a:bodyPr/>
          <a:lstStyle/>
          <a:p>
            <a:pPr>
              <a:defRPr sz="600"/>
            </a:pPr>
            <a:endParaRPr lang="de-DE"/>
          </a:p>
        </c:txPr>
        <c:crossAx val="159063424"/>
        <c:crosses val="autoZero"/>
        <c:auto val="1"/>
        <c:lblAlgn val="ctr"/>
        <c:lblOffset val="100"/>
      </c:catAx>
      <c:valAx>
        <c:axId val="159063424"/>
        <c:scaling>
          <c:orientation val="minMax"/>
        </c:scaling>
        <c:axPos val="l"/>
        <c:majorGridlines/>
        <c:numFmt formatCode="0%" sourceLinked="1"/>
        <c:tickLblPos val="nextTo"/>
        <c:crossAx val="159061888"/>
        <c:crosses val="autoZero"/>
        <c:crossBetween val="between"/>
      </c:valAx>
    </c:plotArea>
    <c:legend>
      <c:legendPos val="b"/>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de-AT"/>
  <c:style val="5"/>
  <c:chart>
    <c:title>
      <c:tx>
        <c:rich>
          <a:bodyPr/>
          <a:lstStyle/>
          <a:p>
            <a:pPr>
              <a:defRPr/>
            </a:pPr>
            <a:r>
              <a:rPr lang="de-AT" sz="1200"/>
              <a:t>andere</a:t>
            </a:r>
            <a:r>
              <a:rPr lang="de-AT" sz="1200" baseline="0"/>
              <a:t> als deutsche Muttersprache</a:t>
            </a:r>
            <a:endParaRPr lang="de-AT" sz="1200"/>
          </a:p>
        </c:rich>
      </c:tx>
    </c:title>
    <c:plotArea>
      <c:layout/>
      <c:pieChart>
        <c:varyColors val="1"/>
        <c:ser>
          <c:idx val="0"/>
          <c:order val="0"/>
          <c:dLbls>
            <c:dLbl>
              <c:idx val="0"/>
              <c:layout>
                <c:manualLayout>
                  <c:x val="8.2799383335365427E-3"/>
                  <c:y val="3.0872030604728276E-2"/>
                </c:manualLayout>
              </c:layout>
              <c:showVal val="1"/>
            </c:dLbl>
            <c:dLbl>
              <c:idx val="1"/>
              <c:layout>
                <c:manualLayout>
                  <c:x val="-1.2674557772396513E-2"/>
                  <c:y val="-1.4057387081311858E-2"/>
                </c:manualLayout>
              </c:layout>
              <c:showVal val="1"/>
            </c:dLbl>
            <c:dLbl>
              <c:idx val="2"/>
              <c:layout>
                <c:manualLayout>
                  <c:x val="-2.359431136169415E-2"/>
                  <c:y val="2.7649187372655318E-2"/>
                </c:manualLayout>
              </c:layout>
              <c:showVal val="1"/>
            </c:dLbl>
            <c:showVal val="1"/>
            <c:showLeaderLines val="1"/>
          </c:dLbls>
          <c:cat>
            <c:strRef>
              <c:f>'Question 7'!$A$4:$A$15</c:f>
              <c:strCache>
                <c:ptCount val="12"/>
                <c:pt idx="0">
                  <c:v>keine</c:v>
                </c:pt>
                <c:pt idx="1">
                  <c:v>10%</c:v>
                </c:pt>
                <c:pt idx="2">
                  <c:v>20%</c:v>
                </c:pt>
                <c:pt idx="3">
                  <c:v>30%</c:v>
                </c:pt>
                <c:pt idx="4">
                  <c:v>40%</c:v>
                </c:pt>
                <c:pt idx="5">
                  <c:v>50%</c:v>
                </c:pt>
                <c:pt idx="6">
                  <c:v>60%</c:v>
                </c:pt>
                <c:pt idx="7">
                  <c:v>70%</c:v>
                </c:pt>
                <c:pt idx="8">
                  <c:v>80%</c:v>
                </c:pt>
                <c:pt idx="9">
                  <c:v>90%</c:v>
                </c:pt>
                <c:pt idx="10">
                  <c:v>100%</c:v>
                </c:pt>
                <c:pt idx="11">
                  <c:v>das ist nicht bekannt</c:v>
                </c:pt>
              </c:strCache>
            </c:strRef>
          </c:cat>
          <c:val>
            <c:numRef>
              <c:f>'Question 7'!$C$4:$C$15</c:f>
              <c:numCache>
                <c:formatCode>0.0%</c:formatCode>
                <c:ptCount val="12"/>
                <c:pt idx="0">
                  <c:v>0.13200000000000001</c:v>
                </c:pt>
                <c:pt idx="1">
                  <c:v>0.10700000000000012</c:v>
                </c:pt>
                <c:pt idx="2">
                  <c:v>0.13200000000000001</c:v>
                </c:pt>
                <c:pt idx="3">
                  <c:v>0.17300000000000001</c:v>
                </c:pt>
                <c:pt idx="4">
                  <c:v>8.1000000000000003E-2</c:v>
                </c:pt>
                <c:pt idx="5">
                  <c:v>5.1000000000000004E-2</c:v>
                </c:pt>
                <c:pt idx="6">
                  <c:v>1.4999999999999998E-2</c:v>
                </c:pt>
                <c:pt idx="7">
                  <c:v>2.5000000000000001E-2</c:v>
                </c:pt>
                <c:pt idx="8">
                  <c:v>1.0000000000000005E-2</c:v>
                </c:pt>
                <c:pt idx="9">
                  <c:v>5.0000000000000114E-3</c:v>
                </c:pt>
                <c:pt idx="10">
                  <c:v>4.1000000000000002E-2</c:v>
                </c:pt>
                <c:pt idx="11">
                  <c:v>0.22800000000000001</c:v>
                </c:pt>
              </c:numCache>
            </c:numRef>
          </c:val>
        </c:ser>
        <c:firstSliceAng val="0"/>
      </c:pieChart>
    </c:plotArea>
    <c:legend>
      <c:legendPos val="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de-AT"/>
  <c:style val="5"/>
  <c:chart>
    <c:title>
      <c:tx>
        <c:rich>
          <a:bodyPr/>
          <a:lstStyle/>
          <a:p>
            <a:pPr>
              <a:defRPr/>
            </a:pPr>
            <a:r>
              <a:rPr lang="de-AT" sz="1200"/>
              <a:t>nicht in Österreich geboren</a:t>
            </a:r>
          </a:p>
        </c:rich>
      </c:tx>
    </c:title>
    <c:plotArea>
      <c:layout/>
      <c:pieChart>
        <c:varyColors val="1"/>
        <c:ser>
          <c:idx val="0"/>
          <c:order val="0"/>
          <c:dLbls>
            <c:dLbl>
              <c:idx val="0"/>
              <c:layout>
                <c:manualLayout>
                  <c:x val="7.0980403091925534E-3"/>
                  <c:y val="3.7043456694089601E-2"/>
                </c:manualLayout>
              </c:layout>
              <c:showVal val="1"/>
            </c:dLbl>
            <c:dLbl>
              <c:idx val="1"/>
              <c:layout>
                <c:manualLayout>
                  <c:x val="-1.6361405279485128E-2"/>
                  <c:y val="-1.8725074898609004E-2"/>
                </c:manualLayout>
              </c:layout>
              <c:showVal val="1"/>
            </c:dLbl>
            <c:dLbl>
              <c:idx val="2"/>
              <c:layout>
                <c:manualLayout>
                  <c:x val="-2.6485268556938092E-2"/>
                  <c:y val="4.9756068689704162E-2"/>
                </c:manualLayout>
              </c:layout>
              <c:showVal val="1"/>
            </c:dLbl>
            <c:showVal val="1"/>
            <c:showLeaderLines val="1"/>
          </c:dLbls>
          <c:cat>
            <c:strRef>
              <c:f>'Question 8'!$A$4:$A$15</c:f>
              <c:strCache>
                <c:ptCount val="12"/>
                <c:pt idx="0">
                  <c:v>keine</c:v>
                </c:pt>
                <c:pt idx="1">
                  <c:v>10%</c:v>
                </c:pt>
                <c:pt idx="2">
                  <c:v>20%</c:v>
                </c:pt>
                <c:pt idx="3">
                  <c:v>30%</c:v>
                </c:pt>
                <c:pt idx="4">
                  <c:v>40%</c:v>
                </c:pt>
                <c:pt idx="5">
                  <c:v>50%</c:v>
                </c:pt>
                <c:pt idx="6">
                  <c:v>60%</c:v>
                </c:pt>
                <c:pt idx="7">
                  <c:v>70%</c:v>
                </c:pt>
                <c:pt idx="8">
                  <c:v>80%</c:v>
                </c:pt>
                <c:pt idx="9">
                  <c:v>90%</c:v>
                </c:pt>
                <c:pt idx="10">
                  <c:v>100%</c:v>
                </c:pt>
                <c:pt idx="11">
                  <c:v>das ist nicht bekannt</c:v>
                </c:pt>
              </c:strCache>
            </c:strRef>
          </c:cat>
          <c:val>
            <c:numRef>
              <c:f>'Question 8'!$C$4:$C$15</c:f>
              <c:numCache>
                <c:formatCode>0.0%</c:formatCode>
                <c:ptCount val="12"/>
                <c:pt idx="0">
                  <c:v>0.11699999999999998</c:v>
                </c:pt>
                <c:pt idx="1">
                  <c:v>0.11699999999999998</c:v>
                </c:pt>
                <c:pt idx="2">
                  <c:v>0.16800000000000001</c:v>
                </c:pt>
                <c:pt idx="3">
                  <c:v>0.13700000000000001</c:v>
                </c:pt>
                <c:pt idx="4">
                  <c:v>7.0999999999999994E-2</c:v>
                </c:pt>
                <c:pt idx="5">
                  <c:v>4.5999999999999999E-2</c:v>
                </c:pt>
                <c:pt idx="6">
                  <c:v>2.0000000000000011E-2</c:v>
                </c:pt>
                <c:pt idx="7">
                  <c:v>2.0000000000000011E-2</c:v>
                </c:pt>
                <c:pt idx="8">
                  <c:v>0</c:v>
                </c:pt>
                <c:pt idx="9">
                  <c:v>2.0000000000000011E-2</c:v>
                </c:pt>
                <c:pt idx="10">
                  <c:v>2.5000000000000001E-2</c:v>
                </c:pt>
                <c:pt idx="11">
                  <c:v>0.25900000000000001</c:v>
                </c:pt>
              </c:numCache>
            </c:numRef>
          </c:val>
        </c:ser>
        <c:firstSliceAng val="0"/>
      </c:pieChart>
    </c:plotArea>
    <c:legend>
      <c:legendPos val="r"/>
      <c:layout>
        <c:manualLayout>
          <c:xMode val="edge"/>
          <c:yMode val="edge"/>
          <c:x val="0.75214350009852005"/>
          <c:y val="6.8070786583355178E-2"/>
          <c:w val="0.23396897030164554"/>
          <c:h val="0.86260537240745216"/>
        </c:manualLayout>
      </c:layout>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de-AT"/>
  <c:chart>
    <c:title>
      <c:tx>
        <c:rich>
          <a:bodyPr/>
          <a:lstStyle/>
          <a:p>
            <a:pPr>
              <a:defRPr sz="800"/>
            </a:pPr>
            <a:r>
              <a:rPr lang="de-AT" sz="800"/>
              <a:t>Benachteiligung von Nicht-ÖsterreicherInnen durch gesetzliche Bestimmungen </a:t>
            </a:r>
          </a:p>
        </c:rich>
      </c:tx>
    </c:title>
    <c:view3D>
      <c:rotX val="30"/>
      <c:perspective val="30"/>
    </c:view3D>
    <c:plotArea>
      <c:layout/>
      <c:pie3DChart>
        <c:varyColors val="1"/>
        <c:ser>
          <c:idx val="0"/>
          <c:order val="0"/>
          <c:tx>
            <c:strRef>
              <c:f>'Question 10'!$A$35:$B$35</c:f>
              <c:strCache>
                <c:ptCount val="1"/>
                <c:pt idx="0">
                  <c:v>gesetzliche Bestimmung gesetzliche Bestimmung</c:v>
                </c:pt>
              </c:strCache>
            </c:strRef>
          </c:tx>
          <c:explosion val="25"/>
          <c:dLbls>
            <c:dLbl>
              <c:idx val="0"/>
              <c:layout>
                <c:manualLayout>
                  <c:x val="2.3038057742782148E-3"/>
                  <c:y val="1.1868620589093029E-2"/>
                </c:manualLayout>
              </c:layout>
              <c:showVal val="1"/>
            </c:dLbl>
            <c:dLbl>
              <c:idx val="1"/>
              <c:layout>
                <c:manualLayout>
                  <c:x val="-2.9241907261592412E-2"/>
                  <c:y val="-5.5624817731116952E-2"/>
                </c:manualLayout>
              </c:layout>
              <c:showVal val="1"/>
            </c:dLbl>
            <c:dLbl>
              <c:idx val="2"/>
              <c:layout>
                <c:manualLayout>
                  <c:x val="8.9862204724409506E-3"/>
                  <c:y val="7.5594196558764004E-3"/>
                </c:manualLayout>
              </c:layout>
              <c:showVal val="1"/>
            </c:dLbl>
            <c:dLbl>
              <c:idx val="3"/>
              <c:layout>
                <c:manualLayout>
                  <c:x val="2.1121062992125992E-2"/>
                  <c:y val="3.9260717410325212E-2"/>
                </c:manualLayout>
              </c:layout>
              <c:showVal val="1"/>
            </c:dLbl>
            <c:dLbl>
              <c:idx val="4"/>
              <c:layout>
                <c:manualLayout>
                  <c:x val="-1.2883092738407705E-2"/>
                  <c:y val="-1.0794692330125399E-2"/>
                </c:manualLayout>
              </c:layout>
              <c:showVal val="1"/>
            </c:dLbl>
            <c:txPr>
              <a:bodyPr/>
              <a:lstStyle/>
              <a:p>
                <a:pPr>
                  <a:defRPr sz="700"/>
                </a:pPr>
                <a:endParaRPr lang="de-DE"/>
              </a:p>
            </c:txPr>
            <c:showVal val="1"/>
            <c:showLeaderLines val="1"/>
          </c:dLbls>
          <c:cat>
            <c:strRef>
              <c:f>'Question 10'!$C$34:$G$34</c:f>
              <c:strCache>
                <c:ptCount val="5"/>
                <c:pt idx="0">
                  <c:v>trifft zu</c:v>
                </c:pt>
                <c:pt idx="1">
                  <c:v>trifft eher zu</c:v>
                </c:pt>
                <c:pt idx="2">
                  <c:v>trifft eher nicht zu</c:v>
                </c:pt>
                <c:pt idx="3">
                  <c:v>trifft gar nicht zu</c:v>
                </c:pt>
                <c:pt idx="4">
                  <c:v>weiß nicht</c:v>
                </c:pt>
              </c:strCache>
            </c:strRef>
          </c:cat>
          <c:val>
            <c:numRef>
              <c:f>'Question 10'!$C$35:$G$35</c:f>
              <c:numCache>
                <c:formatCode>General</c:formatCode>
                <c:ptCount val="5"/>
                <c:pt idx="0">
                  <c:v>28</c:v>
                </c:pt>
                <c:pt idx="1">
                  <c:v>28</c:v>
                </c:pt>
                <c:pt idx="2">
                  <c:v>31</c:v>
                </c:pt>
                <c:pt idx="3">
                  <c:v>68</c:v>
                </c:pt>
                <c:pt idx="4">
                  <c:v>38</c:v>
                </c:pt>
              </c:numCache>
            </c:numRef>
          </c:val>
        </c:ser>
      </c:pie3DChart>
    </c:plotArea>
    <c:legend>
      <c:legendPos val="b"/>
      <c:layout>
        <c:manualLayout>
          <c:xMode val="edge"/>
          <c:yMode val="edge"/>
          <c:x val="2.1148982251344439E-2"/>
          <c:y val="0.79927566538965955"/>
          <c:w val="0.97635005414532972"/>
          <c:h val="0.16581774638119404"/>
        </c:manualLayout>
      </c:layout>
      <c:txPr>
        <a:bodyPr/>
        <a:lstStyle/>
        <a:p>
          <a:pPr>
            <a:defRPr sz="800"/>
          </a:pPr>
          <a:endParaRPr lang="de-DE"/>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de-AT"/>
  <c:chart>
    <c:title>
      <c:tx>
        <c:rich>
          <a:bodyPr/>
          <a:lstStyle/>
          <a:p>
            <a:pPr>
              <a:defRPr sz="800"/>
            </a:pPr>
            <a:r>
              <a:rPr lang="en-US" sz="800"/>
              <a:t>Benachteiligigung</a:t>
            </a:r>
            <a:r>
              <a:rPr lang="en-US" sz="800" baseline="0"/>
              <a:t> von Nicht-ÖsterreicherInnen durch </a:t>
            </a:r>
            <a:r>
              <a:rPr lang="en-US" sz="800"/>
              <a:t>administrative Vorgaben &amp; Kriterien</a:t>
            </a:r>
          </a:p>
        </c:rich>
      </c:tx>
    </c:title>
    <c:view3D>
      <c:rotX val="30"/>
      <c:perspective val="30"/>
    </c:view3D>
    <c:plotArea>
      <c:layout/>
      <c:pie3DChart>
        <c:varyColors val="1"/>
        <c:ser>
          <c:idx val="0"/>
          <c:order val="0"/>
          <c:tx>
            <c:strRef>
              <c:f>'Question 10'!$A$40:$B$40</c:f>
              <c:strCache>
                <c:ptCount val="1"/>
                <c:pt idx="0">
                  <c:v>administrative Vorgaben / Kriterien für die Vergabe administrative Vorgaben / Kriterien für die Vergabe</c:v>
                </c:pt>
              </c:strCache>
            </c:strRef>
          </c:tx>
          <c:explosion val="25"/>
          <c:dLbls>
            <c:dLbl>
              <c:idx val="0"/>
              <c:layout>
                <c:manualLayout>
                  <c:x val="2.0391513560805092E-3"/>
                  <c:y val="-1.9994896471274425E-3"/>
                </c:manualLayout>
              </c:layout>
              <c:showVal val="1"/>
            </c:dLbl>
            <c:dLbl>
              <c:idx val="1"/>
              <c:layout>
                <c:manualLayout>
                  <c:x val="5.8173665791776026E-3"/>
                  <c:y val="-0.13351049868766862"/>
                </c:manualLayout>
              </c:layout>
              <c:showVal val="1"/>
            </c:dLbl>
            <c:dLbl>
              <c:idx val="2"/>
              <c:layout>
                <c:manualLayout>
                  <c:x val="3.2224190726159292E-2"/>
                  <c:y val="-3.911380869058035E-2"/>
                </c:manualLayout>
              </c:layout>
              <c:showVal val="1"/>
            </c:dLbl>
            <c:dLbl>
              <c:idx val="3"/>
              <c:layout>
                <c:manualLayout>
                  <c:x val="2.445319335083115E-2"/>
                  <c:y val="1.4666812481773112E-2"/>
                </c:manualLayout>
              </c:layout>
              <c:showVal val="1"/>
            </c:dLbl>
            <c:dLbl>
              <c:idx val="4"/>
              <c:layout>
                <c:manualLayout>
                  <c:x val="1.3235236220472442E-2"/>
                  <c:y val="-1.1258748906386699E-2"/>
                </c:manualLayout>
              </c:layout>
              <c:showVal val="1"/>
            </c:dLbl>
            <c:txPr>
              <a:bodyPr/>
              <a:lstStyle/>
              <a:p>
                <a:pPr>
                  <a:defRPr sz="700"/>
                </a:pPr>
                <a:endParaRPr lang="de-DE"/>
              </a:p>
            </c:txPr>
            <c:showVal val="1"/>
            <c:showLeaderLines val="1"/>
          </c:dLbls>
          <c:cat>
            <c:strRef>
              <c:f>'Question 10'!$C$39:$G$39</c:f>
              <c:strCache>
                <c:ptCount val="5"/>
                <c:pt idx="0">
                  <c:v>trifft zu</c:v>
                </c:pt>
                <c:pt idx="1">
                  <c:v>trifft eher zu</c:v>
                </c:pt>
                <c:pt idx="2">
                  <c:v>trifft eher nicht zu</c:v>
                </c:pt>
                <c:pt idx="3">
                  <c:v>trifft gar nicht zu</c:v>
                </c:pt>
                <c:pt idx="4">
                  <c:v>weiß nicht</c:v>
                </c:pt>
              </c:strCache>
            </c:strRef>
          </c:cat>
          <c:val>
            <c:numRef>
              <c:f>'Question 10'!$C$40:$G$40</c:f>
              <c:numCache>
                <c:formatCode>General</c:formatCode>
                <c:ptCount val="5"/>
                <c:pt idx="0">
                  <c:v>42</c:v>
                </c:pt>
                <c:pt idx="1">
                  <c:v>27</c:v>
                </c:pt>
                <c:pt idx="2">
                  <c:v>25</c:v>
                </c:pt>
                <c:pt idx="3">
                  <c:v>57</c:v>
                </c:pt>
                <c:pt idx="4">
                  <c:v>42</c:v>
                </c:pt>
              </c:numCache>
            </c:numRef>
          </c:val>
        </c:ser>
      </c:pie3DChart>
    </c:plotArea>
    <c:legend>
      <c:legendPos val="b"/>
      <c:txPr>
        <a:bodyPr/>
        <a:lstStyle/>
        <a:p>
          <a:pPr>
            <a:defRPr sz="700"/>
          </a:pPr>
          <a:endParaRPr lang="de-DE"/>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de-AT"/>
  <c:chart>
    <c:view3D>
      <c:rAngAx val="1"/>
    </c:view3D>
    <c:plotArea>
      <c:layout/>
      <c:bar3DChart>
        <c:barDir val="col"/>
        <c:grouping val="clustered"/>
        <c:ser>
          <c:idx val="0"/>
          <c:order val="0"/>
          <c:tx>
            <c:strRef>
              <c:f>Tabelle1!$A$48</c:f>
              <c:strCache>
                <c:ptCount val="1"/>
                <c:pt idx="0">
                  <c:v>Beratungseinrichtung</c:v>
                </c:pt>
              </c:strCache>
            </c:strRef>
          </c:tx>
          <c:cat>
            <c:multiLvlStrRef>
              <c:f>Tabelle1!$B$46:$K$47</c:f>
              <c:multiLvlStrCache>
                <c:ptCount val="10"/>
                <c:lvl>
                  <c:pt idx="0">
                    <c:v>ja</c:v>
                  </c:pt>
                  <c:pt idx="1">
                    <c:v>eher ja</c:v>
                  </c:pt>
                  <c:pt idx="2">
                    <c:v>eher nein</c:v>
                  </c:pt>
                  <c:pt idx="3">
                    <c:v>nein</c:v>
                  </c:pt>
                  <c:pt idx="4">
                    <c:v>k.A.</c:v>
                  </c:pt>
                  <c:pt idx="5">
                    <c:v>ja</c:v>
                  </c:pt>
                  <c:pt idx="6">
                    <c:v>eher ja</c:v>
                  </c:pt>
                  <c:pt idx="7">
                    <c:v>eher nein</c:v>
                  </c:pt>
                  <c:pt idx="8">
                    <c:v>nein</c:v>
                  </c:pt>
                  <c:pt idx="9">
                    <c:v>k.A.</c:v>
                  </c:pt>
                </c:lvl>
                <c:lvl>
                  <c:pt idx="0">
                    <c:v>aufgrund gesetzlicher Bestimmungen</c:v>
                  </c:pt>
                  <c:pt idx="5">
                    <c:v>aufgrund administrativer Vorgaben / Kriterien</c:v>
                  </c:pt>
                </c:lvl>
              </c:multiLvlStrCache>
            </c:multiLvlStrRef>
          </c:cat>
          <c:val>
            <c:numRef>
              <c:f>Tabelle1!$B$48:$K$48</c:f>
              <c:numCache>
                <c:formatCode>0%</c:formatCode>
                <c:ptCount val="10"/>
                <c:pt idx="0">
                  <c:v>0.16</c:v>
                </c:pt>
                <c:pt idx="1">
                  <c:v>0.19</c:v>
                </c:pt>
                <c:pt idx="2">
                  <c:v>0.16</c:v>
                </c:pt>
                <c:pt idx="3">
                  <c:v>0.25</c:v>
                </c:pt>
                <c:pt idx="4">
                  <c:v>0.25</c:v>
                </c:pt>
                <c:pt idx="5">
                  <c:v>0.25</c:v>
                </c:pt>
                <c:pt idx="6">
                  <c:v>0.18000000000000024</c:v>
                </c:pt>
                <c:pt idx="7">
                  <c:v>0.13</c:v>
                </c:pt>
                <c:pt idx="8">
                  <c:v>0.21000000000000021</c:v>
                </c:pt>
                <c:pt idx="9">
                  <c:v>0.24000000000000021</c:v>
                </c:pt>
              </c:numCache>
            </c:numRef>
          </c:val>
        </c:ser>
        <c:ser>
          <c:idx val="1"/>
          <c:order val="1"/>
          <c:tx>
            <c:strRef>
              <c:f>Tabelle1!$A$49</c:f>
              <c:strCache>
                <c:ptCount val="1"/>
                <c:pt idx="0">
                  <c:v>kommunales Wohnungsamt</c:v>
                </c:pt>
              </c:strCache>
            </c:strRef>
          </c:tx>
          <c:cat>
            <c:multiLvlStrRef>
              <c:f>Tabelle1!$B$46:$K$47</c:f>
              <c:multiLvlStrCache>
                <c:ptCount val="10"/>
                <c:lvl>
                  <c:pt idx="0">
                    <c:v>ja</c:v>
                  </c:pt>
                  <c:pt idx="1">
                    <c:v>eher ja</c:v>
                  </c:pt>
                  <c:pt idx="2">
                    <c:v>eher nein</c:v>
                  </c:pt>
                  <c:pt idx="3">
                    <c:v>nein</c:v>
                  </c:pt>
                  <c:pt idx="4">
                    <c:v>k.A.</c:v>
                  </c:pt>
                  <c:pt idx="5">
                    <c:v>ja</c:v>
                  </c:pt>
                  <c:pt idx="6">
                    <c:v>eher ja</c:v>
                  </c:pt>
                  <c:pt idx="7">
                    <c:v>eher nein</c:v>
                  </c:pt>
                  <c:pt idx="8">
                    <c:v>nein</c:v>
                  </c:pt>
                  <c:pt idx="9">
                    <c:v>k.A.</c:v>
                  </c:pt>
                </c:lvl>
                <c:lvl>
                  <c:pt idx="0">
                    <c:v>aufgrund gesetzlicher Bestimmungen</c:v>
                  </c:pt>
                  <c:pt idx="5">
                    <c:v>aufgrund administrativer Vorgaben / Kriterien</c:v>
                  </c:pt>
                </c:lvl>
              </c:multiLvlStrCache>
            </c:multiLvlStrRef>
          </c:cat>
          <c:val>
            <c:numRef>
              <c:f>Tabelle1!$B$49:$K$49</c:f>
              <c:numCache>
                <c:formatCode>0%</c:formatCode>
                <c:ptCount val="10"/>
                <c:pt idx="0">
                  <c:v>0.11</c:v>
                </c:pt>
                <c:pt idx="1">
                  <c:v>4.0000000000000022E-2</c:v>
                </c:pt>
                <c:pt idx="2">
                  <c:v>0.15000000000000024</c:v>
                </c:pt>
                <c:pt idx="3">
                  <c:v>0.64000000000001378</c:v>
                </c:pt>
                <c:pt idx="4">
                  <c:v>6.0000000000000032E-2</c:v>
                </c:pt>
                <c:pt idx="5">
                  <c:v>0.15000000000000024</c:v>
                </c:pt>
                <c:pt idx="6">
                  <c:v>0.11</c:v>
                </c:pt>
                <c:pt idx="7">
                  <c:v>0.19</c:v>
                </c:pt>
                <c:pt idx="8">
                  <c:v>0.53</c:v>
                </c:pt>
                <c:pt idx="9">
                  <c:v>2.0000000000000011E-2</c:v>
                </c:pt>
              </c:numCache>
            </c:numRef>
          </c:val>
        </c:ser>
        <c:ser>
          <c:idx val="2"/>
          <c:order val="2"/>
          <c:tx>
            <c:strRef>
              <c:f>Tabelle1!$A$50</c:f>
              <c:strCache>
                <c:ptCount val="1"/>
                <c:pt idx="0">
                  <c:v>privater Wohnbauträger</c:v>
                </c:pt>
              </c:strCache>
            </c:strRef>
          </c:tx>
          <c:cat>
            <c:multiLvlStrRef>
              <c:f>Tabelle1!$B$46:$K$47</c:f>
              <c:multiLvlStrCache>
                <c:ptCount val="10"/>
                <c:lvl>
                  <c:pt idx="0">
                    <c:v>ja</c:v>
                  </c:pt>
                  <c:pt idx="1">
                    <c:v>eher ja</c:v>
                  </c:pt>
                  <c:pt idx="2">
                    <c:v>eher nein</c:v>
                  </c:pt>
                  <c:pt idx="3">
                    <c:v>nein</c:v>
                  </c:pt>
                  <c:pt idx="4">
                    <c:v>k.A.</c:v>
                  </c:pt>
                  <c:pt idx="5">
                    <c:v>ja</c:v>
                  </c:pt>
                  <c:pt idx="6">
                    <c:v>eher ja</c:v>
                  </c:pt>
                  <c:pt idx="7">
                    <c:v>eher nein</c:v>
                  </c:pt>
                  <c:pt idx="8">
                    <c:v>nein</c:v>
                  </c:pt>
                  <c:pt idx="9">
                    <c:v>k.A.</c:v>
                  </c:pt>
                </c:lvl>
                <c:lvl>
                  <c:pt idx="0">
                    <c:v>aufgrund gesetzlicher Bestimmungen</c:v>
                  </c:pt>
                  <c:pt idx="5">
                    <c:v>aufgrund administrativer Vorgaben / Kriterien</c:v>
                  </c:pt>
                </c:lvl>
              </c:multiLvlStrCache>
            </c:multiLvlStrRef>
          </c:cat>
          <c:val>
            <c:numRef>
              <c:f>Tabelle1!$B$50:$K$50</c:f>
              <c:numCache>
                <c:formatCode>0%</c:formatCode>
                <c:ptCount val="10"/>
                <c:pt idx="0">
                  <c:v>0.26</c:v>
                </c:pt>
                <c:pt idx="1">
                  <c:v>0.16</c:v>
                </c:pt>
                <c:pt idx="2">
                  <c:v>0.16</c:v>
                </c:pt>
                <c:pt idx="3">
                  <c:v>0.37000000000000038</c:v>
                </c:pt>
                <c:pt idx="4">
                  <c:v>0.05</c:v>
                </c:pt>
                <c:pt idx="5">
                  <c:v>0.26</c:v>
                </c:pt>
                <c:pt idx="6">
                  <c:v>0</c:v>
                </c:pt>
                <c:pt idx="7">
                  <c:v>0.21000000000000021</c:v>
                </c:pt>
                <c:pt idx="8">
                  <c:v>0.42000000000000032</c:v>
                </c:pt>
                <c:pt idx="9">
                  <c:v>0.11</c:v>
                </c:pt>
              </c:numCache>
            </c:numRef>
          </c:val>
        </c:ser>
        <c:ser>
          <c:idx val="3"/>
          <c:order val="3"/>
          <c:tx>
            <c:strRef>
              <c:f>Tabelle1!$A$51</c:f>
              <c:strCache>
                <c:ptCount val="1"/>
                <c:pt idx="0">
                  <c:v>gemeinnütziger Wohnbauträger</c:v>
                </c:pt>
              </c:strCache>
            </c:strRef>
          </c:tx>
          <c:cat>
            <c:multiLvlStrRef>
              <c:f>Tabelle1!$B$46:$K$47</c:f>
              <c:multiLvlStrCache>
                <c:ptCount val="10"/>
                <c:lvl>
                  <c:pt idx="0">
                    <c:v>ja</c:v>
                  </c:pt>
                  <c:pt idx="1">
                    <c:v>eher ja</c:v>
                  </c:pt>
                  <c:pt idx="2">
                    <c:v>eher nein</c:v>
                  </c:pt>
                  <c:pt idx="3">
                    <c:v>nein</c:v>
                  </c:pt>
                  <c:pt idx="4">
                    <c:v>k.A.</c:v>
                  </c:pt>
                  <c:pt idx="5">
                    <c:v>ja</c:v>
                  </c:pt>
                  <c:pt idx="6">
                    <c:v>eher ja</c:v>
                  </c:pt>
                  <c:pt idx="7">
                    <c:v>eher nein</c:v>
                  </c:pt>
                  <c:pt idx="8">
                    <c:v>nein</c:v>
                  </c:pt>
                  <c:pt idx="9">
                    <c:v>k.A.</c:v>
                  </c:pt>
                </c:lvl>
                <c:lvl>
                  <c:pt idx="0">
                    <c:v>aufgrund gesetzlicher Bestimmungen</c:v>
                  </c:pt>
                  <c:pt idx="5">
                    <c:v>aufgrund administrativer Vorgaben / Kriterien</c:v>
                  </c:pt>
                </c:lvl>
              </c:multiLvlStrCache>
            </c:multiLvlStrRef>
          </c:cat>
          <c:val>
            <c:numRef>
              <c:f>Tabelle1!$B$51:$K$51</c:f>
              <c:numCache>
                <c:formatCode>0%</c:formatCode>
                <c:ptCount val="10"/>
                <c:pt idx="0">
                  <c:v>0.17</c:v>
                </c:pt>
                <c:pt idx="1">
                  <c:v>8.0000000000000043E-2</c:v>
                </c:pt>
                <c:pt idx="2">
                  <c:v>0.29000000000000031</c:v>
                </c:pt>
                <c:pt idx="3">
                  <c:v>0.4</c:v>
                </c:pt>
                <c:pt idx="4">
                  <c:v>6.0000000000000032E-2</c:v>
                </c:pt>
                <c:pt idx="5">
                  <c:v>0.17</c:v>
                </c:pt>
                <c:pt idx="6">
                  <c:v>9.0000000000000024E-2</c:v>
                </c:pt>
                <c:pt idx="7">
                  <c:v>0.26</c:v>
                </c:pt>
                <c:pt idx="8">
                  <c:v>0.31000000000000238</c:v>
                </c:pt>
                <c:pt idx="9">
                  <c:v>0.17</c:v>
                </c:pt>
              </c:numCache>
            </c:numRef>
          </c:val>
        </c:ser>
        <c:shape val="cylinder"/>
        <c:axId val="152689280"/>
        <c:axId val="153313664"/>
        <c:axId val="0"/>
      </c:bar3DChart>
      <c:catAx>
        <c:axId val="152689280"/>
        <c:scaling>
          <c:orientation val="minMax"/>
        </c:scaling>
        <c:axPos val="b"/>
        <c:tickLblPos val="nextTo"/>
        <c:crossAx val="153313664"/>
        <c:crosses val="autoZero"/>
        <c:auto val="1"/>
        <c:lblAlgn val="ctr"/>
        <c:lblOffset val="100"/>
      </c:catAx>
      <c:valAx>
        <c:axId val="153313664"/>
        <c:scaling>
          <c:orientation val="minMax"/>
        </c:scaling>
        <c:axPos val="l"/>
        <c:majorGridlines/>
        <c:numFmt formatCode="0%" sourceLinked="1"/>
        <c:tickLblPos val="nextTo"/>
        <c:crossAx val="152689280"/>
        <c:crosses val="autoZero"/>
        <c:crossBetween val="between"/>
      </c:valAx>
    </c:plotArea>
    <c:legend>
      <c:legendPos val="t"/>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75BCC4-A9FA-4077-80D6-BB0C05DC1E68}"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de-AT"/>
        </a:p>
      </dgm:t>
    </dgm:pt>
    <dgm:pt modelId="{6A1141CD-E139-43F1-94DA-85644B10A1BF}">
      <dgm:prSet phldrT="[Text]" custT="1"/>
      <dgm:spPr/>
      <dgm:t>
        <a:bodyPr/>
        <a:lstStyle/>
        <a:p>
          <a:r>
            <a:rPr lang="de-AT" sz="900"/>
            <a:t>Kontingent als Vorsorge für gezielte Wohnversorgung versus Quotierung als Barriere</a:t>
          </a:r>
        </a:p>
      </dgm:t>
    </dgm:pt>
    <dgm:pt modelId="{922D37E5-896A-40A4-9604-797B8BBC8814}" type="parTrans" cxnId="{8EC02273-3FFC-4279-B85A-19DE1D4A72E0}">
      <dgm:prSet/>
      <dgm:spPr/>
      <dgm:t>
        <a:bodyPr/>
        <a:lstStyle/>
        <a:p>
          <a:endParaRPr lang="de-AT"/>
        </a:p>
      </dgm:t>
    </dgm:pt>
    <dgm:pt modelId="{5CD92DDF-1569-45D7-9ED1-55A76C44AE33}" type="sibTrans" cxnId="{8EC02273-3FFC-4279-B85A-19DE1D4A72E0}">
      <dgm:prSet/>
      <dgm:spPr/>
      <dgm:t>
        <a:bodyPr/>
        <a:lstStyle/>
        <a:p>
          <a:endParaRPr lang="de-AT"/>
        </a:p>
      </dgm:t>
    </dgm:pt>
    <dgm:pt modelId="{D1397D01-A4E4-4C82-96B1-2B8543D0D73D}">
      <dgm:prSet phldrT="[Text]" custT="1"/>
      <dgm:spPr/>
      <dgm:t>
        <a:bodyPr/>
        <a:lstStyle/>
        <a:p>
          <a:r>
            <a:rPr lang="de-AT" sz="900"/>
            <a:t>'guter' sozialer oder ethnischer Mix als Leitbild für Integration</a:t>
          </a:r>
        </a:p>
      </dgm:t>
    </dgm:pt>
    <dgm:pt modelId="{D31821C7-A788-4566-BD0C-233EDA7F092B}" type="parTrans" cxnId="{4793E32D-EE9F-4AD2-91C4-8376FE8FEF1E}">
      <dgm:prSet/>
      <dgm:spPr/>
      <dgm:t>
        <a:bodyPr/>
        <a:lstStyle/>
        <a:p>
          <a:endParaRPr lang="de-AT"/>
        </a:p>
      </dgm:t>
    </dgm:pt>
    <dgm:pt modelId="{20FCAFA9-AFBE-43AE-8F76-86A3F9F98F3B}" type="sibTrans" cxnId="{4793E32D-EE9F-4AD2-91C4-8376FE8FEF1E}">
      <dgm:prSet/>
      <dgm:spPr/>
      <dgm:t>
        <a:bodyPr/>
        <a:lstStyle/>
        <a:p>
          <a:endParaRPr lang="de-AT"/>
        </a:p>
      </dgm:t>
    </dgm:pt>
    <dgm:pt modelId="{B28C670E-3327-4485-BFBD-0F84686483E1}">
      <dgm:prSet phldrT="[Text]"/>
      <dgm:spPr/>
      <dgm:t>
        <a:bodyPr/>
        <a:lstStyle/>
        <a:p>
          <a:r>
            <a:rPr lang="de-AT"/>
            <a:t>Ethnie als Kategorie für die Planung und Steuerung von Gemeinwesenentwicklung versus </a:t>
          </a:r>
          <a:br>
            <a:rPr lang="de-AT"/>
          </a:br>
          <a:r>
            <a:rPr lang="de-AT"/>
            <a:t>Fragen der Bildung, der sozialen Stellung, der Haushaltszusammensetzung etc.</a:t>
          </a:r>
        </a:p>
      </dgm:t>
    </dgm:pt>
    <dgm:pt modelId="{8B6B35F5-AFAC-43CF-806F-9C69632D1F27}" type="parTrans" cxnId="{D3F96EDB-78DE-48D0-A7FF-28C6B0E14A90}">
      <dgm:prSet/>
      <dgm:spPr/>
      <dgm:t>
        <a:bodyPr/>
        <a:lstStyle/>
        <a:p>
          <a:endParaRPr lang="de-AT"/>
        </a:p>
      </dgm:t>
    </dgm:pt>
    <dgm:pt modelId="{017CF71F-13D8-4FB9-B52C-97D2F4333090}" type="sibTrans" cxnId="{D3F96EDB-78DE-48D0-A7FF-28C6B0E14A90}">
      <dgm:prSet/>
      <dgm:spPr/>
      <dgm:t>
        <a:bodyPr/>
        <a:lstStyle/>
        <a:p>
          <a:endParaRPr lang="de-AT"/>
        </a:p>
      </dgm:t>
    </dgm:pt>
    <dgm:pt modelId="{9039B01C-0CF8-448A-B394-78D54C3057B9}" type="pres">
      <dgm:prSet presAssocID="{8075BCC4-A9FA-4077-80D6-BB0C05DC1E68}" presName="linear" presStyleCnt="0">
        <dgm:presLayoutVars>
          <dgm:dir/>
          <dgm:animLvl val="lvl"/>
          <dgm:resizeHandles val="exact"/>
        </dgm:presLayoutVars>
      </dgm:prSet>
      <dgm:spPr/>
      <dgm:t>
        <a:bodyPr/>
        <a:lstStyle/>
        <a:p>
          <a:endParaRPr lang="de-AT"/>
        </a:p>
      </dgm:t>
    </dgm:pt>
    <dgm:pt modelId="{3F642A97-F956-4374-A617-EAADC8C1A35E}" type="pres">
      <dgm:prSet presAssocID="{6A1141CD-E139-43F1-94DA-85644B10A1BF}" presName="parentLin" presStyleCnt="0"/>
      <dgm:spPr/>
    </dgm:pt>
    <dgm:pt modelId="{FAA6739B-AA22-498F-BCA6-F5B7561D2CB2}" type="pres">
      <dgm:prSet presAssocID="{6A1141CD-E139-43F1-94DA-85644B10A1BF}" presName="parentLeftMargin" presStyleLbl="node1" presStyleIdx="0" presStyleCnt="3"/>
      <dgm:spPr/>
      <dgm:t>
        <a:bodyPr/>
        <a:lstStyle/>
        <a:p>
          <a:endParaRPr lang="de-AT"/>
        </a:p>
      </dgm:t>
    </dgm:pt>
    <dgm:pt modelId="{EC8EC050-AB26-4ED7-AE84-6B375CFAC124}" type="pres">
      <dgm:prSet presAssocID="{6A1141CD-E139-43F1-94DA-85644B10A1BF}" presName="parentText" presStyleLbl="node1" presStyleIdx="0" presStyleCnt="3" custScaleX="117381" custScaleY="146539" custLinFactNeighborX="14822" custLinFactNeighborY="-76210">
        <dgm:presLayoutVars>
          <dgm:chMax val="0"/>
          <dgm:bulletEnabled val="1"/>
        </dgm:presLayoutVars>
      </dgm:prSet>
      <dgm:spPr/>
      <dgm:t>
        <a:bodyPr/>
        <a:lstStyle/>
        <a:p>
          <a:endParaRPr lang="de-AT"/>
        </a:p>
      </dgm:t>
    </dgm:pt>
    <dgm:pt modelId="{936561AD-CCAD-4E62-B5CE-CC572D6A3694}" type="pres">
      <dgm:prSet presAssocID="{6A1141CD-E139-43F1-94DA-85644B10A1BF}" presName="negativeSpace" presStyleCnt="0"/>
      <dgm:spPr/>
    </dgm:pt>
    <dgm:pt modelId="{21B746D5-22E9-4853-A897-8362A4AA1DE0}" type="pres">
      <dgm:prSet presAssocID="{6A1141CD-E139-43F1-94DA-85644B10A1BF}" presName="childText" presStyleLbl="conFgAcc1" presStyleIdx="0" presStyleCnt="3" custLinFactY="-104014" custLinFactNeighborX="-46" custLinFactNeighborY="-200000">
        <dgm:presLayoutVars>
          <dgm:bulletEnabled val="1"/>
        </dgm:presLayoutVars>
      </dgm:prSet>
      <dgm:spPr/>
    </dgm:pt>
    <dgm:pt modelId="{8F443A6F-17A0-4C81-84D7-F1D9D931813F}" type="pres">
      <dgm:prSet presAssocID="{5CD92DDF-1569-45D7-9ED1-55A76C44AE33}" presName="spaceBetweenRectangles" presStyleCnt="0"/>
      <dgm:spPr/>
    </dgm:pt>
    <dgm:pt modelId="{ABD536E4-AC50-4581-9670-96267213C94E}" type="pres">
      <dgm:prSet presAssocID="{D1397D01-A4E4-4C82-96B1-2B8543D0D73D}" presName="parentLin" presStyleCnt="0"/>
      <dgm:spPr/>
    </dgm:pt>
    <dgm:pt modelId="{4A8D381F-42AB-487E-A223-31422791C4BB}" type="pres">
      <dgm:prSet presAssocID="{D1397D01-A4E4-4C82-96B1-2B8543D0D73D}" presName="parentLeftMargin" presStyleLbl="node1" presStyleIdx="0" presStyleCnt="3"/>
      <dgm:spPr/>
      <dgm:t>
        <a:bodyPr/>
        <a:lstStyle/>
        <a:p>
          <a:endParaRPr lang="de-AT"/>
        </a:p>
      </dgm:t>
    </dgm:pt>
    <dgm:pt modelId="{8AAD0477-9C5E-4E9A-9F22-CB41FD85F9BF}" type="pres">
      <dgm:prSet presAssocID="{D1397D01-A4E4-4C82-96B1-2B8543D0D73D}" presName="parentText" presStyleLbl="node1" presStyleIdx="1" presStyleCnt="3" custScaleX="117716" custScaleY="147794" custLinFactNeighborX="20361" custLinFactNeighborY="-63918">
        <dgm:presLayoutVars>
          <dgm:chMax val="0"/>
          <dgm:bulletEnabled val="1"/>
        </dgm:presLayoutVars>
      </dgm:prSet>
      <dgm:spPr/>
      <dgm:t>
        <a:bodyPr/>
        <a:lstStyle/>
        <a:p>
          <a:endParaRPr lang="de-AT"/>
        </a:p>
      </dgm:t>
    </dgm:pt>
    <dgm:pt modelId="{53A6D35F-E441-4E2A-8868-5C8F86FB1137}" type="pres">
      <dgm:prSet presAssocID="{D1397D01-A4E4-4C82-96B1-2B8543D0D73D}" presName="negativeSpace" presStyleCnt="0"/>
      <dgm:spPr/>
    </dgm:pt>
    <dgm:pt modelId="{2A942A0E-A5EE-4DE3-A94E-5DE28631D352}" type="pres">
      <dgm:prSet presAssocID="{D1397D01-A4E4-4C82-96B1-2B8543D0D73D}" presName="childText" presStyleLbl="conFgAcc1" presStyleIdx="1" presStyleCnt="3" custLinFactY="-33288" custLinFactNeighborX="-46" custLinFactNeighborY="-100000">
        <dgm:presLayoutVars>
          <dgm:bulletEnabled val="1"/>
        </dgm:presLayoutVars>
      </dgm:prSet>
      <dgm:spPr/>
    </dgm:pt>
    <dgm:pt modelId="{015A3A51-0ADD-47C6-B0F1-AFA172C19206}" type="pres">
      <dgm:prSet presAssocID="{20FCAFA9-AFBE-43AE-8F76-86A3F9F98F3B}" presName="spaceBetweenRectangles" presStyleCnt="0"/>
      <dgm:spPr/>
    </dgm:pt>
    <dgm:pt modelId="{64CF73FB-0D2F-49A8-8601-486F054193AA}" type="pres">
      <dgm:prSet presAssocID="{B28C670E-3327-4485-BFBD-0F84686483E1}" presName="parentLin" presStyleCnt="0"/>
      <dgm:spPr/>
    </dgm:pt>
    <dgm:pt modelId="{82E9558E-AF6C-402E-B5E7-8C084B19BA55}" type="pres">
      <dgm:prSet presAssocID="{B28C670E-3327-4485-BFBD-0F84686483E1}" presName="parentLeftMargin" presStyleLbl="node1" presStyleIdx="1" presStyleCnt="3"/>
      <dgm:spPr/>
      <dgm:t>
        <a:bodyPr/>
        <a:lstStyle/>
        <a:p>
          <a:endParaRPr lang="de-AT"/>
        </a:p>
      </dgm:t>
    </dgm:pt>
    <dgm:pt modelId="{5295AE7F-E3BD-43C9-9743-B1A438A6C66F}" type="pres">
      <dgm:prSet presAssocID="{B28C670E-3327-4485-BFBD-0F84686483E1}" presName="parentText" presStyleLbl="node1" presStyleIdx="2" presStyleCnt="3" custScaleX="120872" custScaleY="227549">
        <dgm:presLayoutVars>
          <dgm:chMax val="0"/>
          <dgm:bulletEnabled val="1"/>
        </dgm:presLayoutVars>
      </dgm:prSet>
      <dgm:spPr/>
      <dgm:t>
        <a:bodyPr/>
        <a:lstStyle/>
        <a:p>
          <a:endParaRPr lang="de-AT"/>
        </a:p>
      </dgm:t>
    </dgm:pt>
    <dgm:pt modelId="{1FF0D574-2477-4266-BB73-DAD7AA9EA227}" type="pres">
      <dgm:prSet presAssocID="{B28C670E-3327-4485-BFBD-0F84686483E1}" presName="negativeSpace" presStyleCnt="0"/>
      <dgm:spPr/>
    </dgm:pt>
    <dgm:pt modelId="{C1B0BCB6-7C61-475E-88EC-DA484A937216}" type="pres">
      <dgm:prSet presAssocID="{B28C670E-3327-4485-BFBD-0F84686483E1}" presName="childText" presStyleLbl="conFgAcc1" presStyleIdx="2" presStyleCnt="3">
        <dgm:presLayoutVars>
          <dgm:bulletEnabled val="1"/>
        </dgm:presLayoutVars>
      </dgm:prSet>
      <dgm:spPr/>
    </dgm:pt>
  </dgm:ptLst>
  <dgm:cxnLst>
    <dgm:cxn modelId="{D3F96EDB-78DE-48D0-A7FF-28C6B0E14A90}" srcId="{8075BCC4-A9FA-4077-80D6-BB0C05DC1E68}" destId="{B28C670E-3327-4485-BFBD-0F84686483E1}" srcOrd="2" destOrd="0" parTransId="{8B6B35F5-AFAC-43CF-806F-9C69632D1F27}" sibTransId="{017CF71F-13D8-4FB9-B52C-97D2F4333090}"/>
    <dgm:cxn modelId="{1BE8B360-DE7A-4803-8D92-88A12BB4271A}" type="presOf" srcId="{D1397D01-A4E4-4C82-96B1-2B8543D0D73D}" destId="{8AAD0477-9C5E-4E9A-9F22-CB41FD85F9BF}" srcOrd="1" destOrd="0" presId="urn:microsoft.com/office/officeart/2005/8/layout/list1"/>
    <dgm:cxn modelId="{8EC02273-3FFC-4279-B85A-19DE1D4A72E0}" srcId="{8075BCC4-A9FA-4077-80D6-BB0C05DC1E68}" destId="{6A1141CD-E139-43F1-94DA-85644B10A1BF}" srcOrd="0" destOrd="0" parTransId="{922D37E5-896A-40A4-9604-797B8BBC8814}" sibTransId="{5CD92DDF-1569-45D7-9ED1-55A76C44AE33}"/>
    <dgm:cxn modelId="{5C048A84-A579-4445-A946-16C1A3A38B8F}" type="presOf" srcId="{B28C670E-3327-4485-BFBD-0F84686483E1}" destId="{82E9558E-AF6C-402E-B5E7-8C084B19BA55}" srcOrd="0" destOrd="0" presId="urn:microsoft.com/office/officeart/2005/8/layout/list1"/>
    <dgm:cxn modelId="{744E7FD1-84CB-47F4-A966-D5F1FA7C2D7A}" type="presOf" srcId="{6A1141CD-E139-43F1-94DA-85644B10A1BF}" destId="{FAA6739B-AA22-498F-BCA6-F5B7561D2CB2}" srcOrd="0" destOrd="0" presId="urn:microsoft.com/office/officeart/2005/8/layout/list1"/>
    <dgm:cxn modelId="{4793E32D-EE9F-4AD2-91C4-8376FE8FEF1E}" srcId="{8075BCC4-A9FA-4077-80D6-BB0C05DC1E68}" destId="{D1397D01-A4E4-4C82-96B1-2B8543D0D73D}" srcOrd="1" destOrd="0" parTransId="{D31821C7-A788-4566-BD0C-233EDA7F092B}" sibTransId="{20FCAFA9-AFBE-43AE-8F76-86A3F9F98F3B}"/>
    <dgm:cxn modelId="{87D30E69-DA45-441E-8920-4F8521BCCB51}" type="presOf" srcId="{D1397D01-A4E4-4C82-96B1-2B8543D0D73D}" destId="{4A8D381F-42AB-487E-A223-31422791C4BB}" srcOrd="0" destOrd="0" presId="urn:microsoft.com/office/officeart/2005/8/layout/list1"/>
    <dgm:cxn modelId="{D92133BE-1956-4780-94ED-ECE97C771A2F}" type="presOf" srcId="{B28C670E-3327-4485-BFBD-0F84686483E1}" destId="{5295AE7F-E3BD-43C9-9743-B1A438A6C66F}" srcOrd="1" destOrd="0" presId="urn:microsoft.com/office/officeart/2005/8/layout/list1"/>
    <dgm:cxn modelId="{E26C3A97-2501-4E72-B550-9C48E2947070}" type="presOf" srcId="{6A1141CD-E139-43F1-94DA-85644B10A1BF}" destId="{EC8EC050-AB26-4ED7-AE84-6B375CFAC124}" srcOrd="1" destOrd="0" presId="urn:microsoft.com/office/officeart/2005/8/layout/list1"/>
    <dgm:cxn modelId="{45B7B960-358F-4430-AB1A-B3DD79523AA3}" type="presOf" srcId="{8075BCC4-A9FA-4077-80D6-BB0C05DC1E68}" destId="{9039B01C-0CF8-448A-B394-78D54C3057B9}" srcOrd="0" destOrd="0" presId="urn:microsoft.com/office/officeart/2005/8/layout/list1"/>
    <dgm:cxn modelId="{87B09724-2EF2-4125-B519-022B709FF734}" type="presParOf" srcId="{9039B01C-0CF8-448A-B394-78D54C3057B9}" destId="{3F642A97-F956-4374-A617-EAADC8C1A35E}" srcOrd="0" destOrd="0" presId="urn:microsoft.com/office/officeart/2005/8/layout/list1"/>
    <dgm:cxn modelId="{1B37C3F2-1E64-4FC0-90A0-8564F3A0FB1D}" type="presParOf" srcId="{3F642A97-F956-4374-A617-EAADC8C1A35E}" destId="{FAA6739B-AA22-498F-BCA6-F5B7561D2CB2}" srcOrd="0" destOrd="0" presId="urn:microsoft.com/office/officeart/2005/8/layout/list1"/>
    <dgm:cxn modelId="{4C884A87-ABCB-4D68-81B5-2BA64F63D9E5}" type="presParOf" srcId="{3F642A97-F956-4374-A617-EAADC8C1A35E}" destId="{EC8EC050-AB26-4ED7-AE84-6B375CFAC124}" srcOrd="1" destOrd="0" presId="urn:microsoft.com/office/officeart/2005/8/layout/list1"/>
    <dgm:cxn modelId="{53394F58-1B2F-40B8-9C42-F4862EE72F18}" type="presParOf" srcId="{9039B01C-0CF8-448A-B394-78D54C3057B9}" destId="{936561AD-CCAD-4E62-B5CE-CC572D6A3694}" srcOrd="1" destOrd="0" presId="urn:microsoft.com/office/officeart/2005/8/layout/list1"/>
    <dgm:cxn modelId="{ACC99E62-3C07-4AD2-B9B8-C02854B08297}" type="presParOf" srcId="{9039B01C-0CF8-448A-B394-78D54C3057B9}" destId="{21B746D5-22E9-4853-A897-8362A4AA1DE0}" srcOrd="2" destOrd="0" presId="urn:microsoft.com/office/officeart/2005/8/layout/list1"/>
    <dgm:cxn modelId="{8D05A097-94A5-4784-9413-196653BBFCAD}" type="presParOf" srcId="{9039B01C-0CF8-448A-B394-78D54C3057B9}" destId="{8F443A6F-17A0-4C81-84D7-F1D9D931813F}" srcOrd="3" destOrd="0" presId="urn:microsoft.com/office/officeart/2005/8/layout/list1"/>
    <dgm:cxn modelId="{2FBA2E62-6EED-47FD-9AB0-624A2D5B8F07}" type="presParOf" srcId="{9039B01C-0CF8-448A-B394-78D54C3057B9}" destId="{ABD536E4-AC50-4581-9670-96267213C94E}" srcOrd="4" destOrd="0" presId="urn:microsoft.com/office/officeart/2005/8/layout/list1"/>
    <dgm:cxn modelId="{A26D7225-2ED9-4648-B495-D368814A5D7B}" type="presParOf" srcId="{ABD536E4-AC50-4581-9670-96267213C94E}" destId="{4A8D381F-42AB-487E-A223-31422791C4BB}" srcOrd="0" destOrd="0" presId="urn:microsoft.com/office/officeart/2005/8/layout/list1"/>
    <dgm:cxn modelId="{A0C4B8B5-EEB5-4598-835F-59FB583A4B45}" type="presParOf" srcId="{ABD536E4-AC50-4581-9670-96267213C94E}" destId="{8AAD0477-9C5E-4E9A-9F22-CB41FD85F9BF}" srcOrd="1" destOrd="0" presId="urn:microsoft.com/office/officeart/2005/8/layout/list1"/>
    <dgm:cxn modelId="{85445ADF-CD0A-44DC-8F46-01EAEA3CD36B}" type="presParOf" srcId="{9039B01C-0CF8-448A-B394-78D54C3057B9}" destId="{53A6D35F-E441-4E2A-8868-5C8F86FB1137}" srcOrd="5" destOrd="0" presId="urn:microsoft.com/office/officeart/2005/8/layout/list1"/>
    <dgm:cxn modelId="{E4115B52-D0FE-4A00-ACAF-8B07C356F99F}" type="presParOf" srcId="{9039B01C-0CF8-448A-B394-78D54C3057B9}" destId="{2A942A0E-A5EE-4DE3-A94E-5DE28631D352}" srcOrd="6" destOrd="0" presId="urn:microsoft.com/office/officeart/2005/8/layout/list1"/>
    <dgm:cxn modelId="{4B60C12A-A85D-4426-94DC-677E5D651400}" type="presParOf" srcId="{9039B01C-0CF8-448A-B394-78D54C3057B9}" destId="{015A3A51-0ADD-47C6-B0F1-AFA172C19206}" srcOrd="7" destOrd="0" presId="urn:microsoft.com/office/officeart/2005/8/layout/list1"/>
    <dgm:cxn modelId="{B986484A-181F-4227-BBA7-4586BE3C9E24}" type="presParOf" srcId="{9039B01C-0CF8-448A-B394-78D54C3057B9}" destId="{64CF73FB-0D2F-49A8-8601-486F054193AA}" srcOrd="8" destOrd="0" presId="urn:microsoft.com/office/officeart/2005/8/layout/list1"/>
    <dgm:cxn modelId="{C0C44074-F456-4B33-B142-08CC93118CE4}" type="presParOf" srcId="{64CF73FB-0D2F-49A8-8601-486F054193AA}" destId="{82E9558E-AF6C-402E-B5E7-8C084B19BA55}" srcOrd="0" destOrd="0" presId="urn:microsoft.com/office/officeart/2005/8/layout/list1"/>
    <dgm:cxn modelId="{861135E1-AB57-4AA4-B42E-339F6132BA04}" type="presParOf" srcId="{64CF73FB-0D2F-49A8-8601-486F054193AA}" destId="{5295AE7F-E3BD-43C9-9743-B1A438A6C66F}" srcOrd="1" destOrd="0" presId="urn:microsoft.com/office/officeart/2005/8/layout/list1"/>
    <dgm:cxn modelId="{5B4E19E8-1344-4299-8CE0-ADF35859271D}" type="presParOf" srcId="{9039B01C-0CF8-448A-B394-78D54C3057B9}" destId="{1FF0D574-2477-4266-BB73-DAD7AA9EA227}" srcOrd="9" destOrd="0" presId="urn:microsoft.com/office/officeart/2005/8/layout/list1"/>
    <dgm:cxn modelId="{E2422E51-7811-422B-9934-257567C0B9E1}" type="presParOf" srcId="{9039B01C-0CF8-448A-B394-78D54C3057B9}" destId="{C1B0BCB6-7C61-475E-88EC-DA484A937216}" srcOrd="10" destOrd="0" presId="urn:microsoft.com/office/officeart/2005/8/layout/list1"/>
  </dgm:cxnLst>
  <dgm:bg/>
  <dgm:whole/>
  <dgm:extLst>
    <a:ext uri="http://schemas.microsoft.com/office/drawing/2008/diagram">
      <dsp:dataModelExt xmlns:dsp="http://schemas.microsoft.com/office/drawing/2008/diagram" xmlns="" relId="rId3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96C553F-511E-43D4-A86A-04F9FC858F84}" type="doc">
      <dgm:prSet loTypeId="urn:microsoft.com/office/officeart/2005/8/layout/pyramid4" loCatId="relationship" qsTypeId="urn:microsoft.com/office/officeart/2005/8/quickstyle/simple5" qsCatId="simple" csTypeId="urn:microsoft.com/office/officeart/2005/8/colors/accent3_3" csCatId="accent3" phldr="1"/>
      <dgm:spPr/>
      <dgm:t>
        <a:bodyPr/>
        <a:lstStyle/>
        <a:p>
          <a:endParaRPr lang="de-DE"/>
        </a:p>
      </dgm:t>
    </dgm:pt>
    <dgm:pt modelId="{7CC8CEDF-4BF0-4229-A6F5-518A611FD7F8}">
      <dgm:prSet phldrT="[Text]"/>
      <dgm:spPr/>
      <dgm:t>
        <a:bodyPr/>
        <a:lstStyle/>
        <a:p>
          <a:r>
            <a:rPr lang="de-DE" b="1"/>
            <a:t>Armut / soziale Ausgrenzung</a:t>
          </a:r>
        </a:p>
      </dgm:t>
    </dgm:pt>
    <dgm:pt modelId="{5CA071FE-D8D7-4E8E-A53F-BADF16A9693F}" type="parTrans" cxnId="{D9E7FAE6-5211-4048-86C3-256D97BD6C08}">
      <dgm:prSet/>
      <dgm:spPr/>
      <dgm:t>
        <a:bodyPr/>
        <a:lstStyle/>
        <a:p>
          <a:endParaRPr lang="de-DE"/>
        </a:p>
      </dgm:t>
    </dgm:pt>
    <dgm:pt modelId="{536ECA73-A6B4-41E0-AD34-C05BA8C49FDE}" type="sibTrans" cxnId="{D9E7FAE6-5211-4048-86C3-256D97BD6C08}">
      <dgm:prSet/>
      <dgm:spPr/>
      <dgm:t>
        <a:bodyPr/>
        <a:lstStyle/>
        <a:p>
          <a:endParaRPr lang="de-DE"/>
        </a:p>
      </dgm:t>
    </dgm:pt>
    <dgm:pt modelId="{4AB9AEE2-D713-4240-84E4-34BFD3531745}">
      <dgm:prSet phldrT="[Text]"/>
      <dgm:spPr/>
      <dgm:t>
        <a:bodyPr/>
        <a:lstStyle/>
        <a:p>
          <a:r>
            <a:rPr lang="de-DE" b="1"/>
            <a:t>Integration / Zusammenleben</a:t>
          </a:r>
        </a:p>
      </dgm:t>
    </dgm:pt>
    <dgm:pt modelId="{A027E1B7-799A-419F-BD4F-2B79379C1D9E}" type="parTrans" cxnId="{5A3C8DB7-D34B-42B3-84C3-16234966E705}">
      <dgm:prSet/>
      <dgm:spPr/>
      <dgm:t>
        <a:bodyPr/>
        <a:lstStyle/>
        <a:p>
          <a:endParaRPr lang="de-DE"/>
        </a:p>
      </dgm:t>
    </dgm:pt>
    <dgm:pt modelId="{62360699-32EF-4C0C-8BD2-DE172EC054F5}" type="sibTrans" cxnId="{5A3C8DB7-D34B-42B3-84C3-16234966E705}">
      <dgm:prSet/>
      <dgm:spPr/>
      <dgm:t>
        <a:bodyPr/>
        <a:lstStyle/>
        <a:p>
          <a:endParaRPr lang="de-DE"/>
        </a:p>
      </dgm:t>
    </dgm:pt>
    <dgm:pt modelId="{34917F69-06A1-4B5A-9F42-D3FDEED40890}">
      <dgm:prSet phldrT="[Text]" custT="1"/>
      <dgm:spPr/>
      <dgm:t>
        <a:bodyPr/>
        <a:lstStyle/>
        <a:p>
          <a:r>
            <a:rPr lang="de-DE" sz="1000" b="1">
              <a:solidFill>
                <a:sysClr val="windowText" lastClr="000000"/>
              </a:solidFill>
            </a:rPr>
            <a:t>Wohnen</a:t>
          </a:r>
          <a:endParaRPr lang="de-DE" sz="800" b="1">
            <a:solidFill>
              <a:sysClr val="windowText" lastClr="000000"/>
            </a:solidFill>
          </a:endParaRPr>
        </a:p>
      </dgm:t>
    </dgm:pt>
    <dgm:pt modelId="{844FF055-4CD7-4C88-A8C2-8B5B1198CE1E}" type="parTrans" cxnId="{57A8EC23-2DA0-4B7E-A964-C7BA210630BB}">
      <dgm:prSet/>
      <dgm:spPr/>
      <dgm:t>
        <a:bodyPr/>
        <a:lstStyle/>
        <a:p>
          <a:endParaRPr lang="de-DE"/>
        </a:p>
      </dgm:t>
    </dgm:pt>
    <dgm:pt modelId="{D90AC941-B808-4FF4-A2FD-8E2A240F5398}" type="sibTrans" cxnId="{57A8EC23-2DA0-4B7E-A964-C7BA210630BB}">
      <dgm:prSet/>
      <dgm:spPr/>
      <dgm:t>
        <a:bodyPr/>
        <a:lstStyle/>
        <a:p>
          <a:endParaRPr lang="de-DE"/>
        </a:p>
      </dgm:t>
    </dgm:pt>
    <dgm:pt modelId="{8AE35A6A-D5F3-4B09-89DC-52FF06880D7A}">
      <dgm:prSet phldrT="[Text]"/>
      <dgm:spPr/>
      <dgm:t>
        <a:bodyPr/>
        <a:lstStyle/>
        <a:p>
          <a:r>
            <a:rPr lang="de-DE" b="1">
              <a:solidFill>
                <a:sysClr val="windowText" lastClr="000000"/>
              </a:solidFill>
            </a:rPr>
            <a:t>Benachteiligung / Diskriminierung</a:t>
          </a:r>
        </a:p>
      </dgm:t>
    </dgm:pt>
    <dgm:pt modelId="{2F1EC599-E81B-466F-A7E9-53DB4052367A}" type="parTrans" cxnId="{36A90D55-0389-4BB9-A655-92C780ED5807}">
      <dgm:prSet/>
      <dgm:spPr/>
      <dgm:t>
        <a:bodyPr/>
        <a:lstStyle/>
        <a:p>
          <a:endParaRPr lang="de-DE"/>
        </a:p>
      </dgm:t>
    </dgm:pt>
    <dgm:pt modelId="{A2E56935-1840-4F18-99F4-238C4A5E043A}" type="sibTrans" cxnId="{36A90D55-0389-4BB9-A655-92C780ED5807}">
      <dgm:prSet/>
      <dgm:spPr/>
      <dgm:t>
        <a:bodyPr/>
        <a:lstStyle/>
        <a:p>
          <a:endParaRPr lang="de-DE"/>
        </a:p>
      </dgm:t>
    </dgm:pt>
    <dgm:pt modelId="{51FC5DE2-98ED-44F9-8650-167B60397D11}" type="pres">
      <dgm:prSet presAssocID="{996C553F-511E-43D4-A86A-04F9FC858F84}" presName="compositeShape" presStyleCnt="0">
        <dgm:presLayoutVars>
          <dgm:chMax val="9"/>
          <dgm:dir/>
          <dgm:resizeHandles val="exact"/>
        </dgm:presLayoutVars>
      </dgm:prSet>
      <dgm:spPr/>
      <dgm:t>
        <a:bodyPr/>
        <a:lstStyle/>
        <a:p>
          <a:endParaRPr lang="de-DE"/>
        </a:p>
      </dgm:t>
    </dgm:pt>
    <dgm:pt modelId="{7649EE2F-1016-4B3A-B4F8-FC29923B2B04}" type="pres">
      <dgm:prSet presAssocID="{996C553F-511E-43D4-A86A-04F9FC858F84}" presName="triangle1" presStyleLbl="node1" presStyleIdx="0" presStyleCnt="4">
        <dgm:presLayoutVars>
          <dgm:bulletEnabled val="1"/>
        </dgm:presLayoutVars>
      </dgm:prSet>
      <dgm:spPr/>
      <dgm:t>
        <a:bodyPr/>
        <a:lstStyle/>
        <a:p>
          <a:endParaRPr lang="de-DE"/>
        </a:p>
      </dgm:t>
    </dgm:pt>
    <dgm:pt modelId="{73361351-1568-4B8A-B17B-0F5149D1F64A}" type="pres">
      <dgm:prSet presAssocID="{996C553F-511E-43D4-A86A-04F9FC858F84}" presName="triangle2" presStyleLbl="node1" presStyleIdx="1" presStyleCnt="4">
        <dgm:presLayoutVars>
          <dgm:bulletEnabled val="1"/>
        </dgm:presLayoutVars>
      </dgm:prSet>
      <dgm:spPr/>
      <dgm:t>
        <a:bodyPr/>
        <a:lstStyle/>
        <a:p>
          <a:endParaRPr lang="de-DE"/>
        </a:p>
      </dgm:t>
    </dgm:pt>
    <dgm:pt modelId="{ADD88EC7-41D1-4839-A3F8-C0F8A6A7F2EA}" type="pres">
      <dgm:prSet presAssocID="{996C553F-511E-43D4-A86A-04F9FC858F84}" presName="triangle3" presStyleLbl="node1" presStyleIdx="2" presStyleCnt="4">
        <dgm:presLayoutVars>
          <dgm:bulletEnabled val="1"/>
        </dgm:presLayoutVars>
      </dgm:prSet>
      <dgm:spPr/>
      <dgm:t>
        <a:bodyPr/>
        <a:lstStyle/>
        <a:p>
          <a:endParaRPr lang="de-DE"/>
        </a:p>
      </dgm:t>
    </dgm:pt>
    <dgm:pt modelId="{88DC493C-DAF3-4826-8D0D-BD0F9407E875}" type="pres">
      <dgm:prSet presAssocID="{996C553F-511E-43D4-A86A-04F9FC858F84}" presName="triangle4" presStyleLbl="node1" presStyleIdx="3" presStyleCnt="4">
        <dgm:presLayoutVars>
          <dgm:bulletEnabled val="1"/>
        </dgm:presLayoutVars>
      </dgm:prSet>
      <dgm:spPr/>
      <dgm:t>
        <a:bodyPr/>
        <a:lstStyle/>
        <a:p>
          <a:endParaRPr lang="de-DE"/>
        </a:p>
      </dgm:t>
    </dgm:pt>
  </dgm:ptLst>
  <dgm:cxnLst>
    <dgm:cxn modelId="{4609FC7F-1E6D-4D88-9404-706B240B9DA6}" type="presOf" srcId="{8AE35A6A-D5F3-4B09-89DC-52FF06880D7A}" destId="{88DC493C-DAF3-4826-8D0D-BD0F9407E875}" srcOrd="0" destOrd="0" presId="urn:microsoft.com/office/officeart/2005/8/layout/pyramid4"/>
    <dgm:cxn modelId="{D56063DD-7D5F-4CBD-BF01-A26C3F04A558}" type="presOf" srcId="{996C553F-511E-43D4-A86A-04F9FC858F84}" destId="{51FC5DE2-98ED-44F9-8650-167B60397D11}" srcOrd="0" destOrd="0" presId="urn:microsoft.com/office/officeart/2005/8/layout/pyramid4"/>
    <dgm:cxn modelId="{57A8EC23-2DA0-4B7E-A964-C7BA210630BB}" srcId="{996C553F-511E-43D4-A86A-04F9FC858F84}" destId="{34917F69-06A1-4B5A-9F42-D3FDEED40890}" srcOrd="2" destOrd="0" parTransId="{844FF055-4CD7-4C88-A8C2-8B5B1198CE1E}" sibTransId="{D90AC941-B808-4FF4-A2FD-8E2A240F5398}"/>
    <dgm:cxn modelId="{59FFB072-553B-4008-AE12-8BC7279FC16F}" type="presOf" srcId="{7CC8CEDF-4BF0-4229-A6F5-518A611FD7F8}" destId="{7649EE2F-1016-4B3A-B4F8-FC29923B2B04}" srcOrd="0" destOrd="0" presId="urn:microsoft.com/office/officeart/2005/8/layout/pyramid4"/>
    <dgm:cxn modelId="{27601F5D-B6CC-4986-98CD-69190C56A6E5}" type="presOf" srcId="{4AB9AEE2-D713-4240-84E4-34BFD3531745}" destId="{73361351-1568-4B8A-B17B-0F5149D1F64A}" srcOrd="0" destOrd="0" presId="urn:microsoft.com/office/officeart/2005/8/layout/pyramid4"/>
    <dgm:cxn modelId="{5A3C8DB7-D34B-42B3-84C3-16234966E705}" srcId="{996C553F-511E-43D4-A86A-04F9FC858F84}" destId="{4AB9AEE2-D713-4240-84E4-34BFD3531745}" srcOrd="1" destOrd="0" parTransId="{A027E1B7-799A-419F-BD4F-2B79379C1D9E}" sibTransId="{62360699-32EF-4C0C-8BD2-DE172EC054F5}"/>
    <dgm:cxn modelId="{D9E7FAE6-5211-4048-86C3-256D97BD6C08}" srcId="{996C553F-511E-43D4-A86A-04F9FC858F84}" destId="{7CC8CEDF-4BF0-4229-A6F5-518A611FD7F8}" srcOrd="0" destOrd="0" parTransId="{5CA071FE-D8D7-4E8E-A53F-BADF16A9693F}" sibTransId="{536ECA73-A6B4-41E0-AD34-C05BA8C49FDE}"/>
    <dgm:cxn modelId="{B9FB9307-240D-41C6-B3DC-BD43DB1B244B}" type="presOf" srcId="{34917F69-06A1-4B5A-9F42-D3FDEED40890}" destId="{ADD88EC7-41D1-4839-A3F8-C0F8A6A7F2EA}" srcOrd="0" destOrd="0" presId="urn:microsoft.com/office/officeart/2005/8/layout/pyramid4"/>
    <dgm:cxn modelId="{36A90D55-0389-4BB9-A655-92C780ED5807}" srcId="{996C553F-511E-43D4-A86A-04F9FC858F84}" destId="{8AE35A6A-D5F3-4B09-89DC-52FF06880D7A}" srcOrd="3" destOrd="0" parTransId="{2F1EC599-E81B-466F-A7E9-53DB4052367A}" sibTransId="{A2E56935-1840-4F18-99F4-238C4A5E043A}"/>
    <dgm:cxn modelId="{74DB1EEC-6ADD-46A5-B3BF-0F70DCE5EAD7}" type="presParOf" srcId="{51FC5DE2-98ED-44F9-8650-167B60397D11}" destId="{7649EE2F-1016-4B3A-B4F8-FC29923B2B04}" srcOrd="0" destOrd="0" presId="urn:microsoft.com/office/officeart/2005/8/layout/pyramid4"/>
    <dgm:cxn modelId="{BEE7F4DF-8444-441C-9939-4F58A73F1487}" type="presParOf" srcId="{51FC5DE2-98ED-44F9-8650-167B60397D11}" destId="{73361351-1568-4B8A-B17B-0F5149D1F64A}" srcOrd="1" destOrd="0" presId="urn:microsoft.com/office/officeart/2005/8/layout/pyramid4"/>
    <dgm:cxn modelId="{F3452CE7-5ECD-465F-AB15-9D5B7BA3AE6D}" type="presParOf" srcId="{51FC5DE2-98ED-44F9-8650-167B60397D11}" destId="{ADD88EC7-41D1-4839-A3F8-C0F8A6A7F2EA}" srcOrd="2" destOrd="0" presId="urn:microsoft.com/office/officeart/2005/8/layout/pyramid4"/>
    <dgm:cxn modelId="{E1BE4F3B-CE08-46E8-9C12-5B0590A1E69B}" type="presParOf" srcId="{51FC5DE2-98ED-44F9-8650-167B60397D11}" destId="{88DC493C-DAF3-4826-8D0D-BD0F9407E875}" srcOrd="3" destOrd="0" presId="urn:microsoft.com/office/officeart/2005/8/layout/pyramid4"/>
  </dgm:cxnLst>
  <dgm:bg/>
  <dgm:whole/>
  <dgm:extLst>
    <a:ext uri="http://schemas.microsoft.com/office/drawing/2008/diagram">
      <dsp:dataModelExt xmlns:dsp="http://schemas.microsoft.com/office/drawing/2008/diagram" xmlns="" relId="rId6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1B746D5-22E9-4853-A897-8362A4AA1DE0}">
      <dsp:nvSpPr>
        <dsp:cNvPr id="0" name=""/>
        <dsp:cNvSpPr/>
      </dsp:nvSpPr>
      <dsp:spPr>
        <a:xfrm>
          <a:off x="0" y="112453"/>
          <a:ext cx="5488940" cy="226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C8EC050-AB26-4ED7-AE84-6B375CFAC124}">
      <dsp:nvSpPr>
        <dsp:cNvPr id="0" name=""/>
        <dsp:cNvSpPr/>
      </dsp:nvSpPr>
      <dsp:spPr>
        <a:xfrm>
          <a:off x="314817" y="0"/>
          <a:ext cx="4505676" cy="38932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228" tIns="0" rIns="145228" bIns="0" numCol="1" spcCol="1270" anchor="ctr" anchorCtr="0">
          <a:noAutofit/>
        </a:bodyPr>
        <a:lstStyle/>
        <a:p>
          <a:pPr lvl="0" algn="l" defTabSz="400050">
            <a:lnSpc>
              <a:spcPct val="90000"/>
            </a:lnSpc>
            <a:spcBef>
              <a:spcPct val="0"/>
            </a:spcBef>
            <a:spcAft>
              <a:spcPct val="35000"/>
            </a:spcAft>
          </a:pPr>
          <a:r>
            <a:rPr lang="de-AT" sz="900" kern="1200"/>
            <a:t>Kontingent als Vorsorge für gezielte Wohnversorgung versus Quotierung als Barriere</a:t>
          </a:r>
        </a:p>
      </dsp:txBody>
      <dsp:txXfrm>
        <a:off x="314817" y="0"/>
        <a:ext cx="4505676" cy="389324"/>
      </dsp:txXfrm>
    </dsp:sp>
    <dsp:sp modelId="{2A942A0E-A5EE-4DE3-A94E-5DE28631D352}">
      <dsp:nvSpPr>
        <dsp:cNvPr id="0" name=""/>
        <dsp:cNvSpPr/>
      </dsp:nvSpPr>
      <dsp:spPr>
        <a:xfrm>
          <a:off x="0" y="856678"/>
          <a:ext cx="5488940" cy="226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AAD0477-9C5E-4E9A-9F22-CB41FD85F9BF}">
      <dsp:nvSpPr>
        <dsp:cNvPr id="0" name=""/>
        <dsp:cNvSpPr/>
      </dsp:nvSpPr>
      <dsp:spPr>
        <a:xfrm>
          <a:off x="330004" y="551139"/>
          <a:ext cx="4518535" cy="39265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228" tIns="0" rIns="145228" bIns="0" numCol="1" spcCol="1270" anchor="ctr" anchorCtr="0">
          <a:noAutofit/>
        </a:bodyPr>
        <a:lstStyle/>
        <a:p>
          <a:pPr lvl="0" algn="l" defTabSz="400050">
            <a:lnSpc>
              <a:spcPct val="90000"/>
            </a:lnSpc>
            <a:spcBef>
              <a:spcPct val="0"/>
            </a:spcBef>
            <a:spcAft>
              <a:spcPct val="35000"/>
            </a:spcAft>
          </a:pPr>
          <a:r>
            <a:rPr lang="de-AT" sz="900" kern="1200"/>
            <a:t>'guter' sozialer oder ethnischer Mix als Leitbild für Integration</a:t>
          </a:r>
        </a:p>
      </dsp:txBody>
      <dsp:txXfrm>
        <a:off x="330004" y="551139"/>
        <a:ext cx="4518535" cy="392659"/>
      </dsp:txXfrm>
    </dsp:sp>
    <dsp:sp modelId="{C1B0BCB6-7C61-475E-88EC-DA484A937216}">
      <dsp:nvSpPr>
        <dsp:cNvPr id="0" name=""/>
        <dsp:cNvSpPr/>
      </dsp:nvSpPr>
      <dsp:spPr>
        <a:xfrm>
          <a:off x="0" y="1727888"/>
          <a:ext cx="5488940" cy="226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295AE7F-E3BD-43C9-9743-B1A438A6C66F}">
      <dsp:nvSpPr>
        <dsp:cNvPr id="0" name=""/>
        <dsp:cNvSpPr/>
      </dsp:nvSpPr>
      <dsp:spPr>
        <a:xfrm>
          <a:off x="274178" y="1256175"/>
          <a:ext cx="4639678" cy="60455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228" tIns="0" rIns="145228" bIns="0" numCol="1" spcCol="1270" anchor="ctr" anchorCtr="0">
          <a:noAutofit/>
        </a:bodyPr>
        <a:lstStyle/>
        <a:p>
          <a:pPr lvl="0" algn="l" defTabSz="400050">
            <a:lnSpc>
              <a:spcPct val="90000"/>
            </a:lnSpc>
            <a:spcBef>
              <a:spcPct val="0"/>
            </a:spcBef>
            <a:spcAft>
              <a:spcPct val="35000"/>
            </a:spcAft>
          </a:pPr>
          <a:r>
            <a:rPr lang="de-AT" sz="900" kern="1200"/>
            <a:t>Ethnie als Kategorie für die Planung und Steuerung von Gemeinwesenentwicklung versus </a:t>
          </a:r>
          <a:br>
            <a:rPr lang="de-AT" sz="900" kern="1200"/>
          </a:br>
          <a:r>
            <a:rPr lang="de-AT" sz="900" kern="1200"/>
            <a:t>Fragen der Bildung, der sozialen Stellung, der Haushaltszusammensetzung etc.</a:t>
          </a:r>
        </a:p>
      </dsp:txBody>
      <dsp:txXfrm>
        <a:off x="274178" y="1256175"/>
        <a:ext cx="4639678" cy="60455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649EE2F-1016-4B3A-B4F8-FC29923B2B04}">
      <dsp:nvSpPr>
        <dsp:cNvPr id="0" name=""/>
        <dsp:cNvSpPr/>
      </dsp:nvSpPr>
      <dsp:spPr>
        <a:xfrm>
          <a:off x="1943100" y="0"/>
          <a:ext cx="1600200" cy="1600200"/>
        </a:xfrm>
        <a:prstGeom prst="triangle">
          <a:avLst/>
        </a:prstGeom>
        <a:gradFill rotWithShape="0">
          <a:gsLst>
            <a:gs pos="0">
              <a:schemeClr val="accent3">
                <a:shade val="80000"/>
                <a:hueOff val="0"/>
                <a:satOff val="0"/>
                <a:lumOff val="0"/>
                <a:alphaOff val="0"/>
                <a:shade val="51000"/>
                <a:satMod val="130000"/>
              </a:schemeClr>
            </a:gs>
            <a:gs pos="80000">
              <a:schemeClr val="accent3">
                <a:shade val="80000"/>
                <a:hueOff val="0"/>
                <a:satOff val="0"/>
                <a:lumOff val="0"/>
                <a:alphaOff val="0"/>
                <a:shade val="93000"/>
                <a:satMod val="130000"/>
              </a:schemeClr>
            </a:gs>
            <a:gs pos="100000">
              <a:schemeClr val="accent3">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e-DE" sz="800" b="1" kern="1200"/>
            <a:t>Armut / soziale Ausgrenzung</a:t>
          </a:r>
        </a:p>
      </dsp:txBody>
      <dsp:txXfrm>
        <a:off x="1943100" y="0"/>
        <a:ext cx="1600200" cy="1600200"/>
      </dsp:txXfrm>
    </dsp:sp>
    <dsp:sp modelId="{73361351-1568-4B8A-B17B-0F5149D1F64A}">
      <dsp:nvSpPr>
        <dsp:cNvPr id="0" name=""/>
        <dsp:cNvSpPr/>
      </dsp:nvSpPr>
      <dsp:spPr>
        <a:xfrm>
          <a:off x="1143000" y="1600200"/>
          <a:ext cx="1600200" cy="1600200"/>
        </a:xfrm>
        <a:prstGeom prst="triangle">
          <a:avLst/>
        </a:prstGeom>
        <a:gradFill rotWithShape="0">
          <a:gsLst>
            <a:gs pos="0">
              <a:schemeClr val="accent3">
                <a:shade val="80000"/>
                <a:hueOff val="72970"/>
                <a:satOff val="-477"/>
                <a:lumOff val="8185"/>
                <a:alphaOff val="0"/>
                <a:shade val="51000"/>
                <a:satMod val="130000"/>
              </a:schemeClr>
            </a:gs>
            <a:gs pos="80000">
              <a:schemeClr val="accent3">
                <a:shade val="80000"/>
                <a:hueOff val="72970"/>
                <a:satOff val="-477"/>
                <a:lumOff val="8185"/>
                <a:alphaOff val="0"/>
                <a:shade val="93000"/>
                <a:satMod val="130000"/>
              </a:schemeClr>
            </a:gs>
            <a:gs pos="100000">
              <a:schemeClr val="accent3">
                <a:shade val="80000"/>
                <a:hueOff val="72970"/>
                <a:satOff val="-477"/>
                <a:lumOff val="818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e-DE" sz="800" b="1" kern="1200"/>
            <a:t>Integration / Zusammenleben</a:t>
          </a:r>
        </a:p>
      </dsp:txBody>
      <dsp:txXfrm>
        <a:off x="1143000" y="1600200"/>
        <a:ext cx="1600200" cy="1600200"/>
      </dsp:txXfrm>
    </dsp:sp>
    <dsp:sp modelId="{ADD88EC7-41D1-4839-A3F8-C0F8A6A7F2EA}">
      <dsp:nvSpPr>
        <dsp:cNvPr id="0" name=""/>
        <dsp:cNvSpPr/>
      </dsp:nvSpPr>
      <dsp:spPr>
        <a:xfrm rot="10800000">
          <a:off x="1943100" y="1600200"/>
          <a:ext cx="1600200" cy="1600200"/>
        </a:xfrm>
        <a:prstGeom prst="triangle">
          <a:avLst/>
        </a:prstGeom>
        <a:gradFill rotWithShape="0">
          <a:gsLst>
            <a:gs pos="0">
              <a:schemeClr val="accent3">
                <a:shade val="80000"/>
                <a:hueOff val="145939"/>
                <a:satOff val="-954"/>
                <a:lumOff val="16369"/>
                <a:alphaOff val="0"/>
                <a:shade val="51000"/>
                <a:satMod val="130000"/>
              </a:schemeClr>
            </a:gs>
            <a:gs pos="80000">
              <a:schemeClr val="accent3">
                <a:shade val="80000"/>
                <a:hueOff val="145939"/>
                <a:satOff val="-954"/>
                <a:lumOff val="16369"/>
                <a:alphaOff val="0"/>
                <a:shade val="93000"/>
                <a:satMod val="130000"/>
              </a:schemeClr>
            </a:gs>
            <a:gs pos="100000">
              <a:schemeClr val="accent3">
                <a:shade val="80000"/>
                <a:hueOff val="145939"/>
                <a:satOff val="-954"/>
                <a:lumOff val="1636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b="1" kern="1200">
              <a:solidFill>
                <a:sysClr val="windowText" lastClr="000000"/>
              </a:solidFill>
            </a:rPr>
            <a:t>Wohnen</a:t>
          </a:r>
          <a:endParaRPr lang="de-DE" sz="800" b="1" kern="1200">
            <a:solidFill>
              <a:sysClr val="windowText" lastClr="000000"/>
            </a:solidFill>
          </a:endParaRPr>
        </a:p>
      </dsp:txBody>
      <dsp:txXfrm rot="10800000">
        <a:off x="1943100" y="1600200"/>
        <a:ext cx="1600200" cy="1600200"/>
      </dsp:txXfrm>
    </dsp:sp>
    <dsp:sp modelId="{88DC493C-DAF3-4826-8D0D-BD0F9407E875}">
      <dsp:nvSpPr>
        <dsp:cNvPr id="0" name=""/>
        <dsp:cNvSpPr/>
      </dsp:nvSpPr>
      <dsp:spPr>
        <a:xfrm>
          <a:off x="2743200" y="1600200"/>
          <a:ext cx="1600200" cy="1600200"/>
        </a:xfrm>
        <a:prstGeom prst="triangle">
          <a:avLst/>
        </a:prstGeom>
        <a:gradFill rotWithShape="0">
          <a:gsLst>
            <a:gs pos="0">
              <a:schemeClr val="accent3">
                <a:shade val="80000"/>
                <a:hueOff val="218909"/>
                <a:satOff val="-1431"/>
                <a:lumOff val="24554"/>
                <a:alphaOff val="0"/>
                <a:shade val="51000"/>
                <a:satMod val="130000"/>
              </a:schemeClr>
            </a:gs>
            <a:gs pos="80000">
              <a:schemeClr val="accent3">
                <a:shade val="80000"/>
                <a:hueOff val="218909"/>
                <a:satOff val="-1431"/>
                <a:lumOff val="24554"/>
                <a:alphaOff val="0"/>
                <a:shade val="93000"/>
                <a:satMod val="130000"/>
              </a:schemeClr>
            </a:gs>
            <a:gs pos="100000">
              <a:schemeClr val="accent3">
                <a:shade val="80000"/>
                <a:hueOff val="218909"/>
                <a:satOff val="-1431"/>
                <a:lumOff val="2455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e-DE" sz="800" b="1" kern="1200">
              <a:solidFill>
                <a:sysClr val="windowText" lastClr="000000"/>
              </a:solidFill>
            </a:rPr>
            <a:t>Benachteiligung / Diskriminierung</a:t>
          </a:r>
        </a:p>
      </dsp:txBody>
      <dsp:txXfrm>
        <a:off x="2743200" y="1600200"/>
        <a:ext cx="1600200" cy="160020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4A38B-7FEF-4E82-BE73-6400F0F06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136</Pages>
  <Words>35164</Words>
  <Characters>221538</Characters>
  <Application>Microsoft Office Word</Application>
  <DocSecurity>0</DocSecurity>
  <Lines>1846</Lines>
  <Paragraphs>512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Fabris, Verena</dc:creator>
  <cp:lastModifiedBy> </cp:lastModifiedBy>
  <cp:revision>3</cp:revision>
  <cp:lastPrinted>2011-09-14T14:08:00Z</cp:lastPrinted>
  <dcterms:created xsi:type="dcterms:W3CDTF">2011-09-22T09:11:00Z</dcterms:created>
  <dcterms:modified xsi:type="dcterms:W3CDTF">2011-09-27T08:34:00Z</dcterms:modified>
</cp:coreProperties>
</file>